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29" w:rsidRDefault="002F1B29" w:rsidP="002F1B29">
      <w:pPr>
        <w:spacing w:before="100" w:beforeAutospacing="1" w:after="100" w:afterAutospacing="1"/>
        <w:ind w:firstLine="708"/>
        <w:rPr>
          <w:b/>
          <w:bCs/>
          <w:lang w:val="es-ES"/>
        </w:rPr>
      </w:pPr>
      <w:r>
        <w:rPr>
          <w:b/>
          <w:bCs/>
          <w:lang w:val="es-ES_tradnl"/>
        </w:rPr>
        <w:t>CIRCULAR N° 173-2004</w:t>
      </w:r>
      <w:r>
        <w:rPr>
          <w:b/>
          <w:bCs/>
          <w:lang w:val="es-ES"/>
        </w:rPr>
        <w:t xml:space="preserve"> </w:t>
      </w:r>
    </w:p>
    <w:p w:rsidR="002F1B29" w:rsidRDefault="002F1B29" w:rsidP="002F1B29">
      <w:pPr>
        <w:spacing w:before="100" w:beforeAutospacing="1" w:after="100" w:afterAutospacing="1"/>
        <w:ind w:hanging="992"/>
        <w:jc w:val="both"/>
        <w:rPr>
          <w:b/>
          <w:bCs/>
          <w:lang w:val="es-ES"/>
        </w:rPr>
      </w:pPr>
      <w:r>
        <w:rPr>
          <w:b/>
          <w:bCs/>
          <w:lang w:val="es-ES"/>
        </w:rPr>
        <w:t>Asunto:     Sobre bienes decomisados que se encuentran en el Depósito de Vehículos.-</w:t>
      </w:r>
    </w:p>
    <w:p w:rsidR="002F1B29" w:rsidRDefault="002F1B29" w:rsidP="002F1B29">
      <w:pPr>
        <w:pStyle w:val="Ttulo7"/>
        <w:spacing w:line="360" w:lineRule="auto"/>
        <w:ind w:firstLine="708"/>
        <w:rPr>
          <w:lang w:val="es-ES"/>
        </w:rPr>
      </w:pPr>
      <w:r>
        <w:rPr>
          <w:u w:val="single"/>
          <w:lang w:val="es-ES_tradnl"/>
        </w:rPr>
        <w:t xml:space="preserve">A TODAS LAS AUTORIDADES JUDICIALES DEL PAÍS </w:t>
      </w:r>
    </w:p>
    <w:p w:rsidR="002F1B29" w:rsidRDefault="002F1B29" w:rsidP="002F1B29">
      <w:pPr>
        <w:spacing w:before="100" w:beforeAutospacing="1" w:after="100" w:afterAutospacing="1"/>
        <w:ind w:firstLine="708"/>
        <w:jc w:val="center"/>
        <w:rPr>
          <w:b/>
          <w:bCs/>
          <w:lang w:val="es-ES"/>
        </w:rPr>
      </w:pPr>
      <w:r>
        <w:rPr>
          <w:b/>
          <w:bCs/>
          <w:u w:val="single"/>
          <w:lang w:val="es-ES"/>
        </w:rPr>
        <w:t>SE LES HACE SABER QUE:</w:t>
      </w:r>
      <w:r>
        <w:rPr>
          <w:b/>
          <w:bCs/>
          <w:lang w:val="es-ES"/>
        </w:rPr>
        <w:t xml:space="preserve"> </w:t>
      </w:r>
    </w:p>
    <w:p w:rsidR="002F1B29" w:rsidRDefault="002F1B29" w:rsidP="002F1B29">
      <w:pPr>
        <w:pStyle w:val="Textoindependiente"/>
        <w:spacing w:line="480" w:lineRule="auto"/>
        <w:ind w:firstLine="708"/>
        <w:rPr>
          <w:b/>
          <w:bCs/>
          <w:lang w:val="es-ES"/>
        </w:rPr>
      </w:pPr>
      <w:r>
        <w:rPr>
          <w:b/>
          <w:bCs/>
          <w:lang w:val="es-ES"/>
        </w:rPr>
        <w:t xml:space="preserve">        El Consejo Superior, en sesión N° 86-2004, celebrada el 09 de noviembre de 2004, artículo LIV, dispuso hacerles del conocimiento el siguiente informe sobre vehículos que se encuentran en custodia del Depósito de Vehículos, a saber: </w:t>
      </w:r>
    </w:p>
    <w:p w:rsidR="002F1B29" w:rsidRDefault="002F1B29" w:rsidP="002F1B29">
      <w:pPr>
        <w:pStyle w:val="Textoindependiente"/>
        <w:ind w:firstLine="708"/>
        <w:rPr>
          <w:b/>
          <w:bCs/>
          <w:lang w:val="es-ES"/>
        </w:rPr>
      </w:pPr>
      <w:r>
        <w:rPr>
          <w:b/>
          <w:bCs/>
          <w:lang w:val="es-ES"/>
        </w:rPr>
        <w:t xml:space="preserve">1) BIENES ACTIVOS EN EL DEPÓSITO (VEHÍCULOS, MOTOCICLETAS y OTROS) </w:t>
      </w:r>
    </w:p>
    <w:p w:rsidR="002F1B29" w:rsidRDefault="002F1B29" w:rsidP="002F1B29">
      <w:pPr>
        <w:pStyle w:val="Sangra3detindependiente"/>
        <w:spacing w:line="360" w:lineRule="auto"/>
        <w:rPr>
          <w:b/>
          <w:bCs/>
          <w:lang w:val="es-ES"/>
        </w:rPr>
      </w:pPr>
      <w:r>
        <w:rPr>
          <w:b/>
          <w:bCs/>
          <w:lang w:val="es-ES_tradnl"/>
        </w:rPr>
        <w:t>En la actualidad en el Depósito de Vehículos Decomisados se encuentran un total de 2267 bienes, distribuidos de la siguiente manera:</w:t>
      </w:r>
      <w:r>
        <w:rPr>
          <w:b/>
          <w:bCs/>
          <w:lang w:val="es-ES"/>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794"/>
        <w:gridCol w:w="1009"/>
      </w:tblGrid>
      <w:tr w:rsidR="002F1B29" w:rsidTr="002F1B29">
        <w:trPr>
          <w:tblCellSpacing w:w="0" w:type="dxa"/>
          <w:jc w:val="center"/>
        </w:trPr>
        <w:tc>
          <w:tcPr>
            <w:tcW w:w="479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VEHÍCULOS </w:t>
            </w:r>
          </w:p>
        </w:tc>
        <w:tc>
          <w:tcPr>
            <w:tcW w:w="10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952 </w:t>
            </w:r>
          </w:p>
        </w:tc>
      </w:tr>
      <w:tr w:rsidR="002F1B29" w:rsidTr="002F1B29">
        <w:trPr>
          <w:tblCellSpacing w:w="0" w:type="dxa"/>
          <w:jc w:val="center"/>
        </w:trPr>
        <w:tc>
          <w:tcPr>
            <w:tcW w:w="47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MOTOCICLETAS </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830 </w:t>
            </w:r>
          </w:p>
        </w:tc>
      </w:tr>
      <w:tr w:rsidR="002F1B29" w:rsidTr="002F1B29">
        <w:trPr>
          <w:trHeight w:val="327"/>
          <w:tblCellSpacing w:w="0" w:type="dxa"/>
          <w:jc w:val="center"/>
        </w:trPr>
        <w:tc>
          <w:tcPr>
            <w:tcW w:w="47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BIENES CONSIDERADOS COMO OTROS </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485 </w:t>
            </w:r>
          </w:p>
        </w:tc>
      </w:tr>
      <w:tr w:rsidR="002F1B29" w:rsidTr="002F1B29">
        <w:trPr>
          <w:trHeight w:val="327"/>
          <w:tblCellSpacing w:w="0" w:type="dxa"/>
          <w:jc w:val="center"/>
        </w:trPr>
        <w:tc>
          <w:tcPr>
            <w:tcW w:w="479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TOTAL</w:t>
            </w:r>
            <w:r>
              <w:rPr>
                <w:color w:val="000000"/>
              </w:rPr>
              <w:t xml:space="preserve"> </w:t>
            </w:r>
          </w:p>
        </w:tc>
        <w:tc>
          <w:tcPr>
            <w:tcW w:w="10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2267</w:t>
            </w:r>
            <w:r>
              <w:rPr>
                <w:color w:val="000000"/>
              </w:rPr>
              <w:t xml:space="preserve"> </w:t>
            </w:r>
          </w:p>
        </w:tc>
      </w:tr>
    </w:tbl>
    <w:p w:rsidR="002F1B29" w:rsidRDefault="002F1B29" w:rsidP="002F1B29">
      <w:pPr>
        <w:spacing w:before="100" w:beforeAutospacing="1" w:after="100" w:afterAutospacing="1" w:line="360" w:lineRule="auto"/>
        <w:ind w:firstLine="708"/>
        <w:jc w:val="both"/>
        <w:rPr>
          <w:b/>
          <w:bCs/>
          <w:lang w:val="es-ES"/>
        </w:rPr>
      </w:pPr>
      <w:r>
        <w:rPr>
          <w:b/>
          <w:bCs/>
          <w:lang w:val="es-ES_tradnl"/>
        </w:rPr>
        <w:t>A). VEHÍCULOS</w:t>
      </w:r>
      <w:r>
        <w:rPr>
          <w:b/>
          <w:bCs/>
          <w:lang w:val="es-ES"/>
        </w:rPr>
        <w:t xml:space="preserve"> </w:t>
      </w:r>
    </w:p>
    <w:p w:rsidR="002F1B29" w:rsidRDefault="002F1B29" w:rsidP="002F1B29">
      <w:pPr>
        <w:pStyle w:val="Sangra3detindependiente"/>
        <w:spacing w:line="360" w:lineRule="auto"/>
        <w:rPr>
          <w:b/>
          <w:bCs/>
          <w:lang w:val="es-ES"/>
        </w:rPr>
      </w:pPr>
      <w:r>
        <w:rPr>
          <w:b/>
          <w:bCs/>
          <w:lang w:val="es-ES_tradnl"/>
        </w:rPr>
        <w:t>En este momento existen 952 vehículos activos, distribuidos de la siguiente manera:</w:t>
      </w:r>
      <w:r>
        <w:rPr>
          <w:b/>
          <w:bCs/>
          <w:lang w:val="es-ES"/>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19"/>
        <w:gridCol w:w="910"/>
        <w:gridCol w:w="1080"/>
      </w:tblGrid>
      <w:tr w:rsidR="002F1B29" w:rsidTr="002F1B29">
        <w:trPr>
          <w:tblCellSpacing w:w="0" w:type="dxa"/>
          <w:jc w:val="center"/>
        </w:trPr>
        <w:tc>
          <w:tcPr>
            <w:tcW w:w="44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A la orden de diferentes despachos </w:t>
            </w:r>
          </w:p>
        </w:tc>
        <w:tc>
          <w:tcPr>
            <w:tcW w:w="9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793 </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83,30 % </w:t>
            </w:r>
          </w:p>
        </w:tc>
      </w:tr>
      <w:tr w:rsidR="002F1B29" w:rsidTr="002F1B29">
        <w:trPr>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A la orden de la Proveeduría Judicial </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109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11,45 % </w:t>
            </w:r>
          </w:p>
        </w:tc>
      </w:tr>
      <w:tr w:rsidR="002F1B29" w:rsidTr="002F1B29">
        <w:trPr>
          <w:trHeight w:val="327"/>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Pendientes de Destrucción </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50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5,25 % </w:t>
            </w:r>
          </w:p>
        </w:tc>
      </w:tr>
      <w:tr w:rsidR="002F1B29" w:rsidTr="002F1B29">
        <w:trPr>
          <w:trHeight w:val="327"/>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TOTAL</w:t>
            </w:r>
            <w:r>
              <w:rPr>
                <w:color w:val="000000"/>
              </w:rPr>
              <w:t xml:space="preserve"> </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952</w:t>
            </w:r>
            <w:r>
              <w:rPr>
                <w:color w:val="000000"/>
              </w:rPr>
              <w:t xml:space="preserve">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100 %</w:t>
            </w:r>
            <w:r>
              <w:rPr>
                <w:color w:val="000000"/>
              </w:rPr>
              <w:t xml:space="preserve"> </w:t>
            </w:r>
          </w:p>
        </w:tc>
      </w:tr>
    </w:tbl>
    <w:p w:rsidR="002F1B29" w:rsidRDefault="002F1B29" w:rsidP="002F1B29">
      <w:pPr>
        <w:pStyle w:val="Sangra3detindependiente"/>
        <w:spacing w:line="360" w:lineRule="auto"/>
        <w:rPr>
          <w:b/>
          <w:bCs/>
          <w:lang w:val="es-ES"/>
        </w:rPr>
      </w:pPr>
      <w:r>
        <w:rPr>
          <w:b/>
          <w:bCs/>
          <w:lang w:val="es-ES_tradnl"/>
        </w:rPr>
        <w:t>El nuevo proceso de destrucción de los vehículos inicia a partir del lunes 27 de setiembre y se estima finalizar para los últimos días de octubre.</w:t>
      </w:r>
      <w:r>
        <w:rPr>
          <w:b/>
          <w:bCs/>
          <w:lang w:val="es-ES"/>
        </w:rPr>
        <w:t xml:space="preserve"> </w:t>
      </w:r>
    </w:p>
    <w:p w:rsidR="002F1B29" w:rsidRDefault="002F1B29" w:rsidP="002F1B29">
      <w:pPr>
        <w:pStyle w:val="Sangra3detindependiente"/>
        <w:spacing w:line="360" w:lineRule="auto"/>
        <w:rPr>
          <w:b/>
          <w:bCs/>
          <w:lang w:val="es-ES"/>
        </w:rPr>
      </w:pPr>
      <w:r>
        <w:rPr>
          <w:b/>
          <w:bCs/>
          <w:lang w:val="es-ES_tradnl"/>
        </w:rPr>
        <w:t>B).  MOTOCICLETAS</w:t>
      </w:r>
      <w:r>
        <w:rPr>
          <w:b/>
          <w:bCs/>
          <w:lang w:val="es-ES"/>
        </w:rPr>
        <w:t xml:space="preserve"> </w:t>
      </w:r>
    </w:p>
    <w:p w:rsidR="002F1B29" w:rsidRDefault="002F1B29" w:rsidP="002F1B29">
      <w:pPr>
        <w:pStyle w:val="Sangra3detindependiente"/>
        <w:spacing w:line="360" w:lineRule="auto"/>
        <w:rPr>
          <w:b/>
          <w:bCs/>
          <w:lang w:val="es-ES"/>
        </w:rPr>
      </w:pPr>
      <w:r>
        <w:rPr>
          <w:b/>
          <w:bCs/>
          <w:lang w:val="es-ES_tradnl"/>
        </w:rPr>
        <w:t>En cuanto a las motocicletas existen un total de 830, distribuidas de la siguiente manera:</w:t>
      </w:r>
      <w:r>
        <w:rPr>
          <w:b/>
          <w:bCs/>
          <w:lang w:val="es-ES"/>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19"/>
        <w:gridCol w:w="730"/>
        <w:gridCol w:w="1260"/>
      </w:tblGrid>
      <w:tr w:rsidR="002F1B29" w:rsidTr="002F1B29">
        <w:trPr>
          <w:tblCellSpacing w:w="0" w:type="dxa"/>
          <w:jc w:val="center"/>
        </w:trPr>
        <w:tc>
          <w:tcPr>
            <w:tcW w:w="44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A la orden de diferentes despachos </w:t>
            </w:r>
          </w:p>
        </w:tc>
        <w:tc>
          <w:tcPr>
            <w:tcW w:w="73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604 </w:t>
            </w:r>
          </w:p>
        </w:tc>
        <w:tc>
          <w:tcPr>
            <w:tcW w:w="1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72,77 % </w:t>
            </w:r>
          </w:p>
        </w:tc>
      </w:tr>
      <w:tr w:rsidR="002F1B29" w:rsidTr="002F1B29">
        <w:trPr>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lastRenderedPageBreak/>
              <w:t xml:space="preserve">A la orden de la Proveeduría Judicial </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214 </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25,78 % </w:t>
            </w:r>
          </w:p>
        </w:tc>
      </w:tr>
      <w:tr w:rsidR="002F1B29" w:rsidTr="002F1B29">
        <w:trPr>
          <w:trHeight w:val="327"/>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Pendientes de Destrucción </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12 </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1,45 % </w:t>
            </w:r>
          </w:p>
        </w:tc>
      </w:tr>
      <w:tr w:rsidR="002F1B29" w:rsidTr="002F1B29">
        <w:trPr>
          <w:trHeight w:val="327"/>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TOTAL</w:t>
            </w:r>
            <w:r>
              <w:rPr>
                <w:color w:val="000000"/>
              </w:rPr>
              <w:t xml:space="preserve"> </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830</w:t>
            </w:r>
            <w:r>
              <w:rPr>
                <w:color w:val="000000"/>
              </w:rPr>
              <w:t xml:space="preserve"> </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100 %</w:t>
            </w:r>
            <w:r>
              <w:rPr>
                <w:color w:val="000000"/>
              </w:rPr>
              <w:t xml:space="preserve"> </w:t>
            </w:r>
          </w:p>
        </w:tc>
      </w:tr>
    </w:tbl>
    <w:p w:rsidR="002F1B29" w:rsidRDefault="002F1B29" w:rsidP="002F1B29">
      <w:pPr>
        <w:spacing w:before="100" w:beforeAutospacing="1" w:after="100" w:afterAutospacing="1" w:line="360" w:lineRule="auto"/>
        <w:ind w:firstLine="708"/>
        <w:jc w:val="both"/>
        <w:rPr>
          <w:b/>
          <w:bCs/>
          <w:lang w:val="es-ES"/>
        </w:rPr>
      </w:pPr>
      <w:proofErr w:type="gramStart"/>
      <w:r>
        <w:rPr>
          <w:b/>
          <w:bCs/>
          <w:lang w:val="es-ES_tradnl"/>
        </w:rPr>
        <w:t>C)</w:t>
      </w:r>
      <w:proofErr w:type="gramEnd"/>
      <w:r>
        <w:rPr>
          <w:b/>
          <w:bCs/>
          <w:lang w:val="es-ES_tradnl"/>
        </w:rPr>
        <w:t>.  OTROS BIENES</w:t>
      </w:r>
      <w:r>
        <w:rPr>
          <w:b/>
          <w:bCs/>
          <w:lang w:val="es-ES"/>
        </w:rPr>
        <w:t xml:space="preserve"> </w:t>
      </w:r>
    </w:p>
    <w:p w:rsidR="002F1B29" w:rsidRDefault="002F1B29" w:rsidP="002F1B29">
      <w:pPr>
        <w:pStyle w:val="Sangra3detindependiente"/>
        <w:spacing w:line="360" w:lineRule="auto"/>
        <w:rPr>
          <w:b/>
          <w:bCs/>
          <w:lang w:val="es-ES"/>
        </w:rPr>
      </w:pPr>
      <w:r>
        <w:rPr>
          <w:b/>
          <w:bCs/>
          <w:lang w:val="es-ES_tradnl"/>
        </w:rPr>
        <w:t>En cuanto a los bienes considerados como otros existen un total de 485, distribuidas de la siguiente manera:</w:t>
      </w:r>
      <w:r>
        <w:rPr>
          <w:b/>
          <w:bCs/>
          <w:lang w:val="es-ES"/>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19"/>
        <w:gridCol w:w="730"/>
        <w:gridCol w:w="1440"/>
      </w:tblGrid>
      <w:tr w:rsidR="002F1B29" w:rsidTr="002F1B29">
        <w:trPr>
          <w:tblCellSpacing w:w="0" w:type="dxa"/>
          <w:jc w:val="center"/>
        </w:trPr>
        <w:tc>
          <w:tcPr>
            <w:tcW w:w="44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A la orden de diferentes despachos </w:t>
            </w:r>
          </w:p>
        </w:tc>
        <w:tc>
          <w:tcPr>
            <w:tcW w:w="73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237 </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48,86 % </w:t>
            </w:r>
          </w:p>
        </w:tc>
      </w:tr>
      <w:tr w:rsidR="002F1B29" w:rsidTr="002F1B29">
        <w:trPr>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A la orden de la Proveeduría Judicial </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127 </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26,19 % </w:t>
            </w:r>
          </w:p>
        </w:tc>
      </w:tr>
      <w:tr w:rsidR="002F1B29" w:rsidTr="002F1B29">
        <w:trPr>
          <w:trHeight w:val="327"/>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Pendientes de Destrucción </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121 </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color w:val="000000"/>
              </w:rPr>
              <w:t xml:space="preserve">24,95 % </w:t>
            </w:r>
          </w:p>
        </w:tc>
      </w:tr>
      <w:tr w:rsidR="002F1B29" w:rsidTr="002F1B29">
        <w:trPr>
          <w:trHeight w:val="179"/>
          <w:tblCellSpacing w:w="0" w:type="dxa"/>
          <w:jc w:val="center"/>
        </w:trPr>
        <w:tc>
          <w:tcPr>
            <w:tcW w:w="44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TOTAL</w:t>
            </w:r>
            <w:r>
              <w:rPr>
                <w:color w:val="000000"/>
              </w:rPr>
              <w:t xml:space="preserve"> </w:t>
            </w:r>
          </w:p>
        </w:tc>
        <w:tc>
          <w:tcPr>
            <w:tcW w:w="7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485</w:t>
            </w:r>
            <w:r>
              <w:rPr>
                <w:color w:val="000000"/>
              </w:rPr>
              <w:t xml:space="preserve"> </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F1B29" w:rsidRDefault="002F1B29">
            <w:pPr>
              <w:spacing w:before="100" w:beforeAutospacing="1" w:after="100" w:afterAutospacing="1" w:line="360" w:lineRule="auto"/>
              <w:jc w:val="both"/>
              <w:rPr>
                <w:color w:val="000000"/>
              </w:rPr>
            </w:pPr>
            <w:r>
              <w:rPr>
                <w:b/>
                <w:bCs/>
                <w:color w:val="000000"/>
              </w:rPr>
              <w:t>100 %</w:t>
            </w:r>
            <w:r>
              <w:rPr>
                <w:color w:val="000000"/>
              </w:rPr>
              <w:t xml:space="preserve"> </w:t>
            </w:r>
          </w:p>
        </w:tc>
      </w:tr>
    </w:tbl>
    <w:p w:rsidR="002F1B29" w:rsidRDefault="002F1B29" w:rsidP="002F1B29">
      <w:pPr>
        <w:spacing w:before="100" w:beforeAutospacing="1" w:after="100" w:afterAutospacing="1" w:line="360" w:lineRule="auto"/>
        <w:ind w:firstLine="708"/>
        <w:jc w:val="both"/>
        <w:rPr>
          <w:b/>
          <w:bCs/>
          <w:lang w:val="es-ES"/>
        </w:rPr>
      </w:pPr>
      <w:r>
        <w:rPr>
          <w:b/>
          <w:bCs/>
          <w:lang w:val="es-ES_tradnl"/>
        </w:rPr>
        <w:t>D).   BIENES SIN INFORMACIÓN</w:t>
      </w:r>
      <w:r>
        <w:rPr>
          <w:b/>
          <w:bCs/>
          <w:lang w:val="es-ES"/>
        </w:rPr>
        <w:t xml:space="preserve"> </w:t>
      </w:r>
    </w:p>
    <w:p w:rsidR="002F1B29" w:rsidRDefault="002F1B29" w:rsidP="002F1B29">
      <w:pPr>
        <w:pStyle w:val="Sangra3detindependiente"/>
        <w:spacing w:line="360" w:lineRule="auto"/>
        <w:rPr>
          <w:b/>
          <w:bCs/>
          <w:lang w:val="es-ES"/>
        </w:rPr>
      </w:pPr>
      <w:r>
        <w:rPr>
          <w:b/>
          <w:bCs/>
          <w:lang w:val="es-ES_tradnl"/>
        </w:rPr>
        <w:t xml:space="preserve">Es importante destacar que en la actualidad existe un total de 73 bienes sin ninguna información, que corresponden a 16 vehículos, 56 motocicletas y 1 bien denominado Otros. Los mismos se encuentran incluidos en los listados remitidos (a la orden de diferentes despachos). </w:t>
      </w:r>
    </w:p>
    <w:p w:rsidR="002F1B29" w:rsidRDefault="002F1B29" w:rsidP="002F1B29">
      <w:pPr>
        <w:spacing w:before="100" w:beforeAutospacing="1" w:after="100" w:afterAutospacing="1" w:line="360" w:lineRule="auto"/>
        <w:ind w:firstLine="708"/>
        <w:jc w:val="both"/>
        <w:rPr>
          <w:b/>
          <w:bCs/>
          <w:lang w:val="es-ES"/>
        </w:rPr>
      </w:pPr>
      <w:r>
        <w:rPr>
          <w:b/>
          <w:bCs/>
          <w:lang w:val="es-ES_tradnl"/>
        </w:rPr>
        <w:t>                Asimismo, se les comunica la preocupación de este Consejo, por el elevado número de bienes que se encuentran en ese Depósito, por lo que se les insta que cuando corresponda, deben disponer de la forma autorizada  por la Ley  de los bienes que tienen a su orden, con el fin de evitar el deterioro así como el alto costo que esto implica para este Poder de la República de mantenerlos en depósito.-</w:t>
      </w:r>
    </w:p>
    <w:p w:rsidR="002F1B29" w:rsidRDefault="002F1B29" w:rsidP="002F1B29">
      <w:pPr>
        <w:spacing w:before="100" w:beforeAutospacing="1" w:after="100" w:afterAutospacing="1" w:line="360" w:lineRule="auto"/>
        <w:ind w:firstLine="708"/>
        <w:rPr>
          <w:b/>
          <w:bCs/>
          <w:lang w:val="es-ES"/>
        </w:rPr>
      </w:pPr>
      <w:r>
        <w:rPr>
          <w:b/>
          <w:bCs/>
          <w:lang w:val="es-ES_tradnl"/>
        </w:rPr>
        <w:t>San José, 3 de febrero de 2005.-</w:t>
      </w:r>
    </w:p>
    <w:p w:rsidR="002F1B29" w:rsidRDefault="002F1B29" w:rsidP="002F1B29">
      <w:pPr>
        <w:spacing w:before="100" w:beforeAutospacing="1" w:after="100" w:afterAutospacing="1" w:line="360" w:lineRule="auto"/>
        <w:rPr>
          <w:b/>
          <w:bCs/>
          <w:lang w:val="es-ES"/>
        </w:rPr>
      </w:pPr>
      <w:r>
        <w:rPr>
          <w:b/>
          <w:bCs/>
          <w:i/>
          <w:iCs/>
          <w:spacing w:val="-3"/>
          <w:lang w:val="es-ES"/>
        </w:rPr>
        <w:t xml:space="preserve">     </w:t>
      </w:r>
      <w:r>
        <w:rPr>
          <w:b/>
          <w:bCs/>
          <w:spacing w:val="-3"/>
          <w:lang w:val="es-ES"/>
        </w:rPr>
        <w:t>Silvia Navarro Romanini</w:t>
      </w:r>
      <w:r>
        <w:rPr>
          <w:b/>
          <w:bCs/>
          <w:lang w:val="es-ES"/>
        </w:rPr>
        <w:t xml:space="preserve"> </w:t>
      </w:r>
    </w:p>
    <w:p w:rsidR="002F1B29" w:rsidRDefault="002F1B29" w:rsidP="002F1B29">
      <w:pPr>
        <w:pStyle w:val="Ttulo7"/>
        <w:spacing w:line="360" w:lineRule="auto"/>
        <w:rPr>
          <w:lang w:val="es-ES"/>
        </w:rPr>
      </w:pPr>
      <w:r>
        <w:rPr>
          <w:spacing w:val="-3"/>
          <w:lang w:val="es-ES_tradnl"/>
        </w:rPr>
        <w:t>Secretaria General  de la Corte</w:t>
      </w:r>
      <w:r>
        <w:rPr>
          <w:lang w:val="es-ES"/>
        </w:rPr>
        <w:t xml:space="preserve"> </w:t>
      </w:r>
    </w:p>
    <w:p w:rsidR="002F1B29" w:rsidRDefault="002F1B29" w:rsidP="002F1B29">
      <w:pPr>
        <w:spacing w:before="100" w:beforeAutospacing="1" w:after="100" w:afterAutospacing="1" w:line="360" w:lineRule="auto"/>
        <w:rPr>
          <w:b/>
          <w:bCs/>
          <w:lang w:val="es-ES"/>
        </w:rPr>
      </w:pPr>
      <w:r>
        <w:rPr>
          <w:b/>
          <w:bCs/>
          <w:lang w:val="es-ES"/>
        </w:rPr>
        <w:t xml:space="preserve">Publicada en el Boletín Judicial Nº 31 del 14 de febrero de 2005 </w:t>
      </w:r>
    </w:p>
    <w:p w:rsidR="002F1B29" w:rsidRDefault="002F1B29" w:rsidP="002F1B29">
      <w:pPr>
        <w:spacing w:before="100" w:beforeAutospacing="1" w:after="100" w:afterAutospacing="1" w:line="360" w:lineRule="auto"/>
        <w:jc w:val="both"/>
        <w:rPr>
          <w:b/>
          <w:bCs/>
          <w:lang w:val="es-ES"/>
        </w:rPr>
      </w:pPr>
      <w:r>
        <w:rPr>
          <w:b/>
          <w:bCs/>
          <w:spacing w:val="-3"/>
          <w:lang w:val="es-ES"/>
        </w:rPr>
        <w:t>CC:</w:t>
      </w:r>
      <w:r>
        <w:rPr>
          <w:b/>
          <w:bCs/>
          <w:lang w:val="es-ES"/>
        </w:rPr>
        <w:t xml:space="preserve"> </w:t>
      </w:r>
      <w:r>
        <w:rPr>
          <w:b/>
          <w:bCs/>
          <w:spacing w:val="-3"/>
          <w:lang w:val="es-ES"/>
        </w:rPr>
        <w:t xml:space="preserve">     - </w:t>
      </w:r>
      <w:r>
        <w:rPr>
          <w:b/>
          <w:bCs/>
          <w:lang w:val="es-ES"/>
        </w:rPr>
        <w:t xml:space="preserve">Diligencias                                         </w:t>
      </w:r>
      <w:proofErr w:type="spellStart"/>
      <w:r>
        <w:rPr>
          <w:b/>
          <w:bCs/>
          <w:lang w:val="es-ES"/>
        </w:rPr>
        <w:t>Róge</w:t>
      </w:r>
      <w:proofErr w:type="spellEnd"/>
      <w:r>
        <w:rPr>
          <w:b/>
          <w:bCs/>
          <w:lang w:val="es-ES"/>
        </w:rPr>
        <w:t xml:space="preserve"> r* </w:t>
      </w:r>
    </w:p>
    <w:p w:rsidR="00160AF4" w:rsidRPr="002F1B29" w:rsidRDefault="002F1B29" w:rsidP="002F1B29">
      <w:r>
        <w:rPr>
          <w:b/>
          <w:bCs/>
          <w:lang w:val="es-ES"/>
        </w:rPr>
        <w:br/>
      </w:r>
      <w:r>
        <w:rPr>
          <w:b/>
          <w:bCs/>
          <w:sz w:val="15"/>
          <w:szCs w:val="15"/>
          <w:lang w:val="es-ES"/>
        </w:rPr>
        <w:t>Es copia fiel del original - Tomado del Sistema Costarricense de Información Jurídica el: 23/05/2018 01:44:16 p.m.</w:t>
      </w:r>
    </w:p>
    <w:sectPr w:rsidR="00160AF4" w:rsidRPr="002F1B29"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2F1B29"/>
    <w:rsid w:val="003C15B1"/>
    <w:rsid w:val="003C538C"/>
    <w:rsid w:val="003F3BBC"/>
    <w:rsid w:val="004348A8"/>
    <w:rsid w:val="00472BC6"/>
    <w:rsid w:val="00557BCF"/>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D120A7"/>
    <w:rsid w:val="00E831F1"/>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uiPriority w:val="9"/>
    <w:qFormat/>
    <w:rsid w:val="003F3BBC"/>
    <w:pPr>
      <w:keepNext/>
      <w:spacing w:before="100" w:beforeAutospacing="1" w:after="100" w:afterAutospacing="1"/>
      <w:jc w:val="center"/>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uiPriority w:val="9"/>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2018-05-23T19:45:00Z</dcterms:created>
  <dcterms:modified xsi:type="dcterms:W3CDTF">2018-05-23T19:45:00Z</dcterms:modified>
</cp:coreProperties>
</file>