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2B2" w:rsidRDefault="009B42B2" w:rsidP="009B42B2">
      <w:pPr>
        <w:rPr>
          <w:b/>
          <w:bCs/>
          <w:lang w:val="es-ES"/>
        </w:rPr>
      </w:pPr>
      <w:r>
        <w:rPr>
          <w:b/>
          <w:bCs/>
          <w:lang w:val="es-ES_tradnl"/>
        </w:rPr>
        <w:t>CIRCULAR Nº 129-09</w:t>
      </w:r>
      <w:r>
        <w:rPr>
          <w:b/>
          <w:bCs/>
          <w:lang w:val="es-ES"/>
        </w:rPr>
        <w:t xml:space="preserve"> </w:t>
      </w:r>
    </w:p>
    <w:p w:rsidR="009B42B2" w:rsidRDefault="009B42B2" w:rsidP="009B42B2">
      <w:pPr>
        <w:ind w:hanging="1320"/>
        <w:jc w:val="both"/>
        <w:rPr>
          <w:b/>
          <w:bCs/>
          <w:lang w:val="es-ES"/>
        </w:rPr>
      </w:pPr>
      <w:r>
        <w:rPr>
          <w:b/>
          <w:bCs/>
          <w:lang w:val="es-ES_tradnl"/>
        </w:rPr>
        <w:t>ASUNTO:</w:t>
      </w:r>
      <w:r>
        <w:rPr>
          <w:b/>
          <w:bCs/>
          <w:lang w:val="es-ES"/>
        </w:rPr>
        <w:t xml:space="preserve"> </w:t>
      </w:r>
      <w:r>
        <w:rPr>
          <w:b/>
          <w:bCs/>
          <w:lang w:val="es-ES_tradnl"/>
        </w:rPr>
        <w:t xml:space="preserve">Reiteración de las </w:t>
      </w:r>
      <w:r>
        <w:rPr>
          <w:b/>
          <w:bCs/>
          <w:i/>
          <w:iCs/>
          <w:lang w:val="es-ES_tradnl"/>
        </w:rPr>
        <w:t>“Recomendaciones para la entrega de vehículos decomisados a fin de descongestionar el Depósito de Vehículos del Poder Judicial”.</w:t>
      </w:r>
      <w:r>
        <w:rPr>
          <w:b/>
          <w:bCs/>
          <w:lang w:val="es-ES_tradnl"/>
        </w:rPr>
        <w:t xml:space="preserve"> </w:t>
      </w:r>
    </w:p>
    <w:p w:rsidR="009B42B2" w:rsidRDefault="009B42B2" w:rsidP="009B42B2">
      <w:pPr>
        <w:jc w:val="center"/>
        <w:rPr>
          <w:b/>
          <w:bCs/>
          <w:lang w:val="es-ES"/>
        </w:rPr>
      </w:pPr>
      <w:r>
        <w:rPr>
          <w:b/>
          <w:bCs/>
          <w:lang w:val="es-ES_tradnl"/>
        </w:rPr>
        <w:t>A LAS AUTORIDADES JUDICIALES DEL PAÍS</w:t>
      </w:r>
      <w:r>
        <w:rPr>
          <w:b/>
          <w:bCs/>
          <w:lang w:val="es-ES"/>
        </w:rPr>
        <w:t xml:space="preserve"> </w:t>
      </w:r>
    </w:p>
    <w:p w:rsidR="009B42B2" w:rsidRDefault="009B42B2" w:rsidP="009B42B2">
      <w:pPr>
        <w:jc w:val="center"/>
        <w:rPr>
          <w:b/>
          <w:bCs/>
          <w:lang w:val="es-ES"/>
        </w:rPr>
      </w:pPr>
      <w:r>
        <w:rPr>
          <w:b/>
          <w:bCs/>
          <w:u w:val="single"/>
          <w:lang w:val="es-ES_tradnl"/>
        </w:rPr>
        <w:t>SE LES HACE SABER QUE:</w:t>
      </w:r>
      <w:r>
        <w:rPr>
          <w:b/>
          <w:bCs/>
          <w:lang w:val="es-ES"/>
        </w:rPr>
        <w:t xml:space="preserve"> </w:t>
      </w:r>
    </w:p>
    <w:p w:rsidR="009B42B2" w:rsidRDefault="009B42B2" w:rsidP="009B42B2">
      <w:pPr>
        <w:ind w:firstLine="710"/>
        <w:jc w:val="both"/>
        <w:rPr>
          <w:b/>
          <w:bCs/>
          <w:lang w:val="es-ES"/>
        </w:rPr>
      </w:pPr>
      <w:r>
        <w:rPr>
          <w:b/>
          <w:bCs/>
          <w:lang w:val="es-ES_tradnl"/>
        </w:rPr>
        <w:t xml:space="preserve">l Consejo Superior en sesión Nº 94-09, celebrada el 13 de octubre de 2009, artículo XLIV, dispuso reiterarles las siguientes </w:t>
      </w:r>
      <w:r>
        <w:rPr>
          <w:b/>
          <w:bCs/>
          <w:i/>
          <w:iCs/>
          <w:lang w:val="es-ES_tradnl"/>
        </w:rPr>
        <w:t>“Recomendaciones para la entrega de vehículos decomisados a fin de descongestionar el Depósito de Vehículos del Poder Judicial</w:t>
      </w:r>
      <w:r>
        <w:rPr>
          <w:b/>
          <w:bCs/>
          <w:lang w:val="es-ES_tradnl"/>
        </w:rPr>
        <w:t>”, comunicadas mediante la Circular 60-08 publicada en el Boletín Judicial Nº 98-08 del 22 de mayo de 2008:</w:t>
      </w:r>
      <w:r>
        <w:rPr>
          <w:b/>
          <w:bCs/>
          <w:lang w:val="es-ES"/>
        </w:rPr>
        <w:t xml:space="preserve"> </w:t>
      </w:r>
    </w:p>
    <w:p w:rsidR="009B42B2" w:rsidRDefault="009B42B2" w:rsidP="009B42B2">
      <w:pPr>
        <w:ind w:firstLine="480"/>
        <w:jc w:val="both"/>
        <w:rPr>
          <w:b/>
          <w:bCs/>
          <w:lang w:val="es-ES"/>
        </w:rPr>
      </w:pPr>
      <w:r>
        <w:rPr>
          <w:b/>
          <w:bCs/>
          <w:i/>
          <w:iCs/>
          <w:lang w:val="es-ES_tradnl"/>
        </w:rPr>
        <w:t>“1.</w:t>
      </w:r>
      <w:r>
        <w:rPr>
          <w:b/>
          <w:bCs/>
          <w:i/>
          <w:iCs/>
          <w:u w:val="single"/>
          <w:lang w:val="es-ES_tradnl"/>
        </w:rPr>
        <w:t>SOBRE LOS DATOS DEL EXPEDIENTE</w:t>
      </w:r>
      <w:r>
        <w:rPr>
          <w:b/>
          <w:bCs/>
          <w:lang w:val="es-ES"/>
        </w:rPr>
        <w:t xml:space="preserve"> </w:t>
      </w:r>
    </w:p>
    <w:p w:rsidR="009B42B2" w:rsidRDefault="009B42B2" w:rsidP="009B42B2">
      <w:pPr>
        <w:jc w:val="both"/>
        <w:rPr>
          <w:b/>
          <w:bCs/>
          <w:lang w:val="es-ES"/>
        </w:rPr>
      </w:pPr>
      <w:r>
        <w:rPr>
          <w:b/>
          <w:bCs/>
          <w:i/>
          <w:iCs/>
          <w:lang w:val="es-ES_tradnl"/>
        </w:rPr>
        <w:t xml:space="preserve">Consignar en el expediente los siguientes datos: </w:t>
      </w:r>
    </w:p>
    <w:p w:rsidR="009B42B2" w:rsidRDefault="009B42B2" w:rsidP="009B42B2">
      <w:pPr>
        <w:pStyle w:val="textosinformato1"/>
        <w:ind w:hanging="432"/>
        <w:jc w:val="both"/>
        <w:rPr>
          <w:b/>
          <w:bCs/>
          <w:lang w:val="es-ES"/>
        </w:rPr>
      </w:pPr>
      <w:r>
        <w:rPr>
          <w:b/>
          <w:bCs/>
          <w:i/>
          <w:iCs/>
          <w:lang w:val="es-ES"/>
        </w:rPr>
        <w:t>1.1. Informe de troquelado , ello como pericia esencial para descartar o bien confirmar la alteración de las señas y las marcas de los bienes, e iniciar el proceso penal o en su caso devolver el bien al propietario o poseedor por parte del órgano investigador, o el comiso en caso de corroborarse y atribuirse a una persona el delito.</w:t>
      </w:r>
      <w:r>
        <w:rPr>
          <w:b/>
          <w:bCs/>
          <w:lang w:val="es-ES"/>
        </w:rPr>
        <w:t xml:space="preserve"> </w:t>
      </w:r>
    </w:p>
    <w:p w:rsidR="009B42B2" w:rsidRDefault="009B42B2" w:rsidP="009B42B2">
      <w:pPr>
        <w:pStyle w:val="textosinformato1"/>
        <w:ind w:hanging="432"/>
        <w:jc w:val="both"/>
        <w:rPr>
          <w:b/>
          <w:bCs/>
          <w:lang w:val="es-ES"/>
        </w:rPr>
      </w:pPr>
      <w:r>
        <w:rPr>
          <w:b/>
          <w:bCs/>
          <w:i/>
          <w:iCs/>
          <w:lang w:val="es-ES"/>
        </w:rPr>
        <w:t xml:space="preserve">1.2. Informe respectivo por parte de la policía judicial en el que se señale: </w:t>
      </w:r>
    </w:p>
    <w:p w:rsidR="009B42B2" w:rsidRDefault="009B42B2" w:rsidP="009B42B2">
      <w:pPr>
        <w:pStyle w:val="textosinformato1"/>
        <w:ind w:hanging="733"/>
        <w:jc w:val="both"/>
        <w:rPr>
          <w:b/>
          <w:bCs/>
          <w:lang w:val="es-ES"/>
        </w:rPr>
      </w:pPr>
      <w:r>
        <w:rPr>
          <w:b/>
          <w:bCs/>
          <w:i/>
          <w:iCs/>
          <w:lang w:val="es-ES"/>
        </w:rPr>
        <w:t>1.2.1. Comprobación de si el vehículo decomisado presenta denuncia de robo, de ser así, si este fue indemnizado por el INS, a fin de determinar si será este el legitimado para retirar el bien recuperado.</w:t>
      </w:r>
      <w:r>
        <w:rPr>
          <w:b/>
          <w:bCs/>
          <w:lang w:val="es-ES"/>
        </w:rPr>
        <w:t xml:space="preserve"> </w:t>
      </w:r>
    </w:p>
    <w:p w:rsidR="009B42B2" w:rsidRDefault="009B42B2" w:rsidP="009B42B2">
      <w:pPr>
        <w:pStyle w:val="textosinformato1"/>
        <w:ind w:hanging="733"/>
        <w:jc w:val="both"/>
        <w:rPr>
          <w:b/>
          <w:bCs/>
          <w:lang w:val="es-ES"/>
        </w:rPr>
      </w:pPr>
      <w:r>
        <w:rPr>
          <w:b/>
          <w:bCs/>
          <w:i/>
          <w:iCs/>
          <w:lang w:val="es-ES"/>
        </w:rPr>
        <w:t>1.2.2. Comprobación de la existencia física y registral del vehículo que se intenta suplantar con un eventual vehículo gemelo (alterado decomisado) y quien es su poseedor actual. Para cumplir con dicho requisito es necesario efectuar un estudio histórico del asiento registral del vehículo, donde se establezca la sucesión de traspasos reales del bien original para determinar el último propietario legítimo del bien y, con esto, la existencia o no del vehículo. Esto es importante corroborarlo, pues de no poderse demostrar la existencia del bien que dio génesis a los asientos registrales, recomendamos la cancelación del asiento registral. En ese sentido, el OIJ deberá entrevistar a los poseedores según los traspasos para determinar quien posee el vehículo original, no alterado, o si desapareció o cuando se le perdió el rastro.</w:t>
      </w:r>
      <w:r>
        <w:rPr>
          <w:b/>
          <w:bCs/>
          <w:lang w:val="es-ES"/>
        </w:rPr>
        <w:t xml:space="preserve"> </w:t>
      </w:r>
    </w:p>
    <w:p w:rsidR="009B42B2" w:rsidRDefault="009B42B2" w:rsidP="009B42B2">
      <w:pPr>
        <w:pStyle w:val="textosinformato1"/>
        <w:ind w:hanging="360"/>
        <w:jc w:val="both"/>
        <w:rPr>
          <w:b/>
          <w:bCs/>
          <w:lang w:val="es-ES"/>
        </w:rPr>
      </w:pPr>
      <w:r>
        <w:rPr>
          <w:b/>
          <w:bCs/>
          <w:i/>
          <w:iCs/>
          <w:lang w:val="es-ES"/>
        </w:rPr>
        <w:t xml:space="preserve">2. </w:t>
      </w:r>
      <w:r>
        <w:rPr>
          <w:b/>
          <w:bCs/>
          <w:i/>
          <w:iCs/>
          <w:u w:val="single"/>
          <w:lang w:val="es-ES"/>
        </w:rPr>
        <w:t>SOBRE LA ENTREGA PROVISIONAL DEL VEHICULO</w:t>
      </w:r>
      <w:r>
        <w:rPr>
          <w:b/>
          <w:bCs/>
          <w:lang w:val="es-ES"/>
        </w:rPr>
        <w:t xml:space="preserve"> </w:t>
      </w:r>
    </w:p>
    <w:p w:rsidR="009B42B2" w:rsidRDefault="009B42B2" w:rsidP="009B42B2">
      <w:pPr>
        <w:ind w:hanging="432"/>
        <w:jc w:val="both"/>
        <w:rPr>
          <w:b/>
          <w:bCs/>
          <w:lang w:val="es-ES"/>
        </w:rPr>
      </w:pPr>
      <w:r>
        <w:rPr>
          <w:b/>
          <w:bCs/>
          <w:i/>
          <w:iCs/>
          <w:lang w:val="es-ES_tradnl"/>
        </w:rPr>
        <w:t>2.1.</w:t>
      </w:r>
      <w:r>
        <w:rPr>
          <w:b/>
          <w:bCs/>
          <w:i/>
          <w:iCs/>
          <w:lang w:val="es-ES"/>
        </w:rPr>
        <w:t xml:space="preserve"> </w:t>
      </w:r>
      <w:r>
        <w:rPr>
          <w:b/>
          <w:bCs/>
          <w:i/>
          <w:iCs/>
          <w:lang w:val="es-ES_tradnl"/>
        </w:rPr>
        <w:t>Nombramiento de un</w:t>
      </w:r>
      <w:r>
        <w:rPr>
          <w:b/>
          <w:bCs/>
          <w:i/>
          <w:iCs/>
          <w:lang w:val="es-ES"/>
        </w:rPr>
        <w:t xml:space="preserve"> </w:t>
      </w:r>
      <w:r>
        <w:rPr>
          <w:b/>
          <w:bCs/>
          <w:i/>
          <w:iCs/>
          <w:lang w:val="es-ES_tradnl"/>
        </w:rPr>
        <w:t xml:space="preserve">depositario provisional: En los casos en que sea posible, entregar el vehículo decomisado en depósito provisional al poseedor de buena fe, a quien en su calidad de depositario provisional le asistirían deberes jurídicos de custodia sobre el bien entregado, debiendo presentar el vehículo cuando sea requerido por la autoridad competente. Con lo anterior, se garantiza que el Depósito sólo se ocupe de aquellos vehículos donde no pueda hacerse esta entrega, como excepción y no como regla general, tal y como se aplica actualmente. </w:t>
      </w:r>
    </w:p>
    <w:p w:rsidR="009B42B2" w:rsidRDefault="009B42B2" w:rsidP="009B42B2">
      <w:pPr>
        <w:ind w:firstLine="709"/>
        <w:jc w:val="both"/>
        <w:rPr>
          <w:b/>
          <w:bCs/>
          <w:lang w:val="es-ES"/>
        </w:rPr>
      </w:pPr>
      <w:r>
        <w:rPr>
          <w:b/>
          <w:bCs/>
          <w:i/>
          <w:iCs/>
          <w:lang w:val="es-ES_tradnl"/>
        </w:rPr>
        <w:t xml:space="preserve">Con relación al Depositario Provisional, es importante recordar lo ya señalado jurisprudencialmente por el Tribunal de Casación Penal, con relación a que el comiso no procede por cuestiones administrativas de inscripción registral. Es decir, de acuerdo a </w:t>
      </w:r>
      <w:r>
        <w:rPr>
          <w:b/>
          <w:bCs/>
          <w:i/>
          <w:iCs/>
          <w:lang w:val="es-ES_tradnl"/>
        </w:rPr>
        <w:lastRenderedPageBreak/>
        <w:t>la ley civil quien haya adquirido de buena fe un bien (cosa) –vehículo alterado- tiene derecho a poseerlo, independientemente que, posteriormente, no pueda continuar inscrita en el asiento registral en el que estaba, por pertenecer a otro vehículo “original”, aún cuando este haya desaparecido. En ese sentido, salvo que esta buena fe sea destruida con prueba objetiva, o bien, se determine que el bien adquirido pertenece a otra persona (legítimo poseedor primario despojado), cuando por el informe de troquelados se sepa la verdadera identificación del vehículo y su propietario real, el poseedor del vehículo, normalmente, a quien se le decomisa el vehículo, tiene derecho de disponer de dicho vehículo como una cosa.</w:t>
      </w:r>
      <w:r>
        <w:rPr>
          <w:b/>
          <w:bCs/>
          <w:lang w:val="es-ES"/>
        </w:rPr>
        <w:t xml:space="preserve"> </w:t>
      </w:r>
    </w:p>
    <w:p w:rsidR="009B42B2" w:rsidRDefault="009B42B2" w:rsidP="009B42B2">
      <w:pPr>
        <w:ind w:firstLine="709"/>
        <w:jc w:val="both"/>
        <w:rPr>
          <w:b/>
          <w:bCs/>
          <w:lang w:val="es-ES"/>
        </w:rPr>
      </w:pPr>
      <w:r>
        <w:rPr>
          <w:b/>
          <w:bCs/>
          <w:i/>
          <w:iCs/>
          <w:lang w:val="es-ES_tradnl"/>
        </w:rPr>
        <w:t>De tal forma que, si desde un inicio mientras se asigna una fecha para realizar el estudio de troquelados, o posteriormente a este y mientras se resuelve en definitiva el caso, el vehículo fuese entregado, tal y como dispone la ley en depósito provisional de manera inmediata, no habría la cogestión vehicular que sufre dicho Depósito.</w:t>
      </w:r>
      <w:r>
        <w:rPr>
          <w:b/>
          <w:bCs/>
          <w:lang w:val="es-ES"/>
        </w:rPr>
        <w:t xml:space="preserve"> </w:t>
      </w:r>
    </w:p>
    <w:p w:rsidR="009B42B2" w:rsidRDefault="009B42B2" w:rsidP="009B42B2">
      <w:pPr>
        <w:ind w:firstLine="709"/>
        <w:jc w:val="both"/>
        <w:rPr>
          <w:b/>
          <w:bCs/>
          <w:lang w:val="es-ES"/>
        </w:rPr>
      </w:pPr>
      <w:r>
        <w:rPr>
          <w:b/>
          <w:bCs/>
          <w:i/>
          <w:iCs/>
          <w:lang w:val="es-ES_tradnl"/>
        </w:rPr>
        <w:t>En ese mismo sentido, debe procederse cuando el informe de troquelados indique que no es posible identificar el vehículo decomisado, debiendo entregarse provisionalmente a su poseedor. En ese caso, de comprobarse la inexistencia del vehículo original, según informe del OIJ indicado en el punto I, debe procederse a la cancelación del asiento registral que pretendía ocupar el vehículo alterado. El interesado, como poseedor de buena fe de ese vehículo, deberá plantear el procedimiento respectivo para lograr una nueva inscripción del vehículo en otro asiento, ante el Registro Público, o plantear las acciones legales en la vía jurisdiccional respectiva.</w:t>
      </w:r>
      <w:r>
        <w:rPr>
          <w:b/>
          <w:bCs/>
          <w:lang w:val="es-ES"/>
        </w:rPr>
        <w:t xml:space="preserve"> </w:t>
      </w:r>
    </w:p>
    <w:p w:rsidR="009B42B2" w:rsidRDefault="009B42B2" w:rsidP="009B42B2">
      <w:pPr>
        <w:ind w:hanging="360"/>
        <w:jc w:val="both"/>
        <w:rPr>
          <w:b/>
          <w:bCs/>
          <w:lang w:val="es-ES"/>
        </w:rPr>
      </w:pPr>
      <w:r>
        <w:rPr>
          <w:b/>
          <w:bCs/>
          <w:i/>
          <w:iCs/>
          <w:lang w:val="es-ES_tradnl"/>
        </w:rPr>
        <w:t>3.</w:t>
      </w:r>
      <w:r>
        <w:rPr>
          <w:b/>
          <w:bCs/>
          <w:i/>
          <w:iCs/>
          <w:lang w:val="es-ES"/>
        </w:rPr>
        <w:t xml:space="preserve"> </w:t>
      </w:r>
      <w:r>
        <w:rPr>
          <w:b/>
          <w:bCs/>
          <w:i/>
          <w:iCs/>
          <w:u w:val="single"/>
          <w:lang w:val="es-ES_tradnl"/>
        </w:rPr>
        <w:t>SOBRE LOS CASOS DE ABANDONO DEL BIEN</w:t>
      </w:r>
      <w:r>
        <w:rPr>
          <w:b/>
          <w:bCs/>
          <w:lang w:val="es-ES"/>
        </w:rPr>
        <w:t xml:space="preserve"> </w:t>
      </w:r>
    </w:p>
    <w:p w:rsidR="009B42B2" w:rsidRDefault="009B42B2" w:rsidP="009B42B2">
      <w:pPr>
        <w:pStyle w:val="textosinformato1"/>
        <w:ind w:hanging="432"/>
        <w:jc w:val="both"/>
        <w:rPr>
          <w:b/>
          <w:bCs/>
          <w:lang w:val="es-ES"/>
        </w:rPr>
      </w:pPr>
      <w:r>
        <w:rPr>
          <w:b/>
          <w:bCs/>
          <w:i/>
          <w:iCs/>
          <w:lang w:val="es-ES_tradnl"/>
        </w:rPr>
        <w:t>3.1.</w:t>
      </w:r>
      <w:r>
        <w:rPr>
          <w:b/>
          <w:bCs/>
          <w:i/>
          <w:iCs/>
          <w:lang w:val="es-ES"/>
        </w:rPr>
        <w:t xml:space="preserve"> </w:t>
      </w:r>
      <w:r>
        <w:rPr>
          <w:b/>
          <w:bCs/>
          <w:i/>
          <w:iCs/>
          <w:lang w:val="es-ES_tradnl"/>
        </w:rPr>
        <w:t>Ordenar dentro de la sentencia resolución que da fin a la causa la donación del bien, en caso de que pasen tres meses sin que sea reclamado o retirado:</w:t>
      </w:r>
      <w:r>
        <w:rPr>
          <w:b/>
          <w:bCs/>
          <w:i/>
          <w:iCs/>
          <w:lang w:val="es-ES"/>
        </w:rPr>
        <w:t xml:space="preserve"> </w:t>
      </w:r>
      <w:r>
        <w:rPr>
          <w:b/>
          <w:bCs/>
          <w:i/>
          <w:iCs/>
          <w:lang w:val="es-ES_tradnl"/>
        </w:rPr>
        <w:t xml:space="preserve">Cuando no proceda el comiso y ningún interesado acuda a solicitar la entrega del bien dentro de los tres meses de finalizado el proceso (desestimación o sobreseimiento), se procederá a la donación del vehículo, según lo dispone la ley 6106. Lo anterior, dentro de la misma sentencia o resolución que da fin a la causa, donde el Juez disponga dentro del considerando y el por tanto, que de pasar tres meses sin retirar o reclamar el bien, se procederá a su donación. Superado este término, el personal auxiliar debe confeccionar los oficios para que sean firmados por el Juez, a fin de iniciar los trámites inmediatos de donación, comunicando esto al Departamento de Proveeduría y al Depósito de Vehículos. </w:t>
      </w:r>
    </w:p>
    <w:p w:rsidR="009B42B2" w:rsidRDefault="009B42B2" w:rsidP="009B42B2">
      <w:pPr>
        <w:ind w:hanging="360"/>
        <w:jc w:val="both"/>
        <w:rPr>
          <w:b/>
          <w:bCs/>
          <w:lang w:val="es-ES"/>
        </w:rPr>
      </w:pPr>
      <w:r>
        <w:rPr>
          <w:b/>
          <w:bCs/>
          <w:i/>
          <w:iCs/>
          <w:lang w:val="es-ES_tradnl"/>
        </w:rPr>
        <w:t>4.</w:t>
      </w:r>
      <w:r>
        <w:rPr>
          <w:b/>
          <w:bCs/>
          <w:i/>
          <w:iCs/>
          <w:lang w:val="es-ES"/>
        </w:rPr>
        <w:t xml:space="preserve"> </w:t>
      </w:r>
      <w:r>
        <w:rPr>
          <w:b/>
          <w:bCs/>
          <w:i/>
          <w:iCs/>
          <w:u w:val="single"/>
          <w:lang w:val="es-ES_tradnl"/>
        </w:rPr>
        <w:t xml:space="preserve">SOBRE LA CANCELACIÓN DEL ASIENTO REGISTRAL: </w:t>
      </w:r>
    </w:p>
    <w:p w:rsidR="009B42B2" w:rsidRDefault="009B42B2" w:rsidP="009B42B2">
      <w:pPr>
        <w:ind w:hanging="432"/>
        <w:jc w:val="both"/>
        <w:rPr>
          <w:b/>
          <w:bCs/>
          <w:lang w:val="es-ES"/>
        </w:rPr>
      </w:pPr>
      <w:r>
        <w:rPr>
          <w:b/>
          <w:bCs/>
          <w:i/>
          <w:iCs/>
          <w:lang w:val="es-ES_tradnl"/>
        </w:rPr>
        <w:t>4.1.</w:t>
      </w:r>
      <w:r>
        <w:rPr>
          <w:b/>
          <w:bCs/>
          <w:i/>
          <w:iCs/>
          <w:lang w:val="es-ES"/>
        </w:rPr>
        <w:t xml:space="preserve"> </w:t>
      </w:r>
      <w:r>
        <w:rPr>
          <w:b/>
          <w:bCs/>
          <w:i/>
          <w:iCs/>
          <w:lang w:val="es-ES_tradnl"/>
        </w:rPr>
        <w:t xml:space="preserve">Ordenar la cancelación del asiento registral: En la sentencia o resolución dictada por el Juzgado, deberá ordenarse la cancelación del asiento registral, el cual ocupaba espuriamente el vehículo alterado, esto para efectos de que no se perpetúe su falsa legalidad registral, así como para evitar que en dicho asiento se inscriba otro vehículo alterado de iguales características. De ahí la importancia del informe indicado en el punto I, que establezca la existencia del vehículo original o verdadero que ocupó dicho asiento alguna vez, pero que probablemente ya no exista, de ahí que se valgan de esto las bandas que roban vehículos para saber en </w:t>
      </w:r>
      <w:proofErr w:type="spellStart"/>
      <w:r>
        <w:rPr>
          <w:b/>
          <w:bCs/>
          <w:i/>
          <w:iCs/>
          <w:lang w:val="es-ES_tradnl"/>
        </w:rPr>
        <w:t>que</w:t>
      </w:r>
      <w:proofErr w:type="spellEnd"/>
      <w:r>
        <w:rPr>
          <w:b/>
          <w:bCs/>
          <w:i/>
          <w:iCs/>
          <w:lang w:val="es-ES_tradnl"/>
        </w:rPr>
        <w:t xml:space="preserve"> asientos registrales colocar los vehículos alterados. Por ello la necesidad también de ir cancelando estos asientos, pues si se dejan activos, serán utilizados una y otra vez, acrecentando las estafas a los ciudadanos y el trabajo del Poder Judicial. </w:t>
      </w:r>
    </w:p>
    <w:p w:rsidR="009B42B2" w:rsidRDefault="009B42B2" w:rsidP="009B42B2">
      <w:pPr>
        <w:ind w:hanging="360"/>
        <w:jc w:val="both"/>
        <w:rPr>
          <w:b/>
          <w:bCs/>
          <w:lang w:val="es-ES"/>
        </w:rPr>
      </w:pPr>
      <w:r>
        <w:rPr>
          <w:b/>
          <w:bCs/>
          <w:i/>
          <w:iCs/>
          <w:lang w:val="es-ES_tradnl"/>
        </w:rPr>
        <w:t>5.</w:t>
      </w:r>
      <w:r>
        <w:rPr>
          <w:b/>
          <w:bCs/>
          <w:i/>
          <w:iCs/>
          <w:lang w:val="es-ES"/>
        </w:rPr>
        <w:t xml:space="preserve"> </w:t>
      </w:r>
      <w:r>
        <w:rPr>
          <w:b/>
          <w:bCs/>
          <w:i/>
          <w:iCs/>
          <w:u w:val="single"/>
          <w:lang w:val="es-ES_tradnl"/>
        </w:rPr>
        <w:t xml:space="preserve">SOBRE LOS CASOS EN QUE PROCEDA EL </w:t>
      </w:r>
      <w:proofErr w:type="gramStart"/>
      <w:r>
        <w:rPr>
          <w:b/>
          <w:bCs/>
          <w:i/>
          <w:iCs/>
          <w:u w:val="single"/>
          <w:lang w:val="es-ES_tradnl"/>
        </w:rPr>
        <w:t>COMISO</w:t>
      </w:r>
      <w:r>
        <w:rPr>
          <w:b/>
          <w:bCs/>
          <w:i/>
          <w:iCs/>
          <w:lang w:val="es-ES"/>
        </w:rPr>
        <w:t xml:space="preserve"> </w:t>
      </w:r>
      <w:r>
        <w:rPr>
          <w:b/>
          <w:bCs/>
          <w:i/>
          <w:iCs/>
          <w:lang w:val="es-ES_tradnl"/>
        </w:rPr>
        <w:t>:</w:t>
      </w:r>
      <w:proofErr w:type="gramEnd"/>
      <w:r>
        <w:rPr>
          <w:b/>
          <w:bCs/>
          <w:i/>
          <w:iCs/>
          <w:lang w:val="es-ES_tradnl"/>
        </w:rPr>
        <w:t xml:space="preserve"> </w:t>
      </w:r>
    </w:p>
    <w:p w:rsidR="009B42B2" w:rsidRDefault="009B42B2" w:rsidP="009B42B2">
      <w:pPr>
        <w:ind w:hanging="432"/>
        <w:jc w:val="both"/>
        <w:rPr>
          <w:b/>
          <w:bCs/>
          <w:lang w:val="es-ES"/>
        </w:rPr>
      </w:pPr>
      <w:r>
        <w:rPr>
          <w:b/>
          <w:bCs/>
          <w:i/>
          <w:iCs/>
          <w:lang w:val="es-ES_tradnl"/>
        </w:rPr>
        <w:lastRenderedPageBreak/>
        <w:t>5.1.</w:t>
      </w:r>
      <w:r>
        <w:rPr>
          <w:b/>
          <w:bCs/>
          <w:i/>
          <w:iCs/>
          <w:lang w:val="es-ES"/>
        </w:rPr>
        <w:t xml:space="preserve"> </w:t>
      </w:r>
      <w:r>
        <w:rPr>
          <w:b/>
          <w:bCs/>
          <w:i/>
          <w:iCs/>
          <w:lang w:val="es-ES_tradnl"/>
        </w:rPr>
        <w:t xml:space="preserve">Una vez dispuesto el comiso, deberá seguirse los pasos establecidos por la Ley Nº 6106 “Ley de Distribución de Bienes Confiscados o Caídos en Comiso”, procediendo de inmediato a la donación del vehículos para descongestionar rápidamente el Depósito. </w:t>
      </w:r>
    </w:p>
    <w:p w:rsidR="009B42B2" w:rsidRDefault="009B42B2" w:rsidP="009B42B2">
      <w:pPr>
        <w:ind w:firstLine="709"/>
        <w:jc w:val="both"/>
        <w:rPr>
          <w:b/>
          <w:bCs/>
          <w:lang w:val="es-ES"/>
        </w:rPr>
      </w:pPr>
      <w:r>
        <w:rPr>
          <w:b/>
          <w:bCs/>
          <w:i/>
          <w:iCs/>
          <w:lang w:val="es-ES_tradnl"/>
        </w:rPr>
        <w:t>Con relación a los casos en los que procede ordenar el comiso, complementar con el criterio emitido por la Comisión de Asuntos Penales, en informe Nº CAP.015-07 de 24 de agosto del 2007, según la cual en resoluciones como el archivo fiscal, desestimación, sobreseimiento provisional y definitivo, procede el comiso de bienes, pues debe interpretarse este tipo resoluciones como aquellas que ponían fin a un proceso determinado. Lo anterior por cuanto existía el criterio, que el comiso en relación con la supra citada ley solamente procedía en caso de sentencia, siendo que la gran mayoría de casos terminaban en desestimaciones con un bien decomisado y sin que fuese reclamado, lo que obviamente, con tal criterio, no se podía disponer del bien, saturándose las instalaciones del Depósito ante la disyuntiva de que “el comiso solo mediante sentencia” y por consiguiente había que devolver el bien a una parte que incluso ya no le interesaba el mismo, fuera propietario registral, fuera poseedor de buena fe.”</w:t>
      </w:r>
      <w:r>
        <w:rPr>
          <w:b/>
          <w:bCs/>
          <w:lang w:val="es-ES"/>
        </w:rPr>
        <w:t xml:space="preserve"> </w:t>
      </w:r>
    </w:p>
    <w:p w:rsidR="009B42B2" w:rsidRDefault="009B42B2" w:rsidP="009B42B2">
      <w:pPr>
        <w:ind w:firstLine="710"/>
        <w:jc w:val="both"/>
        <w:rPr>
          <w:b/>
          <w:bCs/>
          <w:lang w:val="es-ES"/>
        </w:rPr>
      </w:pPr>
      <w:r>
        <w:rPr>
          <w:b/>
          <w:bCs/>
          <w:lang w:val="es-ES_tradnl"/>
        </w:rPr>
        <w:t>También, se le reitera al Juez Ejecutor que, es recomendable, cuando practique un embargo de vehículo automotor, nombre depositario judicial y ordene su entrega, con el fin de no saturar el depósito de vehículos de la Dirección General de Tránsito.</w:t>
      </w:r>
      <w:r>
        <w:rPr>
          <w:b/>
          <w:bCs/>
          <w:lang w:val="es-ES"/>
        </w:rPr>
        <w:t xml:space="preserve"> </w:t>
      </w:r>
    </w:p>
    <w:p w:rsidR="009B42B2" w:rsidRDefault="009B42B2" w:rsidP="009B42B2">
      <w:pPr>
        <w:ind w:firstLine="710"/>
        <w:jc w:val="both"/>
        <w:rPr>
          <w:b/>
          <w:bCs/>
          <w:lang w:val="es-ES"/>
        </w:rPr>
      </w:pPr>
      <w:r>
        <w:rPr>
          <w:b/>
          <w:bCs/>
          <w:lang w:val="es-ES_tradnl"/>
        </w:rPr>
        <w:t>Deberá el Tribunal de la Inspección Judicial, en sus visitas a los despachos judiciales, constatar el cumplimiento de estas directrices.</w:t>
      </w:r>
      <w:r>
        <w:rPr>
          <w:b/>
          <w:bCs/>
          <w:lang w:val="es-ES"/>
        </w:rPr>
        <w:t xml:space="preserve"> </w:t>
      </w:r>
      <w:r>
        <w:rPr>
          <w:b/>
          <w:bCs/>
          <w:lang w:val="es-ES_tradnl"/>
        </w:rPr>
        <w:t xml:space="preserve">San José, 06 de noviembre de 2009. </w:t>
      </w:r>
    </w:p>
    <w:p w:rsidR="009B42B2" w:rsidRDefault="009B42B2" w:rsidP="009B42B2">
      <w:pPr>
        <w:pStyle w:val="Ttulo7"/>
        <w:rPr>
          <w:lang w:val="es-ES"/>
        </w:rPr>
      </w:pPr>
      <w:proofErr w:type="spellStart"/>
      <w:r>
        <w:rPr>
          <w:lang w:val="pt-BR"/>
        </w:rPr>
        <w:t>Licda</w:t>
      </w:r>
      <w:proofErr w:type="spellEnd"/>
      <w:r>
        <w:rPr>
          <w:lang w:val="pt-BR"/>
        </w:rPr>
        <w:t>. Silvia Navarro Romanini</w:t>
      </w:r>
      <w:r>
        <w:rPr>
          <w:lang w:val="es-ES"/>
        </w:rPr>
        <w:t xml:space="preserve"> </w:t>
      </w:r>
    </w:p>
    <w:p w:rsidR="009B42B2" w:rsidRDefault="009B42B2" w:rsidP="009B42B2">
      <w:pPr>
        <w:pStyle w:val="bodytext2"/>
        <w:jc w:val="center"/>
        <w:rPr>
          <w:lang w:val="es-ES"/>
        </w:rPr>
      </w:pPr>
      <w:r>
        <w:rPr>
          <w:u w:val="none"/>
          <w:lang w:val="pt-BR"/>
        </w:rPr>
        <w:t>Secretaria General</w:t>
      </w:r>
      <w:r>
        <w:rPr>
          <w:lang w:val="es-ES"/>
        </w:rPr>
        <w:t xml:space="preserve"> </w:t>
      </w:r>
    </w:p>
    <w:p w:rsidR="009B42B2" w:rsidRDefault="009B42B2" w:rsidP="009B42B2">
      <w:pPr>
        <w:pStyle w:val="bodytext2"/>
        <w:jc w:val="center"/>
        <w:rPr>
          <w:lang w:val="es-ES"/>
        </w:rPr>
      </w:pPr>
      <w:r>
        <w:rPr>
          <w:u w:val="none"/>
          <w:lang w:val="pt-BR"/>
        </w:rPr>
        <w:t>Corte Suprema de Justicia</w:t>
      </w:r>
      <w:r>
        <w:rPr>
          <w:lang w:val="es-ES"/>
        </w:rPr>
        <w:t xml:space="preserve"> </w:t>
      </w:r>
    </w:p>
    <w:p w:rsidR="009B42B2" w:rsidRDefault="009B42B2" w:rsidP="009B42B2">
      <w:pPr>
        <w:jc w:val="both"/>
        <w:rPr>
          <w:b/>
          <w:bCs/>
          <w:lang w:val="es-ES"/>
        </w:rPr>
      </w:pPr>
      <w:r>
        <w:rPr>
          <w:b/>
          <w:bCs/>
          <w:lang w:val="es-ES_tradnl"/>
        </w:rPr>
        <w:t>Ashley</w:t>
      </w:r>
      <w:r>
        <w:rPr>
          <w:b/>
          <w:bCs/>
          <w:lang w:val="es-ES"/>
        </w:rPr>
        <w:t xml:space="preserve"> </w:t>
      </w:r>
    </w:p>
    <w:p w:rsidR="009B42B2" w:rsidRDefault="009B42B2" w:rsidP="009B42B2">
      <w:pPr>
        <w:jc w:val="both"/>
        <w:rPr>
          <w:b/>
          <w:bCs/>
          <w:lang w:val="es-ES"/>
        </w:rPr>
      </w:pPr>
      <w:r>
        <w:rPr>
          <w:b/>
          <w:bCs/>
          <w:lang w:val="es-ES_tradnl"/>
        </w:rPr>
        <w:t>Publicación: Boletín Judicial Nº 9 del 14 de enero de 2010</w:t>
      </w:r>
      <w:r>
        <w:rPr>
          <w:b/>
          <w:bCs/>
          <w:lang w:val="es-ES"/>
        </w:rPr>
        <w:t xml:space="preserve"> </w:t>
      </w:r>
    </w:p>
    <w:p w:rsidR="00160AF4" w:rsidRPr="009B42B2" w:rsidRDefault="009B42B2" w:rsidP="009B42B2">
      <w:r>
        <w:rPr>
          <w:b/>
          <w:bCs/>
          <w:lang w:val="es-ES"/>
        </w:rPr>
        <w:br/>
      </w:r>
      <w:r>
        <w:rPr>
          <w:b/>
          <w:bCs/>
          <w:sz w:val="15"/>
          <w:szCs w:val="15"/>
          <w:lang w:val="es-ES"/>
        </w:rPr>
        <w:t>Es copia fiel del original - Tomado del Sistema Costarricense de Información Jurídica el: 23/05/2018 01:39:46 p.m.</w:t>
      </w:r>
    </w:p>
    <w:sectPr w:rsidR="00160AF4" w:rsidRPr="009B42B2" w:rsidSect="00160AF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62475"/>
    <w:rsid w:val="001318B1"/>
    <w:rsid w:val="00160AF4"/>
    <w:rsid w:val="002364E4"/>
    <w:rsid w:val="002E1763"/>
    <w:rsid w:val="003C15B1"/>
    <w:rsid w:val="003C538C"/>
    <w:rsid w:val="004348A8"/>
    <w:rsid w:val="00472BC6"/>
    <w:rsid w:val="005D48D3"/>
    <w:rsid w:val="00662475"/>
    <w:rsid w:val="00707AF8"/>
    <w:rsid w:val="00772567"/>
    <w:rsid w:val="0081626C"/>
    <w:rsid w:val="008E434A"/>
    <w:rsid w:val="00906174"/>
    <w:rsid w:val="009454B8"/>
    <w:rsid w:val="009B42B2"/>
    <w:rsid w:val="009D35B1"/>
    <w:rsid w:val="009D6A05"/>
    <w:rsid w:val="00C000D7"/>
    <w:rsid w:val="00C801C2"/>
    <w:rsid w:val="00D120A7"/>
    <w:rsid w:val="00D47217"/>
    <w:rsid w:val="00D81C50"/>
    <w:rsid w:val="00E831F1"/>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475"/>
    <w:pPr>
      <w:spacing w:after="0" w:line="240" w:lineRule="auto"/>
    </w:pPr>
    <w:rPr>
      <w:rFonts w:ascii="Times New Roman" w:eastAsia="Times New Roman" w:hAnsi="Times New Roman" w:cs="Times New Roman"/>
      <w:sz w:val="24"/>
      <w:szCs w:val="24"/>
      <w:lang w:eastAsia="es-CR"/>
    </w:rPr>
  </w:style>
  <w:style w:type="paragraph" w:styleId="Ttulo7">
    <w:name w:val="heading 7"/>
    <w:basedOn w:val="Normal"/>
    <w:link w:val="Ttulo7Car"/>
    <w:qFormat/>
    <w:rsid w:val="00D47217"/>
    <w:pPr>
      <w:keepNext/>
      <w:spacing w:before="100" w:beforeAutospacing="1" w:after="100" w:afterAutospacing="1"/>
      <w:jc w:val="center"/>
      <w:outlineLvl w:val="6"/>
    </w:pPr>
    <w:rPr>
      <w:b/>
      <w:bCs/>
    </w:rPr>
  </w:style>
  <w:style w:type="paragraph" w:styleId="Ttulo9">
    <w:name w:val="heading 9"/>
    <w:basedOn w:val="Normal"/>
    <w:link w:val="Ttulo9Car"/>
    <w:qFormat/>
    <w:rsid w:val="00D47217"/>
    <w:pPr>
      <w:keepNext/>
      <w:spacing w:before="100" w:beforeAutospacing="1" w:after="100" w:afterAutospacing="1"/>
      <w:jc w:val="both"/>
      <w:outlineLvl w:val="8"/>
    </w:pPr>
    <w:rPr>
      <w:spacing w:val="-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62475"/>
    <w:rPr>
      <w:rFonts w:ascii="Tahoma" w:hAnsi="Tahoma" w:cs="Tahoma"/>
      <w:sz w:val="16"/>
      <w:szCs w:val="16"/>
    </w:rPr>
  </w:style>
  <w:style w:type="character" w:customStyle="1" w:styleId="TextodegloboCar">
    <w:name w:val="Texto de globo Car"/>
    <w:basedOn w:val="Fuentedeprrafopredeter"/>
    <w:link w:val="Textodeglobo"/>
    <w:uiPriority w:val="99"/>
    <w:semiHidden/>
    <w:rsid w:val="00662475"/>
    <w:rPr>
      <w:rFonts w:ascii="Tahoma" w:eastAsia="Times New Roman" w:hAnsi="Tahoma" w:cs="Tahoma"/>
      <w:sz w:val="16"/>
      <w:szCs w:val="16"/>
      <w:lang w:eastAsia="es-CR"/>
    </w:rPr>
  </w:style>
  <w:style w:type="paragraph" w:styleId="NormalWeb">
    <w:name w:val="Normal (Web)"/>
    <w:basedOn w:val="Normal"/>
    <w:uiPriority w:val="99"/>
    <w:semiHidden/>
    <w:unhideWhenUsed/>
    <w:rsid w:val="004348A8"/>
    <w:pPr>
      <w:spacing w:before="100" w:beforeAutospacing="1" w:after="100" w:afterAutospacing="1"/>
    </w:pPr>
  </w:style>
  <w:style w:type="paragraph" w:styleId="Textoindependiente">
    <w:name w:val="Body Text"/>
    <w:basedOn w:val="Normal"/>
    <w:link w:val="TextoindependienteCar"/>
    <w:unhideWhenUsed/>
    <w:rsid w:val="00707AF8"/>
    <w:pPr>
      <w:spacing w:before="100" w:beforeAutospacing="1" w:after="100" w:afterAutospacing="1"/>
    </w:pPr>
  </w:style>
  <w:style w:type="character" w:customStyle="1" w:styleId="TextoindependienteCar">
    <w:name w:val="Texto independiente Car"/>
    <w:basedOn w:val="Fuentedeprrafopredeter"/>
    <w:link w:val="Textoindependiente"/>
    <w:rsid w:val="00707AF8"/>
    <w:rPr>
      <w:rFonts w:ascii="Times New Roman" w:eastAsia="Times New Roman" w:hAnsi="Times New Roman" w:cs="Times New Roman"/>
      <w:sz w:val="24"/>
      <w:szCs w:val="24"/>
      <w:lang w:eastAsia="es-CR"/>
    </w:rPr>
  </w:style>
  <w:style w:type="paragraph" w:customStyle="1" w:styleId="heading5">
    <w:name w:val="heading5"/>
    <w:basedOn w:val="Normal"/>
    <w:rsid w:val="005D48D3"/>
    <w:pPr>
      <w:keepNext/>
      <w:shd w:val="clear" w:color="auto" w:fill="FFFFFF"/>
      <w:spacing w:before="100" w:beforeAutospacing="1" w:after="100" w:afterAutospacing="1"/>
      <w:jc w:val="center"/>
    </w:pPr>
    <w:rPr>
      <w:b/>
      <w:bCs/>
      <w:u w:val="single"/>
    </w:rPr>
  </w:style>
  <w:style w:type="character" w:styleId="Refdenotaalpie">
    <w:name w:val="footnote reference"/>
    <w:basedOn w:val="Fuentedeprrafopredeter"/>
    <w:uiPriority w:val="99"/>
    <w:semiHidden/>
    <w:unhideWhenUsed/>
    <w:rsid w:val="00C801C2"/>
    <w:rPr>
      <w:vertAlign w:val="superscript"/>
    </w:rPr>
  </w:style>
  <w:style w:type="paragraph" w:styleId="Textonotapie">
    <w:name w:val="footnote text"/>
    <w:basedOn w:val="Normal"/>
    <w:link w:val="TextonotapieCar"/>
    <w:uiPriority w:val="99"/>
    <w:semiHidden/>
    <w:unhideWhenUsed/>
    <w:rsid w:val="00C801C2"/>
    <w:pPr>
      <w:spacing w:before="100" w:beforeAutospacing="1" w:after="100" w:afterAutospacing="1"/>
    </w:pPr>
  </w:style>
  <w:style w:type="character" w:customStyle="1" w:styleId="TextonotapieCar">
    <w:name w:val="Texto nota pie Car"/>
    <w:basedOn w:val="Fuentedeprrafopredeter"/>
    <w:link w:val="Textonotapie"/>
    <w:uiPriority w:val="99"/>
    <w:semiHidden/>
    <w:rsid w:val="00C801C2"/>
    <w:rPr>
      <w:rFonts w:ascii="Times New Roman" w:eastAsia="Times New Roman" w:hAnsi="Times New Roman" w:cs="Times New Roman"/>
      <w:sz w:val="24"/>
      <w:szCs w:val="24"/>
      <w:lang w:eastAsia="es-CR"/>
    </w:rPr>
  </w:style>
  <w:style w:type="character" w:styleId="Hipervnculo">
    <w:name w:val="Hyperlink"/>
    <w:basedOn w:val="Fuentedeprrafopredeter"/>
    <w:uiPriority w:val="99"/>
    <w:semiHidden/>
    <w:unhideWhenUsed/>
    <w:rsid w:val="00D81C50"/>
    <w:rPr>
      <w:u w:val="single"/>
    </w:rPr>
  </w:style>
  <w:style w:type="character" w:customStyle="1" w:styleId="Ttulo7Car">
    <w:name w:val="Título 7 Car"/>
    <w:basedOn w:val="Fuentedeprrafopredeter"/>
    <w:link w:val="Ttulo7"/>
    <w:rsid w:val="00D47217"/>
    <w:rPr>
      <w:rFonts w:ascii="Times New Roman" w:eastAsia="Times New Roman" w:hAnsi="Times New Roman" w:cs="Times New Roman"/>
      <w:b/>
      <w:bCs/>
      <w:sz w:val="24"/>
      <w:szCs w:val="24"/>
      <w:lang w:eastAsia="es-CR"/>
    </w:rPr>
  </w:style>
  <w:style w:type="character" w:customStyle="1" w:styleId="Ttulo9Car">
    <w:name w:val="Título 9 Car"/>
    <w:basedOn w:val="Fuentedeprrafopredeter"/>
    <w:link w:val="Ttulo9"/>
    <w:rsid w:val="00D47217"/>
    <w:rPr>
      <w:rFonts w:ascii="Times New Roman" w:eastAsia="Times New Roman" w:hAnsi="Times New Roman" w:cs="Times New Roman"/>
      <w:spacing w:val="-3"/>
      <w:sz w:val="24"/>
      <w:szCs w:val="24"/>
      <w:lang w:eastAsia="es-CR"/>
    </w:rPr>
  </w:style>
  <w:style w:type="paragraph" w:customStyle="1" w:styleId="bodytext2">
    <w:name w:val="bodytext2"/>
    <w:basedOn w:val="Normal"/>
    <w:rsid w:val="009B42B2"/>
    <w:pPr>
      <w:spacing w:before="100" w:beforeAutospacing="1" w:after="100" w:afterAutospacing="1"/>
      <w:jc w:val="both"/>
    </w:pPr>
    <w:rPr>
      <w:b/>
      <w:bCs/>
      <w:u w:val="single"/>
    </w:rPr>
  </w:style>
  <w:style w:type="paragraph" w:customStyle="1" w:styleId="textosinformato1">
    <w:name w:val="textosinformato1"/>
    <w:basedOn w:val="Normal"/>
    <w:rsid w:val="009B42B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8144340">
      <w:bodyDiv w:val="1"/>
      <w:marLeft w:val="0"/>
      <w:marRight w:val="0"/>
      <w:marTop w:val="0"/>
      <w:marBottom w:val="0"/>
      <w:divBdr>
        <w:top w:val="none" w:sz="0" w:space="0" w:color="auto"/>
        <w:left w:val="none" w:sz="0" w:space="0" w:color="auto"/>
        <w:bottom w:val="none" w:sz="0" w:space="0" w:color="auto"/>
        <w:right w:val="none" w:sz="0" w:space="0" w:color="auto"/>
      </w:divBdr>
    </w:div>
    <w:div w:id="194269063">
      <w:bodyDiv w:val="1"/>
      <w:marLeft w:val="0"/>
      <w:marRight w:val="0"/>
      <w:marTop w:val="0"/>
      <w:marBottom w:val="0"/>
      <w:divBdr>
        <w:top w:val="none" w:sz="0" w:space="0" w:color="auto"/>
        <w:left w:val="none" w:sz="0" w:space="0" w:color="auto"/>
        <w:bottom w:val="none" w:sz="0" w:space="0" w:color="auto"/>
        <w:right w:val="none" w:sz="0" w:space="0" w:color="auto"/>
      </w:divBdr>
    </w:div>
    <w:div w:id="402684311">
      <w:bodyDiv w:val="1"/>
      <w:marLeft w:val="0"/>
      <w:marRight w:val="0"/>
      <w:marTop w:val="0"/>
      <w:marBottom w:val="0"/>
      <w:divBdr>
        <w:top w:val="none" w:sz="0" w:space="0" w:color="auto"/>
        <w:left w:val="none" w:sz="0" w:space="0" w:color="auto"/>
        <w:bottom w:val="none" w:sz="0" w:space="0" w:color="auto"/>
        <w:right w:val="none" w:sz="0" w:space="0" w:color="auto"/>
      </w:divBdr>
    </w:div>
    <w:div w:id="424158981">
      <w:bodyDiv w:val="1"/>
      <w:marLeft w:val="0"/>
      <w:marRight w:val="0"/>
      <w:marTop w:val="0"/>
      <w:marBottom w:val="0"/>
      <w:divBdr>
        <w:top w:val="none" w:sz="0" w:space="0" w:color="auto"/>
        <w:left w:val="none" w:sz="0" w:space="0" w:color="auto"/>
        <w:bottom w:val="none" w:sz="0" w:space="0" w:color="auto"/>
        <w:right w:val="none" w:sz="0" w:space="0" w:color="auto"/>
      </w:divBdr>
    </w:div>
    <w:div w:id="490408570">
      <w:bodyDiv w:val="1"/>
      <w:marLeft w:val="0"/>
      <w:marRight w:val="0"/>
      <w:marTop w:val="0"/>
      <w:marBottom w:val="0"/>
      <w:divBdr>
        <w:top w:val="none" w:sz="0" w:space="0" w:color="auto"/>
        <w:left w:val="none" w:sz="0" w:space="0" w:color="auto"/>
        <w:bottom w:val="none" w:sz="0" w:space="0" w:color="auto"/>
        <w:right w:val="none" w:sz="0" w:space="0" w:color="auto"/>
      </w:divBdr>
      <w:divsChild>
        <w:div w:id="1395857637">
          <w:marLeft w:val="0"/>
          <w:marRight w:val="0"/>
          <w:marTop w:val="0"/>
          <w:marBottom w:val="0"/>
          <w:divBdr>
            <w:top w:val="none" w:sz="0" w:space="0" w:color="auto"/>
            <w:left w:val="none" w:sz="0" w:space="0" w:color="auto"/>
            <w:bottom w:val="none" w:sz="0" w:space="0" w:color="auto"/>
            <w:right w:val="none" w:sz="0" w:space="0" w:color="auto"/>
          </w:divBdr>
        </w:div>
        <w:div w:id="187839191">
          <w:marLeft w:val="0"/>
          <w:marRight w:val="0"/>
          <w:marTop w:val="0"/>
          <w:marBottom w:val="0"/>
          <w:divBdr>
            <w:top w:val="none" w:sz="0" w:space="0" w:color="auto"/>
            <w:left w:val="none" w:sz="0" w:space="0" w:color="auto"/>
            <w:bottom w:val="none" w:sz="0" w:space="0" w:color="auto"/>
            <w:right w:val="none" w:sz="0" w:space="0" w:color="auto"/>
          </w:divBdr>
        </w:div>
        <w:div w:id="1856455453">
          <w:marLeft w:val="0"/>
          <w:marRight w:val="0"/>
          <w:marTop w:val="0"/>
          <w:marBottom w:val="0"/>
          <w:divBdr>
            <w:top w:val="none" w:sz="0" w:space="0" w:color="auto"/>
            <w:left w:val="none" w:sz="0" w:space="0" w:color="auto"/>
            <w:bottom w:val="none" w:sz="0" w:space="0" w:color="auto"/>
            <w:right w:val="none" w:sz="0" w:space="0" w:color="auto"/>
          </w:divBdr>
        </w:div>
        <w:div w:id="1351761023">
          <w:marLeft w:val="0"/>
          <w:marRight w:val="0"/>
          <w:marTop w:val="0"/>
          <w:marBottom w:val="0"/>
          <w:divBdr>
            <w:top w:val="none" w:sz="0" w:space="0" w:color="auto"/>
            <w:left w:val="none" w:sz="0" w:space="0" w:color="auto"/>
            <w:bottom w:val="none" w:sz="0" w:space="0" w:color="auto"/>
            <w:right w:val="none" w:sz="0" w:space="0" w:color="auto"/>
          </w:divBdr>
        </w:div>
        <w:div w:id="1678851225">
          <w:marLeft w:val="0"/>
          <w:marRight w:val="0"/>
          <w:marTop w:val="0"/>
          <w:marBottom w:val="0"/>
          <w:divBdr>
            <w:top w:val="none" w:sz="0" w:space="0" w:color="auto"/>
            <w:left w:val="none" w:sz="0" w:space="0" w:color="auto"/>
            <w:bottom w:val="none" w:sz="0" w:space="0" w:color="auto"/>
            <w:right w:val="none" w:sz="0" w:space="0" w:color="auto"/>
          </w:divBdr>
        </w:div>
        <w:div w:id="1310747798">
          <w:marLeft w:val="0"/>
          <w:marRight w:val="0"/>
          <w:marTop w:val="0"/>
          <w:marBottom w:val="0"/>
          <w:divBdr>
            <w:top w:val="none" w:sz="0" w:space="0" w:color="auto"/>
            <w:left w:val="none" w:sz="0" w:space="0" w:color="auto"/>
            <w:bottom w:val="none" w:sz="0" w:space="0" w:color="auto"/>
            <w:right w:val="none" w:sz="0" w:space="0" w:color="auto"/>
          </w:divBdr>
        </w:div>
        <w:div w:id="1345860712">
          <w:marLeft w:val="0"/>
          <w:marRight w:val="0"/>
          <w:marTop w:val="0"/>
          <w:marBottom w:val="0"/>
          <w:divBdr>
            <w:top w:val="none" w:sz="0" w:space="0" w:color="auto"/>
            <w:left w:val="none" w:sz="0" w:space="0" w:color="auto"/>
            <w:bottom w:val="none" w:sz="0" w:space="0" w:color="auto"/>
            <w:right w:val="none" w:sz="0" w:space="0" w:color="auto"/>
          </w:divBdr>
        </w:div>
        <w:div w:id="227496127">
          <w:marLeft w:val="0"/>
          <w:marRight w:val="0"/>
          <w:marTop w:val="0"/>
          <w:marBottom w:val="0"/>
          <w:divBdr>
            <w:top w:val="none" w:sz="0" w:space="0" w:color="auto"/>
            <w:left w:val="none" w:sz="0" w:space="0" w:color="auto"/>
            <w:bottom w:val="none" w:sz="0" w:space="0" w:color="auto"/>
            <w:right w:val="none" w:sz="0" w:space="0" w:color="auto"/>
          </w:divBdr>
        </w:div>
        <w:div w:id="1652783376">
          <w:marLeft w:val="0"/>
          <w:marRight w:val="0"/>
          <w:marTop w:val="0"/>
          <w:marBottom w:val="0"/>
          <w:divBdr>
            <w:top w:val="none" w:sz="0" w:space="0" w:color="auto"/>
            <w:left w:val="none" w:sz="0" w:space="0" w:color="auto"/>
            <w:bottom w:val="none" w:sz="0" w:space="0" w:color="auto"/>
            <w:right w:val="none" w:sz="0" w:space="0" w:color="auto"/>
          </w:divBdr>
        </w:div>
        <w:div w:id="74516267">
          <w:marLeft w:val="0"/>
          <w:marRight w:val="0"/>
          <w:marTop w:val="0"/>
          <w:marBottom w:val="0"/>
          <w:divBdr>
            <w:top w:val="none" w:sz="0" w:space="0" w:color="auto"/>
            <w:left w:val="none" w:sz="0" w:space="0" w:color="auto"/>
            <w:bottom w:val="none" w:sz="0" w:space="0" w:color="auto"/>
            <w:right w:val="none" w:sz="0" w:space="0" w:color="auto"/>
          </w:divBdr>
        </w:div>
        <w:div w:id="2007514448">
          <w:marLeft w:val="0"/>
          <w:marRight w:val="0"/>
          <w:marTop w:val="0"/>
          <w:marBottom w:val="0"/>
          <w:divBdr>
            <w:top w:val="none" w:sz="0" w:space="0" w:color="auto"/>
            <w:left w:val="none" w:sz="0" w:space="0" w:color="auto"/>
            <w:bottom w:val="none" w:sz="0" w:space="0" w:color="auto"/>
            <w:right w:val="none" w:sz="0" w:space="0" w:color="auto"/>
          </w:divBdr>
        </w:div>
        <w:div w:id="1334139689">
          <w:marLeft w:val="0"/>
          <w:marRight w:val="0"/>
          <w:marTop w:val="0"/>
          <w:marBottom w:val="0"/>
          <w:divBdr>
            <w:top w:val="none" w:sz="0" w:space="0" w:color="auto"/>
            <w:left w:val="none" w:sz="0" w:space="0" w:color="auto"/>
            <w:bottom w:val="none" w:sz="0" w:space="0" w:color="auto"/>
            <w:right w:val="none" w:sz="0" w:space="0" w:color="auto"/>
          </w:divBdr>
        </w:div>
        <w:div w:id="1650550833">
          <w:marLeft w:val="0"/>
          <w:marRight w:val="0"/>
          <w:marTop w:val="0"/>
          <w:marBottom w:val="0"/>
          <w:divBdr>
            <w:top w:val="none" w:sz="0" w:space="0" w:color="auto"/>
            <w:left w:val="none" w:sz="0" w:space="0" w:color="auto"/>
            <w:bottom w:val="none" w:sz="0" w:space="0" w:color="auto"/>
            <w:right w:val="none" w:sz="0" w:space="0" w:color="auto"/>
          </w:divBdr>
        </w:div>
        <w:div w:id="1245339589">
          <w:marLeft w:val="0"/>
          <w:marRight w:val="0"/>
          <w:marTop w:val="0"/>
          <w:marBottom w:val="0"/>
          <w:divBdr>
            <w:top w:val="none" w:sz="0" w:space="0" w:color="auto"/>
            <w:left w:val="none" w:sz="0" w:space="0" w:color="auto"/>
            <w:bottom w:val="none" w:sz="0" w:space="0" w:color="auto"/>
            <w:right w:val="none" w:sz="0" w:space="0" w:color="auto"/>
          </w:divBdr>
        </w:div>
        <w:div w:id="669333906">
          <w:marLeft w:val="0"/>
          <w:marRight w:val="0"/>
          <w:marTop w:val="0"/>
          <w:marBottom w:val="0"/>
          <w:divBdr>
            <w:top w:val="none" w:sz="0" w:space="0" w:color="auto"/>
            <w:left w:val="none" w:sz="0" w:space="0" w:color="auto"/>
            <w:bottom w:val="none" w:sz="0" w:space="0" w:color="auto"/>
            <w:right w:val="none" w:sz="0" w:space="0" w:color="auto"/>
          </w:divBdr>
        </w:div>
        <w:div w:id="890192470">
          <w:marLeft w:val="0"/>
          <w:marRight w:val="0"/>
          <w:marTop w:val="0"/>
          <w:marBottom w:val="0"/>
          <w:divBdr>
            <w:top w:val="none" w:sz="0" w:space="0" w:color="auto"/>
            <w:left w:val="none" w:sz="0" w:space="0" w:color="auto"/>
            <w:bottom w:val="none" w:sz="0" w:space="0" w:color="auto"/>
            <w:right w:val="none" w:sz="0" w:space="0" w:color="auto"/>
          </w:divBdr>
        </w:div>
        <w:div w:id="2020960023">
          <w:marLeft w:val="0"/>
          <w:marRight w:val="0"/>
          <w:marTop w:val="0"/>
          <w:marBottom w:val="0"/>
          <w:divBdr>
            <w:top w:val="none" w:sz="0" w:space="0" w:color="auto"/>
            <w:left w:val="none" w:sz="0" w:space="0" w:color="auto"/>
            <w:bottom w:val="none" w:sz="0" w:space="0" w:color="auto"/>
            <w:right w:val="none" w:sz="0" w:space="0" w:color="auto"/>
          </w:divBdr>
        </w:div>
        <w:div w:id="298844698">
          <w:marLeft w:val="0"/>
          <w:marRight w:val="0"/>
          <w:marTop w:val="0"/>
          <w:marBottom w:val="0"/>
          <w:divBdr>
            <w:top w:val="none" w:sz="0" w:space="0" w:color="auto"/>
            <w:left w:val="none" w:sz="0" w:space="0" w:color="auto"/>
            <w:bottom w:val="none" w:sz="0" w:space="0" w:color="auto"/>
            <w:right w:val="none" w:sz="0" w:space="0" w:color="auto"/>
          </w:divBdr>
        </w:div>
        <w:div w:id="394133983">
          <w:marLeft w:val="0"/>
          <w:marRight w:val="0"/>
          <w:marTop w:val="0"/>
          <w:marBottom w:val="0"/>
          <w:divBdr>
            <w:top w:val="none" w:sz="0" w:space="0" w:color="auto"/>
            <w:left w:val="none" w:sz="0" w:space="0" w:color="auto"/>
            <w:bottom w:val="none" w:sz="0" w:space="0" w:color="auto"/>
            <w:right w:val="none" w:sz="0" w:space="0" w:color="auto"/>
          </w:divBdr>
        </w:div>
        <w:div w:id="1092551510">
          <w:marLeft w:val="0"/>
          <w:marRight w:val="0"/>
          <w:marTop w:val="0"/>
          <w:marBottom w:val="0"/>
          <w:divBdr>
            <w:top w:val="none" w:sz="0" w:space="0" w:color="auto"/>
            <w:left w:val="none" w:sz="0" w:space="0" w:color="auto"/>
            <w:bottom w:val="none" w:sz="0" w:space="0" w:color="auto"/>
            <w:right w:val="none" w:sz="0" w:space="0" w:color="auto"/>
          </w:divBdr>
        </w:div>
        <w:div w:id="1990133282">
          <w:marLeft w:val="0"/>
          <w:marRight w:val="0"/>
          <w:marTop w:val="0"/>
          <w:marBottom w:val="0"/>
          <w:divBdr>
            <w:top w:val="none" w:sz="0" w:space="0" w:color="auto"/>
            <w:left w:val="none" w:sz="0" w:space="0" w:color="auto"/>
            <w:bottom w:val="none" w:sz="0" w:space="0" w:color="auto"/>
            <w:right w:val="none" w:sz="0" w:space="0" w:color="auto"/>
          </w:divBdr>
        </w:div>
        <w:div w:id="1022246929">
          <w:marLeft w:val="0"/>
          <w:marRight w:val="0"/>
          <w:marTop w:val="0"/>
          <w:marBottom w:val="0"/>
          <w:divBdr>
            <w:top w:val="none" w:sz="0" w:space="0" w:color="auto"/>
            <w:left w:val="none" w:sz="0" w:space="0" w:color="auto"/>
            <w:bottom w:val="none" w:sz="0" w:space="0" w:color="auto"/>
            <w:right w:val="none" w:sz="0" w:space="0" w:color="auto"/>
          </w:divBdr>
        </w:div>
        <w:div w:id="1658807300">
          <w:marLeft w:val="0"/>
          <w:marRight w:val="0"/>
          <w:marTop w:val="0"/>
          <w:marBottom w:val="0"/>
          <w:divBdr>
            <w:top w:val="none" w:sz="0" w:space="0" w:color="auto"/>
            <w:left w:val="none" w:sz="0" w:space="0" w:color="auto"/>
            <w:bottom w:val="none" w:sz="0" w:space="0" w:color="auto"/>
            <w:right w:val="none" w:sz="0" w:space="0" w:color="auto"/>
          </w:divBdr>
        </w:div>
      </w:divsChild>
    </w:div>
    <w:div w:id="598299404">
      <w:bodyDiv w:val="1"/>
      <w:marLeft w:val="0"/>
      <w:marRight w:val="0"/>
      <w:marTop w:val="0"/>
      <w:marBottom w:val="0"/>
      <w:divBdr>
        <w:top w:val="none" w:sz="0" w:space="0" w:color="auto"/>
        <w:left w:val="none" w:sz="0" w:space="0" w:color="auto"/>
        <w:bottom w:val="none" w:sz="0" w:space="0" w:color="auto"/>
        <w:right w:val="none" w:sz="0" w:space="0" w:color="auto"/>
      </w:divBdr>
    </w:div>
    <w:div w:id="711000559">
      <w:bodyDiv w:val="1"/>
      <w:marLeft w:val="0"/>
      <w:marRight w:val="0"/>
      <w:marTop w:val="0"/>
      <w:marBottom w:val="0"/>
      <w:divBdr>
        <w:top w:val="none" w:sz="0" w:space="0" w:color="auto"/>
        <w:left w:val="none" w:sz="0" w:space="0" w:color="auto"/>
        <w:bottom w:val="none" w:sz="0" w:space="0" w:color="auto"/>
        <w:right w:val="none" w:sz="0" w:space="0" w:color="auto"/>
      </w:divBdr>
    </w:div>
    <w:div w:id="796676632">
      <w:bodyDiv w:val="1"/>
      <w:marLeft w:val="0"/>
      <w:marRight w:val="0"/>
      <w:marTop w:val="0"/>
      <w:marBottom w:val="0"/>
      <w:divBdr>
        <w:top w:val="none" w:sz="0" w:space="0" w:color="auto"/>
        <w:left w:val="none" w:sz="0" w:space="0" w:color="auto"/>
        <w:bottom w:val="none" w:sz="0" w:space="0" w:color="auto"/>
        <w:right w:val="none" w:sz="0" w:space="0" w:color="auto"/>
      </w:divBdr>
    </w:div>
    <w:div w:id="839586544">
      <w:bodyDiv w:val="1"/>
      <w:marLeft w:val="0"/>
      <w:marRight w:val="0"/>
      <w:marTop w:val="0"/>
      <w:marBottom w:val="0"/>
      <w:divBdr>
        <w:top w:val="none" w:sz="0" w:space="0" w:color="auto"/>
        <w:left w:val="none" w:sz="0" w:space="0" w:color="auto"/>
        <w:bottom w:val="none" w:sz="0" w:space="0" w:color="auto"/>
        <w:right w:val="none" w:sz="0" w:space="0" w:color="auto"/>
      </w:divBdr>
    </w:div>
    <w:div w:id="959455070">
      <w:bodyDiv w:val="1"/>
      <w:marLeft w:val="0"/>
      <w:marRight w:val="0"/>
      <w:marTop w:val="0"/>
      <w:marBottom w:val="0"/>
      <w:divBdr>
        <w:top w:val="none" w:sz="0" w:space="0" w:color="auto"/>
        <w:left w:val="none" w:sz="0" w:space="0" w:color="auto"/>
        <w:bottom w:val="none" w:sz="0" w:space="0" w:color="auto"/>
        <w:right w:val="none" w:sz="0" w:space="0" w:color="auto"/>
      </w:divBdr>
    </w:div>
    <w:div w:id="1119184015">
      <w:bodyDiv w:val="1"/>
      <w:marLeft w:val="0"/>
      <w:marRight w:val="0"/>
      <w:marTop w:val="0"/>
      <w:marBottom w:val="0"/>
      <w:divBdr>
        <w:top w:val="none" w:sz="0" w:space="0" w:color="auto"/>
        <w:left w:val="none" w:sz="0" w:space="0" w:color="auto"/>
        <w:bottom w:val="none" w:sz="0" w:space="0" w:color="auto"/>
        <w:right w:val="none" w:sz="0" w:space="0" w:color="auto"/>
      </w:divBdr>
    </w:div>
    <w:div w:id="1484204046">
      <w:bodyDiv w:val="1"/>
      <w:marLeft w:val="0"/>
      <w:marRight w:val="0"/>
      <w:marTop w:val="0"/>
      <w:marBottom w:val="0"/>
      <w:divBdr>
        <w:top w:val="none" w:sz="0" w:space="0" w:color="auto"/>
        <w:left w:val="none" w:sz="0" w:space="0" w:color="auto"/>
        <w:bottom w:val="none" w:sz="0" w:space="0" w:color="auto"/>
        <w:right w:val="none" w:sz="0" w:space="0" w:color="auto"/>
      </w:divBdr>
    </w:div>
    <w:div w:id="1667827075">
      <w:bodyDiv w:val="1"/>
      <w:marLeft w:val="0"/>
      <w:marRight w:val="0"/>
      <w:marTop w:val="0"/>
      <w:marBottom w:val="0"/>
      <w:divBdr>
        <w:top w:val="none" w:sz="0" w:space="0" w:color="auto"/>
        <w:left w:val="none" w:sz="0" w:space="0" w:color="auto"/>
        <w:bottom w:val="none" w:sz="0" w:space="0" w:color="auto"/>
        <w:right w:val="none" w:sz="0" w:space="0" w:color="auto"/>
      </w:divBdr>
    </w:div>
    <w:div w:id="1840000876">
      <w:bodyDiv w:val="1"/>
      <w:marLeft w:val="0"/>
      <w:marRight w:val="0"/>
      <w:marTop w:val="0"/>
      <w:marBottom w:val="0"/>
      <w:divBdr>
        <w:top w:val="none" w:sz="0" w:space="0" w:color="auto"/>
        <w:left w:val="none" w:sz="0" w:space="0" w:color="auto"/>
        <w:bottom w:val="none" w:sz="0" w:space="0" w:color="auto"/>
        <w:right w:val="none" w:sz="0" w:space="0" w:color="auto"/>
      </w:divBdr>
    </w:div>
    <w:div w:id="184558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1319</Words>
  <Characters>7258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pbenavides</dc:creator>
  <cp:lastModifiedBy>pbenavides</cp:lastModifiedBy>
  <cp:revision>2</cp:revision>
  <dcterms:created xsi:type="dcterms:W3CDTF">2018-05-23T19:40:00Z</dcterms:created>
  <dcterms:modified xsi:type="dcterms:W3CDTF">2018-05-23T19:40:00Z</dcterms:modified>
</cp:coreProperties>
</file>