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A8" w:rsidRDefault="004348A8" w:rsidP="004348A8">
      <w:pPr>
        <w:jc w:val="center"/>
        <w:rPr>
          <w:lang w:val="es-ES"/>
        </w:rPr>
      </w:pPr>
      <w:r>
        <w:rPr>
          <w:b/>
          <w:bCs/>
        </w:rPr>
        <w:t>CIRCULAR N° 33-2014</w:t>
      </w:r>
      <w:r>
        <w:rPr>
          <w:lang w:val="es-ES"/>
        </w:rPr>
        <w:t xml:space="preserve"> </w:t>
      </w:r>
    </w:p>
    <w:p w:rsidR="004348A8" w:rsidRDefault="004348A8" w:rsidP="004348A8">
      <w:pPr>
        <w:rPr>
          <w:lang w:val="es-ES"/>
        </w:rPr>
      </w:pPr>
      <w:r>
        <w:rPr>
          <w:b/>
          <w:bCs/>
        </w:rPr>
        <w:t>DE:</w:t>
      </w:r>
      <w:r>
        <w:rPr>
          <w:lang w:val="es-ES"/>
        </w:rPr>
        <w:t xml:space="preserve"> </w:t>
      </w:r>
      <w:smartTag w:uri="urn:schemas-microsoft-com:office:smarttags" w:element="PersonName">
        <w:smartTagPr>
          <w:attr w:name="style" w:val="BACKGROUND-IMAGE: url(res://ietag.dll/#34/#1001); BACKGROUND-REPEAT: repeat-x; BACKGROUND-POSITION: left bottom"/>
          <w:attr w:name="tabIndex" w:val="0"/>
        </w:smartTagPr>
        <w:r>
          <w:t>Alfredo Jones León</w:t>
        </w:r>
      </w:smartTag>
      <w:r>
        <w:t>, Director Ejecutivo</w:t>
      </w:r>
      <w:r>
        <w:rPr>
          <w:lang w:val="es-ES"/>
        </w:rPr>
        <w:t xml:space="preserve"> </w:t>
      </w:r>
    </w:p>
    <w:p w:rsidR="004348A8" w:rsidRDefault="004348A8" w:rsidP="004348A8">
      <w:pPr>
        <w:pStyle w:val="NormalWeb"/>
        <w:ind w:hanging="1680"/>
        <w:rPr>
          <w:lang w:val="es-ES"/>
        </w:rPr>
      </w:pPr>
      <w:r>
        <w:rPr>
          <w:b/>
          <w:bCs/>
        </w:rPr>
        <w:t>PARA:</w:t>
      </w:r>
      <w:r>
        <w:rPr>
          <w:lang w:val="es-ES"/>
        </w:rPr>
        <w:t xml:space="preserve"> </w:t>
      </w:r>
      <w:r>
        <w:t>Administradores Regionales</w:t>
      </w:r>
      <w:r>
        <w:rPr>
          <w:lang w:val="es-ES"/>
        </w:rPr>
        <w:t xml:space="preserve"> </w:t>
      </w:r>
    </w:p>
    <w:p w:rsidR="004348A8" w:rsidRDefault="004348A8" w:rsidP="004348A8">
      <w:pPr>
        <w:ind w:hanging="1704"/>
        <w:jc w:val="both"/>
        <w:rPr>
          <w:lang w:val="es-ES"/>
        </w:rPr>
      </w:pPr>
      <w:r>
        <w:rPr>
          <w:b/>
          <w:bCs/>
        </w:rPr>
        <w:t>ASUNTO:</w:t>
      </w:r>
      <w:r>
        <w:rPr>
          <w:lang w:val="es-ES"/>
        </w:rPr>
        <w:t xml:space="preserve"> </w:t>
      </w:r>
      <w:r>
        <w:t>Cumplimiento de “Protocolo para el trámite de vehículos decomisados por entidades judiciales”</w:t>
      </w:r>
      <w:r>
        <w:rPr>
          <w:lang w:val="es-ES"/>
        </w:rPr>
        <w:t xml:space="preserve"> </w:t>
      </w:r>
    </w:p>
    <w:p w:rsidR="004348A8" w:rsidRDefault="004348A8" w:rsidP="004348A8">
      <w:pPr>
        <w:rPr>
          <w:lang w:val="es-ES"/>
        </w:rPr>
      </w:pPr>
      <w:r>
        <w:rPr>
          <w:b/>
          <w:bCs/>
        </w:rPr>
        <w:t>FECHA:</w:t>
      </w:r>
      <w:r>
        <w:rPr>
          <w:lang w:val="es-ES"/>
        </w:rPr>
        <w:t xml:space="preserve"> </w:t>
      </w:r>
      <w:r>
        <w:t>25 de febrero del 2014</w:t>
      </w:r>
      <w:r>
        <w:rPr>
          <w:lang w:val="es-ES"/>
        </w:rPr>
        <w:t xml:space="preserve"> </w:t>
      </w:r>
    </w:p>
    <w:p w:rsidR="004348A8" w:rsidRDefault="004348A8" w:rsidP="004348A8">
      <w:pPr>
        <w:spacing w:line="360" w:lineRule="auto"/>
        <w:jc w:val="both"/>
        <w:rPr>
          <w:lang w:val="es-ES"/>
        </w:rPr>
      </w:pPr>
      <w:r>
        <w:t xml:space="preserve">Mediante informe N° 212 </w:t>
      </w:r>
      <w:r>
        <w:rPr>
          <w:spacing w:val="-3"/>
        </w:rPr>
        <w:t xml:space="preserve">-14-AEEC-2014 de 20 de febrero en curso, </w:t>
      </w:r>
      <w:smartTag w:uri="urn:schemas-microsoft-com:office:smarttags" w:element="PersonName">
        <w:smartTagPr>
          <w:attr w:name="ProductID" w:val="la Auditoria"/>
          <w:attr w:name="style" w:val="BACKGROUND-IMAGE: url(res://ietag.dll/#34/#1001); BACKGROUND-REPEAT: repeat-x; BACKGROUND-POSITION: left bottom"/>
          <w:attr w:name="tabIndex" w:val="0"/>
        </w:smartTagPr>
        <w:r>
          <w:rPr>
            <w:spacing w:val="-3"/>
          </w:rPr>
          <w:t>la Auditoria</w:t>
        </w:r>
      </w:smartTag>
      <w:r>
        <w:rPr>
          <w:spacing w:val="-3"/>
        </w:rPr>
        <w:t xml:space="preserve"> remite el estudio denominado </w:t>
      </w:r>
      <w:r>
        <w:rPr>
          <w:i/>
          <w:iCs/>
          <w:spacing w:val="-3"/>
        </w:rPr>
        <w:t>“Evaluación para el mejoramiento del proceso de custodia de armas y vehículos en los despachos judiciales</w:t>
      </w:r>
      <w:proofErr w:type="gramStart"/>
      <w:r>
        <w:rPr>
          <w:i/>
          <w:iCs/>
        </w:rPr>
        <w:t>”</w:t>
      </w:r>
      <w:r>
        <w:t xml:space="preserve"> </w:t>
      </w:r>
      <w:r>
        <w:rPr>
          <w:spacing w:val="-3"/>
        </w:rPr>
        <w:t>,</w:t>
      </w:r>
      <w:proofErr w:type="gramEnd"/>
      <w:r>
        <w:rPr>
          <w:spacing w:val="-3"/>
        </w:rPr>
        <w:t xml:space="preserve"> de donde se consignan las recomendaciones que literalmente dicen:</w:t>
      </w:r>
      <w:r>
        <w:rPr>
          <w:lang w:val="es-ES"/>
        </w:rPr>
        <w:t xml:space="preserve"> </w:t>
      </w:r>
    </w:p>
    <w:p w:rsidR="004348A8" w:rsidRDefault="004348A8" w:rsidP="004348A8">
      <w:pPr>
        <w:jc w:val="both"/>
        <w:rPr>
          <w:lang w:val="es-ES"/>
        </w:rPr>
      </w:pPr>
      <w:proofErr w:type="gramStart"/>
      <w:r>
        <w:rPr>
          <w:b/>
          <w:bCs/>
          <w:i/>
          <w:iCs/>
          <w:lang w:val="es-ES"/>
        </w:rPr>
        <w:t>“</w:t>
      </w:r>
      <w:r>
        <w:rPr>
          <w:i/>
          <w:iCs/>
          <w:lang w:val="es-ES"/>
        </w:rPr>
        <w:t xml:space="preserve"> </w:t>
      </w:r>
      <w:r>
        <w:rPr>
          <w:i/>
          <w:iCs/>
        </w:rPr>
        <w:t>4.11</w:t>
      </w:r>
      <w:proofErr w:type="gramEnd"/>
      <w:r>
        <w:rPr>
          <w:i/>
          <w:iCs/>
        </w:rPr>
        <w:t xml:space="preserve"> Solicitar a las administraciones regionales a su cargo, el cumplimiento en lo que corresponda del “Protocolo para el Trámite de Vehículos Decomisados por Entidades Judiciales” comunicado por Circular 86-2011 de </w:t>
      </w:r>
      <w:smartTag w:uri="urn:schemas-microsoft-com:office:smarttags" w:element="PersonName">
        <w:smartTagPr>
          <w:attr w:name="ProductID" w:val="la Secretaría"/>
          <w:attr w:name="style" w:val="BACKGROUND-IMAGE: url(res://ietag.dll/#34/#1001); BACKGROUND-REPEAT: repeat-x; BACKGROUND-POSITION: left bottom"/>
          <w:attr w:name="tabIndex" w:val="0"/>
        </w:smartTagPr>
        <w:r>
          <w:rPr>
            <w:i/>
            <w:iCs/>
          </w:rPr>
          <w:t>la Secretaría</w:t>
        </w:r>
      </w:smartTag>
      <w:r>
        <w:rPr>
          <w:i/>
          <w:iCs/>
        </w:rPr>
        <w:t xml:space="preserve"> de </w:t>
      </w:r>
      <w:smartTag w:uri="urn:schemas-microsoft-com:office:smarttags" w:element="PersonName">
        <w:smartTagPr>
          <w:attr w:name="ProductID" w:val="la Corte."/>
          <w:attr w:name="style" w:val="BACKGROUND-IMAGE: url(res://ietag.dll/#34/#1001); BACKGROUND-REPEAT: repeat-x; BACKGROUND-POSITION: left bottom"/>
          <w:attr w:name="tabIndex" w:val="0"/>
        </w:smartTagPr>
        <w:r>
          <w:rPr>
            <w:i/>
            <w:iCs/>
          </w:rPr>
          <w:t>la Corte.</w:t>
        </w:r>
      </w:smartTag>
      <w:r>
        <w:rPr>
          <w:i/>
          <w:iCs/>
        </w:rPr>
        <w:t xml:space="preserve"> </w:t>
      </w:r>
    </w:p>
    <w:p w:rsidR="004348A8" w:rsidRDefault="004348A8" w:rsidP="004348A8">
      <w:pPr>
        <w:jc w:val="both"/>
        <w:rPr>
          <w:lang w:val="es-ES"/>
        </w:rPr>
      </w:pPr>
      <w:r>
        <w:rPr>
          <w:i/>
          <w:iCs/>
        </w:rPr>
        <w:t>Lo anterior, con el propósito de lograr el cumplimiento de esta normativa, cuyo fin es descongestionar patios de las distintas entidades públicas y depósito de vehículos decomisados. (Resultado 2.1)</w:t>
      </w:r>
      <w:r>
        <w:rPr>
          <w:lang w:val="es-ES"/>
        </w:rPr>
        <w:t xml:space="preserve"> </w:t>
      </w:r>
    </w:p>
    <w:p w:rsidR="004348A8" w:rsidRDefault="004348A8" w:rsidP="004348A8">
      <w:pPr>
        <w:ind w:firstLine="708"/>
        <w:jc w:val="both"/>
        <w:rPr>
          <w:lang w:val="es-ES"/>
        </w:rPr>
      </w:pPr>
      <w:r>
        <w:rPr>
          <w:i/>
          <w:iCs/>
        </w:rPr>
        <w:t>Plazo de implementación: Inmediato</w:t>
      </w:r>
      <w:r>
        <w:rPr>
          <w:lang w:val="es-ES"/>
        </w:rPr>
        <w:t xml:space="preserve"> </w:t>
      </w:r>
    </w:p>
    <w:p w:rsidR="004348A8" w:rsidRDefault="004348A8" w:rsidP="004348A8">
      <w:pPr>
        <w:jc w:val="both"/>
        <w:rPr>
          <w:lang w:val="es-ES"/>
        </w:rPr>
      </w:pPr>
      <w:r>
        <w:rPr>
          <w:i/>
          <w:iCs/>
        </w:rPr>
        <w:t xml:space="preserve">4.12 Girar instrucciones a las administraciones regionales y controlar su cumplimiento, a efecto que remitan un informe trimestral a esa Dirección, con el detalle de las fiscalías, juzgados y tribunales que no les remiten la información establecida en el “Protocolo para el Trámite de Vehículos Decomisados por Entidades Judiciales”, a fin de que </w:t>
      </w:r>
      <w:smartTag w:uri="urn:schemas-microsoft-com:office:smarttags" w:element="PersonName">
        <w:smartTagPr>
          <w:attr w:name="ProductID" w:val="la Dirección Ejecutiva"/>
          <w:attr w:name="style" w:val="BACKGROUND-IMAGE: url(res://ietag.dll/#34/#1001); BACKGROUND-REPEAT: repeat-x; BACKGROUND-POSITION: left bottom"/>
          <w:attr w:name="tabIndex" w:val="0"/>
        </w:smartTagPr>
        <w:r>
          <w:rPr>
            <w:i/>
            <w:iCs/>
          </w:rPr>
          <w:t>la Dirección Ejecutiva</w:t>
        </w:r>
      </w:smartTag>
      <w:r>
        <w:rPr>
          <w:i/>
          <w:iCs/>
        </w:rPr>
        <w:t xml:space="preserve"> integre la información que le facilitan todas las administraciones y comunique el informe integrado al Consejo Superior o al recurso que ese Consejo designe, con copia a </w:t>
      </w:r>
      <w:smartTag w:uri="urn:schemas-microsoft-com:office:smarttags" w:element="PersonName">
        <w:smartTagPr>
          <w:attr w:name="ProductID" w:val="la Fiscalía General"/>
          <w:attr w:name="style" w:val="BACKGROUND-IMAGE: url(res://ietag.dll/#34/#1001); BACKGROUND-REPEAT: repeat-x; BACKGROUND-POSITION: left bottom"/>
          <w:attr w:name="tabIndex" w:val="0"/>
        </w:smartTagPr>
        <w:r>
          <w:rPr>
            <w:i/>
            <w:iCs/>
          </w:rPr>
          <w:t>la Fiscalía General</w:t>
        </w:r>
      </w:smartTag>
      <w:r>
        <w:rPr>
          <w:i/>
          <w:iCs/>
        </w:rPr>
        <w:t>, tal como se señala en la recomendación 4.16 de este informe.</w:t>
      </w:r>
      <w:r>
        <w:rPr>
          <w:lang w:val="es-ES"/>
        </w:rPr>
        <w:t xml:space="preserve"> </w:t>
      </w:r>
    </w:p>
    <w:p w:rsidR="004348A8" w:rsidRDefault="004348A8" w:rsidP="004348A8">
      <w:pPr>
        <w:ind w:firstLine="708"/>
        <w:jc w:val="both"/>
        <w:rPr>
          <w:lang w:val="es-ES"/>
        </w:rPr>
      </w:pPr>
      <w:r>
        <w:rPr>
          <w:i/>
          <w:iCs/>
        </w:rPr>
        <w:t>Plazo de implementación: Inmediato</w:t>
      </w:r>
      <w:r>
        <w:rPr>
          <w:lang w:val="es-ES"/>
        </w:rPr>
        <w:t xml:space="preserve"> </w:t>
      </w:r>
    </w:p>
    <w:p w:rsidR="004348A8" w:rsidRDefault="004348A8" w:rsidP="004348A8">
      <w:pPr>
        <w:jc w:val="both"/>
        <w:rPr>
          <w:lang w:val="es-ES"/>
        </w:rPr>
      </w:pPr>
      <w:r>
        <w:rPr>
          <w:i/>
          <w:iCs/>
        </w:rPr>
        <w:t>4.13 Solicitar a las administraciones regionales que revisen las condiciones de seguridad de los recintos donde se custodian evidencias y la disponibilidad de cajas fuertes del circuito a su orden (OIJ, Fiscalía, Juzgado Penal y Tribunal Penal) a fin de definir lo siguiente:</w:t>
      </w:r>
      <w:r>
        <w:rPr>
          <w:lang w:val="es-ES"/>
        </w:rPr>
        <w:t xml:space="preserve"> </w:t>
      </w:r>
    </w:p>
    <w:p w:rsidR="004348A8" w:rsidRDefault="004348A8" w:rsidP="004348A8">
      <w:pPr>
        <w:jc w:val="both"/>
        <w:rPr>
          <w:lang w:val="es-ES"/>
        </w:rPr>
      </w:pPr>
      <w:r>
        <w:t>·</w:t>
      </w:r>
      <w:r>
        <w:rPr>
          <w:lang w:val="es-ES"/>
        </w:rPr>
        <w:t xml:space="preserve"> </w:t>
      </w:r>
      <w:r>
        <w:rPr>
          <w:i/>
          <w:iCs/>
        </w:rPr>
        <w:t>Despachos que custodiarán las armas decomisadas a su orden, en su propia bodega o caja fuerte.</w:t>
      </w:r>
      <w:r>
        <w:rPr>
          <w:lang w:val="es-ES"/>
        </w:rPr>
        <w:t xml:space="preserve"> </w:t>
      </w:r>
    </w:p>
    <w:p w:rsidR="004348A8" w:rsidRDefault="004348A8" w:rsidP="004348A8">
      <w:pPr>
        <w:jc w:val="both"/>
        <w:rPr>
          <w:lang w:val="es-ES"/>
        </w:rPr>
      </w:pPr>
      <w:r>
        <w:t>·</w:t>
      </w:r>
      <w:r>
        <w:rPr>
          <w:lang w:val="es-ES"/>
        </w:rPr>
        <w:t xml:space="preserve"> </w:t>
      </w:r>
      <w:r>
        <w:rPr>
          <w:i/>
          <w:iCs/>
        </w:rPr>
        <w:t>Despachos que custodiarán en su bodega o caja fuerte, las armas decomisadas a la orden de otras oficinas.</w:t>
      </w:r>
      <w:r>
        <w:rPr>
          <w:lang w:val="es-ES"/>
        </w:rPr>
        <w:t xml:space="preserve"> </w:t>
      </w:r>
    </w:p>
    <w:p w:rsidR="004348A8" w:rsidRDefault="004348A8" w:rsidP="004348A8">
      <w:pPr>
        <w:jc w:val="both"/>
        <w:rPr>
          <w:lang w:val="es-ES"/>
        </w:rPr>
      </w:pPr>
      <w:r>
        <w:t>·</w:t>
      </w:r>
      <w:r>
        <w:rPr>
          <w:lang w:val="es-ES"/>
        </w:rPr>
        <w:t xml:space="preserve"> </w:t>
      </w:r>
      <w:r>
        <w:rPr>
          <w:i/>
          <w:iCs/>
        </w:rPr>
        <w:t>Despachos que custodiarán las armas decomisadas a su orden en la bodega de armas del Depósito de     Objetos Decomisados.</w:t>
      </w:r>
      <w:r>
        <w:rPr>
          <w:lang w:val="es-ES"/>
        </w:rPr>
        <w:t xml:space="preserve"> </w:t>
      </w:r>
    </w:p>
    <w:p w:rsidR="004348A8" w:rsidRDefault="004348A8" w:rsidP="004348A8">
      <w:pPr>
        <w:jc w:val="both"/>
        <w:rPr>
          <w:lang w:val="es-ES"/>
        </w:rPr>
      </w:pPr>
      <w:r>
        <w:rPr>
          <w:i/>
          <w:iCs/>
        </w:rPr>
        <w:t>Lo anterior, por cuanto existen despachos judiciales que no tienen condiciones para la custodia segura de las armas decomisadas y en razón de que el Depósito de Objetos Decomisados, cuenta con una bodega pequeña para la custodia de estor artículos y podría congestionarse en el corto plazo. (Resultado 2.3)</w:t>
      </w:r>
      <w:r>
        <w:rPr>
          <w:lang w:val="es-ES"/>
        </w:rPr>
        <w:t xml:space="preserve"> </w:t>
      </w:r>
    </w:p>
    <w:p w:rsidR="004348A8" w:rsidRDefault="004348A8" w:rsidP="004348A8">
      <w:pPr>
        <w:ind w:firstLine="708"/>
        <w:jc w:val="both"/>
        <w:rPr>
          <w:lang w:val="es-ES"/>
        </w:rPr>
      </w:pPr>
      <w:r>
        <w:rPr>
          <w:i/>
          <w:iCs/>
        </w:rPr>
        <w:t>Plazo de implementación: 2 meses</w:t>
      </w:r>
      <w:r>
        <w:rPr>
          <w:i/>
          <w:iCs/>
          <w:lang w:val="es-ES"/>
        </w:rPr>
        <w:t>”</w:t>
      </w:r>
      <w:r>
        <w:rPr>
          <w:lang w:val="es-ES"/>
        </w:rPr>
        <w:t xml:space="preserve"> </w:t>
      </w:r>
    </w:p>
    <w:p w:rsidR="004348A8" w:rsidRDefault="004348A8" w:rsidP="004348A8">
      <w:pPr>
        <w:jc w:val="both"/>
        <w:rPr>
          <w:lang w:val="es-ES"/>
        </w:rPr>
      </w:pPr>
      <w:r>
        <w:t xml:space="preserve">Copia: M </w:t>
      </w:r>
      <w:proofErr w:type="spellStart"/>
      <w:r>
        <w:t>Sc.</w:t>
      </w:r>
      <w:proofErr w:type="spellEnd"/>
      <w:r>
        <w:t xml:space="preserve"> Walter Jiménez Sorio, Auditor</w:t>
      </w:r>
      <w:r>
        <w:rPr>
          <w:lang w:val="es-ES"/>
        </w:rPr>
        <w:t xml:space="preserve"> </w:t>
      </w:r>
    </w:p>
    <w:p w:rsidR="004348A8" w:rsidRDefault="004348A8" w:rsidP="004348A8">
      <w:pPr>
        <w:jc w:val="both"/>
        <w:rPr>
          <w:lang w:val="es-ES"/>
        </w:rPr>
      </w:pPr>
      <w:r>
        <w:t>Archivo</w:t>
      </w:r>
      <w:r>
        <w:rPr>
          <w:lang w:val="es-ES"/>
        </w:rPr>
        <w:t xml:space="preserve"> </w:t>
      </w:r>
    </w:p>
    <w:p w:rsidR="004348A8" w:rsidRDefault="004348A8" w:rsidP="004348A8">
      <w:pPr>
        <w:jc w:val="both"/>
        <w:rPr>
          <w:lang w:val="es-ES"/>
        </w:rPr>
      </w:pPr>
      <w:r>
        <w:t>AJL/Silvia C.</w:t>
      </w:r>
      <w:r>
        <w:rPr>
          <w:lang w:val="es-ES"/>
        </w:rPr>
        <w:t xml:space="preserve"> </w:t>
      </w:r>
    </w:p>
    <w:p w:rsidR="00160AF4" w:rsidRPr="004348A8" w:rsidRDefault="004348A8" w:rsidP="004348A8">
      <w:r>
        <w:rPr>
          <w:lang w:val="es-ES"/>
        </w:rPr>
        <w:lastRenderedPageBreak/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21/05/2018 03:36:49 p.m.</w:t>
      </w:r>
    </w:p>
    <w:sectPr w:rsidR="00160AF4" w:rsidRPr="004348A8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160AF4"/>
    <w:rsid w:val="003C15B1"/>
    <w:rsid w:val="003C538C"/>
    <w:rsid w:val="004348A8"/>
    <w:rsid w:val="00472BC6"/>
    <w:rsid w:val="00662475"/>
    <w:rsid w:val="009D35B1"/>
    <w:rsid w:val="00C000D7"/>
    <w:rsid w:val="00D1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4348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2018-05-21T21:37:00Z</dcterms:created>
  <dcterms:modified xsi:type="dcterms:W3CDTF">2018-05-21T21:37:00Z</dcterms:modified>
</cp:coreProperties>
</file>