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DB" w:rsidRDefault="009A0692">
      <w:r>
        <w:rPr>
          <w:noProof/>
          <w:lang w:val="es-CR" w:eastAsia="es-CR" w:bidi="ar-SA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-61595</wp:posOffset>
            </wp:positionV>
            <wp:extent cx="2731770" cy="797560"/>
            <wp:effectExtent l="0" t="0" r="0" b="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797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R" w:eastAsia="es-CR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282575</wp:posOffset>
            </wp:positionV>
            <wp:extent cx="256540" cy="317500"/>
            <wp:effectExtent l="1905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17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A7F" w:rsidRDefault="00996A7F" w:rsidP="00996A7F">
      <w:pPr>
        <w:jc w:val="center"/>
        <w:rPr>
          <w:b/>
          <w:sz w:val="32"/>
          <w:szCs w:val="32"/>
        </w:rPr>
      </w:pPr>
    </w:p>
    <w:p w:rsidR="00996A7F" w:rsidRDefault="00996A7F" w:rsidP="00996A7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R" w:eastAsia="es-CR"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139700</wp:posOffset>
            </wp:positionV>
            <wp:extent cx="6277610" cy="45720"/>
            <wp:effectExtent l="19050" t="0" r="889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457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4BFB" w:rsidRDefault="00254BFB" w:rsidP="00A83B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  <w:lang w:val="es-CR"/>
        </w:rPr>
      </w:pPr>
    </w:p>
    <w:p w:rsidR="00A83B6B" w:rsidRPr="00A83B6B" w:rsidRDefault="00A83B6B" w:rsidP="00A83B6B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s-CR"/>
        </w:rPr>
      </w:pPr>
      <w:r w:rsidRPr="00A83B6B">
        <w:rPr>
          <w:rFonts w:ascii="Arial" w:hAnsi="Arial" w:cs="Arial"/>
          <w:b/>
          <w:sz w:val="26"/>
          <w:szCs w:val="26"/>
          <w:lang w:val="es-CR"/>
        </w:rPr>
        <w:t xml:space="preserve">CIRCULAR </w:t>
      </w:r>
      <w:r w:rsidR="002736A4">
        <w:rPr>
          <w:rFonts w:ascii="Arial" w:hAnsi="Arial" w:cs="Arial"/>
          <w:b/>
          <w:sz w:val="26"/>
          <w:szCs w:val="26"/>
          <w:lang w:val="es-CR"/>
        </w:rPr>
        <w:t>No.</w:t>
      </w:r>
      <w:r w:rsidRPr="00A83B6B">
        <w:rPr>
          <w:rFonts w:ascii="Arial" w:hAnsi="Arial" w:cs="Arial"/>
          <w:b/>
          <w:sz w:val="26"/>
          <w:szCs w:val="26"/>
          <w:lang w:val="es-CR"/>
        </w:rPr>
        <w:t xml:space="preserve"> </w:t>
      </w:r>
      <w:r w:rsidR="00BD224D">
        <w:rPr>
          <w:rFonts w:ascii="Arial" w:hAnsi="Arial" w:cs="Arial"/>
          <w:b/>
          <w:sz w:val="26"/>
          <w:szCs w:val="26"/>
          <w:lang w:val="es-CR"/>
        </w:rPr>
        <w:t>70</w:t>
      </w:r>
      <w:r w:rsidR="002C503D">
        <w:rPr>
          <w:rFonts w:ascii="Arial" w:hAnsi="Arial" w:cs="Arial"/>
          <w:b/>
          <w:sz w:val="26"/>
          <w:szCs w:val="26"/>
          <w:lang w:val="es-CR"/>
        </w:rPr>
        <w:t>-2018</w:t>
      </w:r>
    </w:p>
    <w:p w:rsidR="00A83B6B" w:rsidRPr="000328E7" w:rsidRDefault="00A83B6B" w:rsidP="00A83B6B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</w:p>
    <w:p w:rsidR="00A83B6B" w:rsidRPr="000328E7" w:rsidRDefault="00A83B6B" w:rsidP="00A83B6B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CR"/>
        </w:rPr>
      </w:pPr>
    </w:p>
    <w:p w:rsidR="00A83B6B" w:rsidRPr="00ED78D9" w:rsidRDefault="00A83B6B" w:rsidP="00A83B6B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DE</w:t>
      </w:r>
      <w:proofErr w:type="gramStart"/>
      <w:r w:rsidRPr="00ED78D9">
        <w:rPr>
          <w:rFonts w:ascii="Arial" w:hAnsi="Arial" w:cs="Arial"/>
          <w:b/>
          <w:lang w:val="es-CR"/>
        </w:rPr>
        <w:t>:</w:t>
      </w:r>
      <w:r w:rsidR="00890E47">
        <w:rPr>
          <w:rFonts w:ascii="Arial" w:hAnsi="Arial" w:cs="Arial"/>
          <w:b/>
          <w:lang w:val="es-CR"/>
        </w:rPr>
        <w:t xml:space="preserve">  </w:t>
      </w:r>
      <w:r w:rsidR="00BD224D">
        <w:rPr>
          <w:rFonts w:ascii="Arial" w:hAnsi="Arial" w:cs="Arial"/>
          <w:lang w:val="es-CR"/>
        </w:rPr>
        <w:t>Ana</w:t>
      </w:r>
      <w:proofErr w:type="gramEnd"/>
      <w:r w:rsidR="00BD224D">
        <w:rPr>
          <w:rFonts w:ascii="Arial" w:hAnsi="Arial" w:cs="Arial"/>
          <w:lang w:val="es-CR"/>
        </w:rPr>
        <w:t xml:space="preserve"> Eugenia Romero Jenkins</w:t>
      </w:r>
      <w:r w:rsidRPr="00ED78D9">
        <w:rPr>
          <w:rFonts w:ascii="Arial" w:hAnsi="Arial" w:cs="Arial"/>
          <w:lang w:val="es-CR"/>
        </w:rPr>
        <w:t>, Directora Ejecutiva</w:t>
      </w:r>
    </w:p>
    <w:p w:rsidR="00A83B6B" w:rsidRPr="00ED78D9" w:rsidRDefault="00A83B6B" w:rsidP="00A83B6B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CR"/>
        </w:rPr>
      </w:pPr>
    </w:p>
    <w:p w:rsidR="007F5CEB" w:rsidRDefault="00A83B6B" w:rsidP="001F0840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PARA</w:t>
      </w:r>
      <w:proofErr w:type="gramStart"/>
      <w:r w:rsidRPr="00ED78D9">
        <w:rPr>
          <w:rFonts w:ascii="Arial" w:hAnsi="Arial" w:cs="Arial"/>
          <w:b/>
          <w:lang w:val="es-CR"/>
        </w:rPr>
        <w:t>:</w:t>
      </w:r>
      <w:r w:rsidR="00890E47">
        <w:rPr>
          <w:rFonts w:ascii="Arial" w:hAnsi="Arial" w:cs="Arial"/>
          <w:b/>
          <w:lang w:val="es-CR"/>
        </w:rPr>
        <w:t xml:space="preserve">  </w:t>
      </w:r>
      <w:r w:rsidR="00BD224D" w:rsidRPr="00890E47">
        <w:rPr>
          <w:rFonts w:ascii="Arial" w:hAnsi="Arial" w:cs="Arial"/>
          <w:lang w:val="es-CR"/>
        </w:rPr>
        <w:t>Despachos</w:t>
      </w:r>
      <w:proofErr w:type="gramEnd"/>
      <w:r w:rsidR="00BD224D">
        <w:rPr>
          <w:rFonts w:ascii="Arial" w:hAnsi="Arial" w:cs="Arial"/>
          <w:lang w:val="es-CR"/>
        </w:rPr>
        <w:t xml:space="preserve"> y Oficinas Judiciales</w:t>
      </w:r>
    </w:p>
    <w:p w:rsidR="00BD224D" w:rsidRPr="00FF25BA" w:rsidRDefault="00BD224D" w:rsidP="00BD224D">
      <w:pPr>
        <w:autoSpaceDE w:val="0"/>
        <w:autoSpaceDN w:val="0"/>
        <w:adjustRightInd w:val="0"/>
        <w:ind w:left="1704" w:hanging="444"/>
        <w:jc w:val="both"/>
        <w:rPr>
          <w:rFonts w:ascii="Arial" w:hAnsi="Arial" w:cs="Arial"/>
          <w:bCs/>
          <w:lang w:val="es-CR"/>
        </w:rPr>
      </w:pPr>
    </w:p>
    <w:p w:rsidR="001F0840" w:rsidRDefault="00A83B6B" w:rsidP="001F0840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ASUNTO</w:t>
      </w:r>
      <w:proofErr w:type="gramStart"/>
      <w:r w:rsidRPr="00ED78D9">
        <w:rPr>
          <w:rFonts w:ascii="Arial" w:hAnsi="Arial" w:cs="Arial"/>
          <w:b/>
          <w:lang w:val="es-CR"/>
        </w:rPr>
        <w:t>:</w:t>
      </w:r>
      <w:r w:rsidR="00890E47">
        <w:rPr>
          <w:rFonts w:ascii="Arial" w:hAnsi="Arial" w:cs="Arial"/>
          <w:b/>
          <w:lang w:val="es-CR"/>
        </w:rPr>
        <w:t xml:space="preserve">  </w:t>
      </w:r>
      <w:r w:rsidR="001F0840">
        <w:rPr>
          <w:rFonts w:ascii="Arial" w:hAnsi="Arial" w:cs="Arial"/>
          <w:lang w:val="es-CR"/>
        </w:rPr>
        <w:t>Compendio</w:t>
      </w:r>
      <w:proofErr w:type="gramEnd"/>
      <w:r w:rsidR="001F0840">
        <w:rPr>
          <w:rFonts w:ascii="Arial" w:hAnsi="Arial" w:cs="Arial"/>
          <w:lang w:val="es-CR"/>
        </w:rPr>
        <w:t xml:space="preserve"> de circulares y disposiciones relacionadas con los</w:t>
      </w:r>
    </w:p>
    <w:p w:rsidR="00A83B6B" w:rsidRPr="00ED78D9" w:rsidRDefault="001F0840" w:rsidP="001F0840">
      <w:pPr>
        <w:autoSpaceDE w:val="0"/>
        <w:autoSpaceDN w:val="0"/>
        <w:adjustRightInd w:val="0"/>
        <w:ind w:left="84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     </w:t>
      </w:r>
      <w:proofErr w:type="gramStart"/>
      <w:r>
        <w:rPr>
          <w:rFonts w:ascii="Arial" w:hAnsi="Arial" w:cs="Arial"/>
          <w:lang w:val="es-CR"/>
        </w:rPr>
        <w:t>vehículos</w:t>
      </w:r>
      <w:proofErr w:type="gramEnd"/>
      <w:r>
        <w:rPr>
          <w:rFonts w:ascii="Arial" w:hAnsi="Arial" w:cs="Arial"/>
          <w:lang w:val="es-CR"/>
        </w:rPr>
        <w:t xml:space="preserve"> decomisados</w:t>
      </w:r>
    </w:p>
    <w:p w:rsidR="001F0840" w:rsidRDefault="001F0840" w:rsidP="00A83B6B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</w:p>
    <w:p w:rsidR="00A83B6B" w:rsidRPr="00ED78D9" w:rsidRDefault="00A83B6B" w:rsidP="00A83B6B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FECHA:</w:t>
      </w:r>
      <w:r w:rsidR="00890E47">
        <w:rPr>
          <w:rFonts w:ascii="Arial" w:hAnsi="Arial" w:cs="Arial"/>
          <w:b/>
          <w:lang w:val="es-CR"/>
        </w:rPr>
        <w:t xml:space="preserve">  </w:t>
      </w:r>
      <w:r w:rsidR="00BD224D">
        <w:rPr>
          <w:rFonts w:ascii="Arial" w:hAnsi="Arial" w:cs="Arial"/>
          <w:lang w:val="es-CR"/>
        </w:rPr>
        <w:t>1</w:t>
      </w:r>
      <w:r w:rsidR="00957C53">
        <w:rPr>
          <w:rFonts w:ascii="Arial" w:hAnsi="Arial" w:cs="Arial"/>
          <w:lang w:val="es-CR"/>
        </w:rPr>
        <w:t xml:space="preserve"> de </w:t>
      </w:r>
      <w:r w:rsidR="001F0840">
        <w:rPr>
          <w:rFonts w:ascii="Arial" w:hAnsi="Arial" w:cs="Arial"/>
          <w:lang w:val="es-CR"/>
        </w:rPr>
        <w:t xml:space="preserve">junio </w:t>
      </w:r>
      <w:r w:rsidR="00EB0D49">
        <w:rPr>
          <w:rFonts w:ascii="Arial" w:hAnsi="Arial" w:cs="Arial"/>
          <w:lang w:val="es-CR"/>
        </w:rPr>
        <w:t>de 2018</w:t>
      </w:r>
    </w:p>
    <w:p w:rsidR="00F062DB" w:rsidRPr="00ED78D9" w:rsidRDefault="00194EDA" w:rsidP="008D0A4A">
      <w:pPr>
        <w:jc w:val="both"/>
        <w:rPr>
          <w:rFonts w:ascii="Arial" w:eastAsia="Times New Roman" w:hAnsi="Arial" w:cs="Arial"/>
          <w:lang w:val="es-ES_tradnl" w:bidi="ar-SA"/>
        </w:rPr>
      </w:pPr>
      <w:r w:rsidRPr="00ED78D9">
        <w:rPr>
          <w:rFonts w:ascii="Arial" w:eastAsia="Times New Roman" w:hAnsi="Arial" w:cs="Arial"/>
          <w:noProof/>
          <w:lang w:val="es-CR" w:eastAsia="es-CR"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176530</wp:posOffset>
            </wp:positionV>
            <wp:extent cx="6411595" cy="45085"/>
            <wp:effectExtent l="19050" t="0" r="8255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450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2DB" w:rsidRDefault="00F062DB" w:rsidP="008D0A4A">
      <w:pPr>
        <w:jc w:val="both"/>
        <w:rPr>
          <w:rFonts w:ascii="Arial" w:eastAsia="Times New Roman" w:hAnsi="Arial" w:cs="Arial"/>
          <w:b/>
          <w:bCs/>
          <w:lang w:eastAsia="ar-SA" w:bidi="ar-SA"/>
        </w:rPr>
      </w:pPr>
    </w:p>
    <w:p w:rsidR="00BD224D" w:rsidRDefault="00BD224D" w:rsidP="008D0A4A">
      <w:pPr>
        <w:jc w:val="both"/>
        <w:rPr>
          <w:rFonts w:ascii="Arial" w:eastAsia="Times New Roman" w:hAnsi="Arial" w:cs="Arial"/>
          <w:b/>
          <w:bCs/>
          <w:lang w:eastAsia="ar-SA" w:bidi="ar-SA"/>
        </w:rPr>
      </w:pPr>
    </w:p>
    <w:p w:rsidR="00ED78D9" w:rsidRDefault="00ED78D9" w:rsidP="008D0A4A">
      <w:pPr>
        <w:jc w:val="both"/>
        <w:rPr>
          <w:rFonts w:ascii="Arial" w:eastAsia="Times New Roman" w:hAnsi="Arial" w:cs="Arial"/>
          <w:b/>
          <w:bCs/>
          <w:lang w:eastAsia="ar-SA" w:bidi="ar-SA"/>
        </w:rPr>
      </w:pPr>
    </w:p>
    <w:p w:rsidR="00976945" w:rsidRDefault="00BD224D" w:rsidP="00976945">
      <w:pPr>
        <w:spacing w:line="276" w:lineRule="auto"/>
        <w:ind w:firstLine="360"/>
        <w:jc w:val="both"/>
        <w:rPr>
          <w:rFonts w:ascii="Century Gothic" w:hAnsi="Century Gothic"/>
          <w:lang w:val="es-CR"/>
        </w:rPr>
      </w:pPr>
      <w:r>
        <w:rPr>
          <w:rFonts w:ascii="Century Gothic" w:hAnsi="Century Gothic"/>
          <w:lang w:val="es-CR"/>
        </w:rPr>
        <w:t xml:space="preserve">Conforme las recomendaciones aprobadas por el Consejo Superior, en </w:t>
      </w:r>
      <w:r w:rsidRPr="00986456">
        <w:rPr>
          <w:rFonts w:ascii="Century Gothic" w:hAnsi="Century Gothic"/>
          <w:lang w:val="es-CR"/>
        </w:rPr>
        <w:t>sesión 25-18 del 4 de abril del año en curso, artículo XIX,</w:t>
      </w:r>
      <w:r w:rsidR="00986456" w:rsidRPr="00986456">
        <w:rPr>
          <w:rFonts w:ascii="Century Gothic" w:hAnsi="Century Gothic"/>
          <w:lang w:val="es-CR"/>
        </w:rPr>
        <w:t xml:space="preserve"> relacionadas con el</w:t>
      </w:r>
      <w:r w:rsidR="00986456" w:rsidRPr="00986456">
        <w:rPr>
          <w:rFonts w:ascii="Century Gothic" w:hAnsi="Century Gothic"/>
          <w:i/>
          <w:lang w:val="es-CR"/>
        </w:rPr>
        <w:t xml:space="preserve"> </w:t>
      </w:r>
      <w:r w:rsidR="00986456">
        <w:rPr>
          <w:rFonts w:ascii="Century Gothic" w:hAnsi="Century Gothic"/>
          <w:i/>
          <w:lang w:val="es-CR"/>
        </w:rPr>
        <w:t>“</w:t>
      </w:r>
      <w:r w:rsidR="00986456" w:rsidRPr="00986456">
        <w:rPr>
          <w:rFonts w:ascii="Century Gothic" w:hAnsi="Century Gothic"/>
          <w:i/>
          <w:lang w:val="es-CR"/>
        </w:rPr>
        <w:t>Programa de Descongestionamiento de Vehículos Decomisados”</w:t>
      </w:r>
      <w:r w:rsidR="00986456">
        <w:rPr>
          <w:rFonts w:ascii="Century Gothic" w:hAnsi="Century Gothic"/>
          <w:i/>
          <w:lang w:val="es-CR"/>
        </w:rPr>
        <w:t xml:space="preserve"> </w:t>
      </w:r>
      <w:r w:rsidR="00986456" w:rsidRPr="00986456">
        <w:rPr>
          <w:rFonts w:ascii="Century Gothic" w:hAnsi="Century Gothic"/>
          <w:lang w:val="es-CR"/>
        </w:rPr>
        <w:t>y para efectos de una consulta directa</w:t>
      </w:r>
      <w:r w:rsidRPr="00986456">
        <w:rPr>
          <w:rFonts w:ascii="Century Gothic" w:hAnsi="Century Gothic"/>
          <w:lang w:val="es-CR"/>
        </w:rPr>
        <w:t>,</w:t>
      </w:r>
      <w:r>
        <w:rPr>
          <w:rFonts w:ascii="Century Gothic" w:hAnsi="Century Gothic"/>
          <w:lang w:val="es-CR"/>
        </w:rPr>
        <w:t xml:space="preserve"> se habilitó un enlace </w:t>
      </w:r>
      <w:r w:rsidR="001F0840">
        <w:rPr>
          <w:rFonts w:ascii="Century Gothic" w:hAnsi="Century Gothic"/>
          <w:lang w:val="es-CR"/>
        </w:rPr>
        <w:t xml:space="preserve">en la página Web de la Dirección Ejecutiva, </w:t>
      </w:r>
      <w:r>
        <w:rPr>
          <w:rFonts w:ascii="Century Gothic" w:hAnsi="Century Gothic"/>
          <w:lang w:val="es-CR"/>
        </w:rPr>
        <w:t>en el que se encuentran recopiladas las circulares</w:t>
      </w:r>
      <w:r w:rsidR="00986456">
        <w:rPr>
          <w:rFonts w:ascii="Century Gothic" w:hAnsi="Century Gothic"/>
          <w:lang w:val="es-CR"/>
        </w:rPr>
        <w:t xml:space="preserve"> de interés</w:t>
      </w:r>
      <w:r>
        <w:rPr>
          <w:rFonts w:ascii="Century Gothic" w:hAnsi="Century Gothic"/>
          <w:lang w:val="es-CR"/>
        </w:rPr>
        <w:t xml:space="preserve">, </w:t>
      </w:r>
      <w:r w:rsidR="00986456">
        <w:rPr>
          <w:rFonts w:ascii="Century Gothic" w:hAnsi="Century Gothic"/>
          <w:lang w:val="es-CR"/>
        </w:rPr>
        <w:t>tanto las emitidas por la Secretaría General de la Corte como las de la Dirección Ejecutiva</w:t>
      </w:r>
      <w:r>
        <w:rPr>
          <w:rFonts w:ascii="Century Gothic" w:hAnsi="Century Gothic"/>
          <w:lang w:val="es-CR"/>
        </w:rPr>
        <w:t>.</w:t>
      </w:r>
    </w:p>
    <w:p w:rsidR="00BD224D" w:rsidRDefault="00BD224D" w:rsidP="00976945">
      <w:pPr>
        <w:spacing w:line="276" w:lineRule="auto"/>
        <w:ind w:firstLine="360"/>
        <w:jc w:val="both"/>
        <w:rPr>
          <w:rFonts w:ascii="Century Gothic" w:hAnsi="Century Gothic"/>
          <w:lang w:val="es-CR"/>
        </w:rPr>
      </w:pPr>
    </w:p>
    <w:p w:rsidR="001F0840" w:rsidRDefault="00BD224D" w:rsidP="001F0840">
      <w:pPr>
        <w:spacing w:line="276" w:lineRule="auto"/>
        <w:ind w:firstLine="360"/>
        <w:jc w:val="both"/>
        <w:rPr>
          <w:rFonts w:ascii="Century Gothic" w:hAnsi="Century Gothic"/>
          <w:lang w:val="es-CR"/>
        </w:rPr>
      </w:pPr>
      <w:r>
        <w:rPr>
          <w:rFonts w:ascii="Century Gothic" w:hAnsi="Century Gothic"/>
          <w:lang w:val="es-CR"/>
        </w:rPr>
        <w:t xml:space="preserve">El citado enlace se ubica </w:t>
      </w:r>
      <w:r w:rsidR="003E14DE">
        <w:rPr>
          <w:rFonts w:ascii="Century Gothic" w:hAnsi="Century Gothic"/>
          <w:lang w:val="es-CR"/>
        </w:rPr>
        <w:t xml:space="preserve">en la Intranet en la </w:t>
      </w:r>
      <w:r>
        <w:rPr>
          <w:rFonts w:ascii="Century Gothic" w:hAnsi="Century Gothic"/>
          <w:lang w:val="es-CR"/>
        </w:rPr>
        <w:t>en la página</w:t>
      </w:r>
      <w:r w:rsidR="003E14DE">
        <w:rPr>
          <w:rFonts w:ascii="Century Gothic" w:hAnsi="Century Gothic"/>
          <w:lang w:val="es-CR"/>
        </w:rPr>
        <w:t xml:space="preserve"> Web</w:t>
      </w:r>
      <w:r>
        <w:rPr>
          <w:rFonts w:ascii="Century Gothic" w:hAnsi="Century Gothic"/>
          <w:lang w:val="es-CR"/>
        </w:rPr>
        <w:t xml:space="preserve"> de la Dirección Ejecutiva, en el apartado de “Documentos de Interés”</w:t>
      </w:r>
      <w:r w:rsidR="00986456">
        <w:rPr>
          <w:rFonts w:ascii="Century Gothic" w:hAnsi="Century Gothic"/>
          <w:lang w:val="es-CR"/>
        </w:rPr>
        <w:t xml:space="preserve"> en la carpeta denominada “Circulares de Vehículos Decomisados”</w:t>
      </w:r>
      <w:r>
        <w:rPr>
          <w:rFonts w:ascii="Century Gothic" w:hAnsi="Century Gothic"/>
          <w:lang w:val="es-CR"/>
        </w:rPr>
        <w:t>.</w:t>
      </w:r>
      <w:r w:rsidR="001F0840">
        <w:rPr>
          <w:rFonts w:ascii="Century Gothic" w:hAnsi="Century Gothic"/>
          <w:lang w:val="es-CR"/>
        </w:rPr>
        <w:t xml:space="preserve">  El acceso directo es el siguiente:</w:t>
      </w:r>
    </w:p>
    <w:p w:rsidR="001F0840" w:rsidRDefault="001F0840" w:rsidP="001F0840">
      <w:pPr>
        <w:spacing w:line="276" w:lineRule="auto"/>
        <w:jc w:val="both"/>
        <w:rPr>
          <w:rFonts w:ascii="Century Gothic" w:hAnsi="Century Gothic"/>
          <w:lang w:val="es-CR"/>
        </w:rPr>
      </w:pPr>
    </w:p>
    <w:p w:rsidR="001F0840" w:rsidRDefault="001F0840" w:rsidP="001F0840">
      <w:pPr>
        <w:spacing w:line="276" w:lineRule="auto"/>
        <w:jc w:val="both"/>
        <w:rPr>
          <w:rFonts w:ascii="Century Gothic" w:hAnsi="Century Gothic"/>
          <w:lang w:val="es-CR"/>
        </w:rPr>
      </w:pPr>
      <w:hyperlink r:id="rId11" w:history="1">
        <w:r w:rsidRPr="006F34F1">
          <w:rPr>
            <w:rStyle w:val="Hipervnculo"/>
            <w:rFonts w:ascii="Century Gothic" w:hAnsi="Century Gothic"/>
            <w:lang w:val="es-CR"/>
          </w:rPr>
          <w:t>htt</w:t>
        </w:r>
        <w:r w:rsidRPr="006F34F1">
          <w:rPr>
            <w:rStyle w:val="Hipervnculo"/>
            <w:rFonts w:ascii="Century Gothic" w:hAnsi="Century Gothic"/>
            <w:lang w:val="es-CR"/>
          </w:rPr>
          <w:t>p</w:t>
        </w:r>
        <w:r w:rsidRPr="006F34F1">
          <w:rPr>
            <w:rStyle w:val="Hipervnculo"/>
            <w:rFonts w:ascii="Century Gothic" w:hAnsi="Century Gothic"/>
            <w:lang w:val="es-CR"/>
          </w:rPr>
          <w:t>s://direccionejecutiva.poder-judicial.go.cr/index.php/documentos-de-inter</w:t>
        </w:r>
        <w:r w:rsidRPr="006F34F1">
          <w:rPr>
            <w:rStyle w:val="Hipervnculo"/>
            <w:rFonts w:ascii="Century Gothic" w:hAnsi="Century Gothic"/>
            <w:lang w:val="es-CR"/>
          </w:rPr>
          <w:t>e</w:t>
        </w:r>
        <w:r w:rsidRPr="006F34F1">
          <w:rPr>
            <w:rStyle w:val="Hipervnculo"/>
            <w:rFonts w:ascii="Century Gothic" w:hAnsi="Century Gothic"/>
            <w:lang w:val="es-CR"/>
          </w:rPr>
          <w:t>s/category/43-circulares-vehiculos-decomisados</w:t>
        </w:r>
      </w:hyperlink>
    </w:p>
    <w:p w:rsidR="001F0840" w:rsidRDefault="001F0840" w:rsidP="00976945">
      <w:pPr>
        <w:spacing w:line="276" w:lineRule="auto"/>
        <w:ind w:firstLine="360"/>
        <w:jc w:val="both"/>
        <w:rPr>
          <w:rFonts w:ascii="Century Gothic" w:hAnsi="Century Gothic"/>
          <w:lang w:val="es-CR"/>
        </w:rPr>
      </w:pPr>
    </w:p>
    <w:p w:rsidR="00254BFB" w:rsidRPr="00254BFB" w:rsidRDefault="00254BFB" w:rsidP="00254BFB">
      <w:pPr>
        <w:pStyle w:val="Prrafodelista"/>
        <w:spacing w:line="276" w:lineRule="auto"/>
        <w:ind w:left="720"/>
        <w:jc w:val="both"/>
        <w:rPr>
          <w:rFonts w:ascii="Century Gothic" w:hAnsi="Century Gothic"/>
          <w:lang w:val="es-CR"/>
        </w:rPr>
      </w:pPr>
    </w:p>
    <w:p w:rsidR="000328E7" w:rsidRDefault="009C666A" w:rsidP="000E22E0">
      <w:pPr>
        <w:jc w:val="both"/>
        <w:rPr>
          <w:rFonts w:ascii="Arial" w:hAnsi="Arial" w:cs="Arial"/>
          <w:sz w:val="18"/>
          <w:szCs w:val="18"/>
          <w:lang w:val="es-CR"/>
        </w:rPr>
      </w:pPr>
      <w:proofErr w:type="spellStart"/>
      <w:proofErr w:type="gramStart"/>
      <w:r>
        <w:rPr>
          <w:rFonts w:ascii="Arial" w:hAnsi="Arial" w:cs="Arial"/>
          <w:sz w:val="18"/>
          <w:szCs w:val="18"/>
          <w:lang w:val="es-CR"/>
        </w:rPr>
        <w:t>m</w:t>
      </w:r>
      <w:r w:rsidR="002736A4" w:rsidRPr="00ED78D9">
        <w:rPr>
          <w:rFonts w:ascii="Arial" w:hAnsi="Arial" w:cs="Arial"/>
          <w:sz w:val="18"/>
          <w:szCs w:val="18"/>
          <w:lang w:val="es-CR"/>
        </w:rPr>
        <w:t>pbg</w:t>
      </w:r>
      <w:proofErr w:type="spellEnd"/>
      <w:proofErr w:type="gramEnd"/>
    </w:p>
    <w:p w:rsidR="009C666A" w:rsidRDefault="009C666A" w:rsidP="000E22E0">
      <w:pPr>
        <w:jc w:val="both"/>
        <w:rPr>
          <w:rFonts w:ascii="Arial" w:hAnsi="Arial" w:cs="Arial"/>
          <w:sz w:val="18"/>
          <w:szCs w:val="18"/>
          <w:lang w:val="es-CR"/>
        </w:rPr>
      </w:pPr>
    </w:p>
    <w:sectPr w:rsidR="009C666A" w:rsidSect="00AE484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A45" w:rsidRDefault="00717A45" w:rsidP="002C503D">
      <w:r>
        <w:separator/>
      </w:r>
    </w:p>
  </w:endnote>
  <w:endnote w:type="continuationSeparator" w:id="0">
    <w:p w:rsidR="00717A45" w:rsidRDefault="00717A45" w:rsidP="002C5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A45" w:rsidRDefault="00717A45" w:rsidP="002C503D">
      <w:r>
        <w:separator/>
      </w:r>
    </w:p>
  </w:footnote>
  <w:footnote w:type="continuationSeparator" w:id="0">
    <w:p w:rsidR="00717A45" w:rsidRDefault="00717A45" w:rsidP="002C5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595"/>
    <w:multiLevelType w:val="multilevel"/>
    <w:tmpl w:val="498A9B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81F09D3"/>
    <w:multiLevelType w:val="hybridMultilevel"/>
    <w:tmpl w:val="048CED14"/>
    <w:lvl w:ilvl="0" w:tplc="14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>
    <w:nsid w:val="1ECD5927"/>
    <w:multiLevelType w:val="hybridMultilevel"/>
    <w:tmpl w:val="D2F0D5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62812"/>
    <w:multiLevelType w:val="multilevel"/>
    <w:tmpl w:val="1B2EFB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2CBE2811"/>
    <w:multiLevelType w:val="hybridMultilevel"/>
    <w:tmpl w:val="B40849A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781"/>
    <w:multiLevelType w:val="hybridMultilevel"/>
    <w:tmpl w:val="7DB054CA"/>
    <w:lvl w:ilvl="0" w:tplc="140A0009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48F7DF3"/>
    <w:multiLevelType w:val="hybridMultilevel"/>
    <w:tmpl w:val="4B1610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44A30"/>
    <w:multiLevelType w:val="hybridMultilevel"/>
    <w:tmpl w:val="C0F2B3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E026E"/>
    <w:multiLevelType w:val="hybridMultilevel"/>
    <w:tmpl w:val="810875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159A7"/>
    <w:multiLevelType w:val="hybridMultilevel"/>
    <w:tmpl w:val="25942294"/>
    <w:lvl w:ilvl="0" w:tplc="140A0009">
      <w:start w:val="1"/>
      <w:numFmt w:val="lowerLetter"/>
      <w:lvlText w:val="%1."/>
      <w:lvlJc w:val="left"/>
      <w:pPr>
        <w:ind w:left="1287" w:hanging="360"/>
      </w:pPr>
    </w:lvl>
    <w:lvl w:ilvl="1" w:tplc="140A0003">
      <w:start w:val="1"/>
      <w:numFmt w:val="lowerLetter"/>
      <w:lvlText w:val="%2."/>
      <w:lvlJc w:val="left"/>
      <w:pPr>
        <w:ind w:left="2007" w:hanging="360"/>
      </w:pPr>
    </w:lvl>
    <w:lvl w:ilvl="2" w:tplc="140A0005" w:tentative="1">
      <w:start w:val="1"/>
      <w:numFmt w:val="lowerRoman"/>
      <w:lvlText w:val="%3."/>
      <w:lvlJc w:val="right"/>
      <w:pPr>
        <w:ind w:left="2727" w:hanging="180"/>
      </w:pPr>
    </w:lvl>
    <w:lvl w:ilvl="3" w:tplc="140A0001" w:tentative="1">
      <w:start w:val="1"/>
      <w:numFmt w:val="decimal"/>
      <w:lvlText w:val="%4."/>
      <w:lvlJc w:val="left"/>
      <w:pPr>
        <w:ind w:left="3447" w:hanging="360"/>
      </w:pPr>
    </w:lvl>
    <w:lvl w:ilvl="4" w:tplc="140A0003" w:tentative="1">
      <w:start w:val="1"/>
      <w:numFmt w:val="lowerLetter"/>
      <w:lvlText w:val="%5."/>
      <w:lvlJc w:val="left"/>
      <w:pPr>
        <w:ind w:left="4167" w:hanging="360"/>
      </w:pPr>
    </w:lvl>
    <w:lvl w:ilvl="5" w:tplc="140A0005" w:tentative="1">
      <w:start w:val="1"/>
      <w:numFmt w:val="lowerRoman"/>
      <w:lvlText w:val="%6."/>
      <w:lvlJc w:val="right"/>
      <w:pPr>
        <w:ind w:left="4887" w:hanging="180"/>
      </w:pPr>
    </w:lvl>
    <w:lvl w:ilvl="6" w:tplc="140A0001" w:tentative="1">
      <w:start w:val="1"/>
      <w:numFmt w:val="decimal"/>
      <w:lvlText w:val="%7."/>
      <w:lvlJc w:val="left"/>
      <w:pPr>
        <w:ind w:left="5607" w:hanging="360"/>
      </w:pPr>
    </w:lvl>
    <w:lvl w:ilvl="7" w:tplc="140A0003" w:tentative="1">
      <w:start w:val="1"/>
      <w:numFmt w:val="lowerLetter"/>
      <w:lvlText w:val="%8."/>
      <w:lvlJc w:val="left"/>
      <w:pPr>
        <w:ind w:left="6327" w:hanging="360"/>
      </w:pPr>
    </w:lvl>
    <w:lvl w:ilvl="8" w:tplc="140A0005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4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77266"/>
    <w:rsid w:val="00020E10"/>
    <w:rsid w:val="000328E7"/>
    <w:rsid w:val="00053399"/>
    <w:rsid w:val="000635DF"/>
    <w:rsid w:val="000E22E0"/>
    <w:rsid w:val="000E758A"/>
    <w:rsid w:val="00134874"/>
    <w:rsid w:val="00147A38"/>
    <w:rsid w:val="00177266"/>
    <w:rsid w:val="00194EDA"/>
    <w:rsid w:val="001A067B"/>
    <w:rsid w:val="001E3795"/>
    <w:rsid w:val="001F0840"/>
    <w:rsid w:val="00254BFB"/>
    <w:rsid w:val="002736A4"/>
    <w:rsid w:val="00295B63"/>
    <w:rsid w:val="002A352A"/>
    <w:rsid w:val="002C503D"/>
    <w:rsid w:val="002D1FDF"/>
    <w:rsid w:val="00346616"/>
    <w:rsid w:val="00360A0A"/>
    <w:rsid w:val="003E14DE"/>
    <w:rsid w:val="003E42CD"/>
    <w:rsid w:val="003F62AF"/>
    <w:rsid w:val="00414AC4"/>
    <w:rsid w:val="004738E1"/>
    <w:rsid w:val="004C671F"/>
    <w:rsid w:val="004E1063"/>
    <w:rsid w:val="0052140F"/>
    <w:rsid w:val="0052324E"/>
    <w:rsid w:val="00550B95"/>
    <w:rsid w:val="005A1B44"/>
    <w:rsid w:val="00602DB8"/>
    <w:rsid w:val="00607F46"/>
    <w:rsid w:val="006724C4"/>
    <w:rsid w:val="00717A45"/>
    <w:rsid w:val="007B03B9"/>
    <w:rsid w:val="007F5CEB"/>
    <w:rsid w:val="0082483A"/>
    <w:rsid w:val="0084071F"/>
    <w:rsid w:val="00880318"/>
    <w:rsid w:val="00890E47"/>
    <w:rsid w:val="008D0A4A"/>
    <w:rsid w:val="008F000D"/>
    <w:rsid w:val="009259B9"/>
    <w:rsid w:val="00955CD5"/>
    <w:rsid w:val="00957C53"/>
    <w:rsid w:val="00976945"/>
    <w:rsid w:val="00986456"/>
    <w:rsid w:val="00996A7F"/>
    <w:rsid w:val="009A0692"/>
    <w:rsid w:val="009B7977"/>
    <w:rsid w:val="009C11A2"/>
    <w:rsid w:val="009C666A"/>
    <w:rsid w:val="009D22D2"/>
    <w:rsid w:val="009E0515"/>
    <w:rsid w:val="00A07B61"/>
    <w:rsid w:val="00A2286C"/>
    <w:rsid w:val="00A83B6B"/>
    <w:rsid w:val="00AB1001"/>
    <w:rsid w:val="00AD0A1E"/>
    <w:rsid w:val="00AE484C"/>
    <w:rsid w:val="00B30AF5"/>
    <w:rsid w:val="00B8165B"/>
    <w:rsid w:val="00B95E3D"/>
    <w:rsid w:val="00BD224D"/>
    <w:rsid w:val="00BD6274"/>
    <w:rsid w:val="00C27700"/>
    <w:rsid w:val="00C40D08"/>
    <w:rsid w:val="00C41A23"/>
    <w:rsid w:val="00C43995"/>
    <w:rsid w:val="00C9396B"/>
    <w:rsid w:val="00CB0119"/>
    <w:rsid w:val="00CE3339"/>
    <w:rsid w:val="00CF08E0"/>
    <w:rsid w:val="00D25AC6"/>
    <w:rsid w:val="00D53678"/>
    <w:rsid w:val="00DF20BA"/>
    <w:rsid w:val="00DF7FA1"/>
    <w:rsid w:val="00E108DE"/>
    <w:rsid w:val="00E375B2"/>
    <w:rsid w:val="00E67C9A"/>
    <w:rsid w:val="00EA2ECA"/>
    <w:rsid w:val="00EB0D49"/>
    <w:rsid w:val="00ED78D9"/>
    <w:rsid w:val="00F062DB"/>
    <w:rsid w:val="00F26258"/>
    <w:rsid w:val="00F568DC"/>
    <w:rsid w:val="00F74BEE"/>
    <w:rsid w:val="00FF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cc0"/>
      <o:colormenu v:ext="edit" fillcolor="none" strokecolor="none [1]" shadowcolor="none [2]"/>
    </o:shapedefaults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95"/>
    <w:pPr>
      <w:widowControl w:val="0"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0E22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43995"/>
  </w:style>
  <w:style w:type="character" w:customStyle="1" w:styleId="WW-Absatz-Standardschriftart">
    <w:name w:val="WW-Absatz-Standardschriftart"/>
    <w:rsid w:val="00C43995"/>
  </w:style>
  <w:style w:type="paragraph" w:customStyle="1" w:styleId="Encabezado1">
    <w:name w:val="Encabezado1"/>
    <w:basedOn w:val="Normal"/>
    <w:next w:val="Textoindependiente"/>
    <w:rsid w:val="00C4399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rsid w:val="00C43995"/>
    <w:pPr>
      <w:spacing w:after="120"/>
    </w:pPr>
  </w:style>
  <w:style w:type="paragraph" w:styleId="Lista">
    <w:name w:val="List"/>
    <w:basedOn w:val="Textoindependiente"/>
    <w:rsid w:val="00C43995"/>
  </w:style>
  <w:style w:type="paragraph" w:styleId="Epgrafe">
    <w:name w:val="caption"/>
    <w:basedOn w:val="Normal"/>
    <w:qFormat/>
    <w:rsid w:val="00C4399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43995"/>
    <w:pPr>
      <w:suppressLineNumbers/>
    </w:pPr>
  </w:style>
  <w:style w:type="paragraph" w:customStyle="1" w:styleId="Etiqueta">
    <w:name w:val="Etiqueta"/>
    <w:basedOn w:val="Normal"/>
    <w:rsid w:val="00C43995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qFormat/>
    <w:rsid w:val="00C43995"/>
    <w:pPr>
      <w:ind w:left="708" w:right="51" w:firstLine="708"/>
      <w:jc w:val="center"/>
    </w:pPr>
    <w:rPr>
      <w:b/>
      <w:lang w:val="es-ES_tradnl"/>
    </w:rPr>
  </w:style>
  <w:style w:type="paragraph" w:styleId="Subttulo">
    <w:name w:val="Subtitle"/>
    <w:basedOn w:val="Normal"/>
    <w:next w:val="Textoindependiente"/>
    <w:qFormat/>
    <w:rsid w:val="00C43995"/>
    <w:pPr>
      <w:jc w:val="center"/>
    </w:pPr>
    <w:rPr>
      <w:i/>
      <w:iCs/>
      <w:sz w:val="28"/>
      <w:szCs w:val="28"/>
    </w:rPr>
  </w:style>
  <w:style w:type="paragraph" w:customStyle="1" w:styleId="Encabezado2">
    <w:name w:val="Encabezado2"/>
    <w:basedOn w:val="Normal"/>
    <w:next w:val="Subttulo"/>
    <w:rsid w:val="00C43995"/>
    <w:pPr>
      <w:ind w:left="708" w:right="51" w:firstLine="708"/>
      <w:jc w:val="center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795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795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0E22E0"/>
    <w:pPr>
      <w:ind w:left="708"/>
    </w:pPr>
    <w:rPr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0E22E0"/>
    <w:rPr>
      <w:rFonts w:ascii="Cambria" w:eastAsia="Times New Roman" w:hAnsi="Cambria" w:cs="Mangal"/>
      <w:b/>
      <w:bCs/>
      <w:kern w:val="32"/>
      <w:sz w:val="32"/>
      <w:szCs w:val="29"/>
      <w:lang w:val="es-ES" w:eastAsia="zh-CN" w:bidi="hi-IN"/>
    </w:rPr>
  </w:style>
  <w:style w:type="character" w:styleId="Hipervnculo">
    <w:name w:val="Hyperlink"/>
    <w:basedOn w:val="Fuentedeprrafopredeter"/>
    <w:uiPriority w:val="99"/>
    <w:unhideWhenUsed/>
    <w:rsid w:val="00147A3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7A38"/>
    <w:rPr>
      <w:color w:val="800080"/>
      <w:u w:val="single"/>
    </w:rPr>
  </w:style>
  <w:style w:type="paragraph" w:styleId="NormalWeb">
    <w:name w:val="Normal (Web)"/>
    <w:basedOn w:val="Normal"/>
    <w:uiPriority w:val="99"/>
    <w:rsid w:val="002C503D"/>
    <w:pPr>
      <w:suppressAutoHyphens w:val="0"/>
      <w:jc w:val="both"/>
    </w:pPr>
    <w:rPr>
      <w:rFonts w:ascii="Arial" w:eastAsia="Times New Roman" w:hAnsi="Arial" w:cs="Times New Roman"/>
      <w:kern w:val="0"/>
      <w:sz w:val="22"/>
      <w:szCs w:val="20"/>
      <w:lang w:val="es-CR" w:eastAsia="en-US" w:bidi="ar-SA"/>
    </w:rPr>
  </w:style>
  <w:style w:type="paragraph" w:styleId="Textonotapie">
    <w:name w:val="footnote text"/>
    <w:basedOn w:val="Normal"/>
    <w:link w:val="TextonotapieCar"/>
    <w:uiPriority w:val="99"/>
    <w:rsid w:val="002C503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503D"/>
    <w:rPr>
      <w:lang w:val="es-ES" w:eastAsia="es-ES"/>
    </w:rPr>
  </w:style>
  <w:style w:type="character" w:styleId="Refdenotaalpie">
    <w:name w:val="footnote reference"/>
    <w:uiPriority w:val="99"/>
    <w:rsid w:val="002C50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reccionejecutiva.poder-judicial.go.cr/index.php/documentos-de-interes/category/43-circulares-vehiculos-decomisado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E8F3C-2A32-43EF-AE30-03A506B7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Links>
    <vt:vector size="12" baseType="variant">
      <vt:variant>
        <vt:i4>2752526</vt:i4>
      </vt:variant>
      <vt:variant>
        <vt:i4>6</vt:i4>
      </vt:variant>
      <vt:variant>
        <vt:i4>0</vt:i4>
      </vt:variant>
      <vt:variant>
        <vt:i4>5</vt:i4>
      </vt:variant>
      <vt:variant>
        <vt:lpwstr>mailto:sfallasg@Poder-Judicial.go.cr</vt:lpwstr>
      </vt:variant>
      <vt:variant>
        <vt:lpwstr/>
      </vt:variant>
      <vt:variant>
        <vt:i4>7995412</vt:i4>
      </vt:variant>
      <vt:variant>
        <vt:i4>3067</vt:i4>
      </vt:variant>
      <vt:variant>
        <vt:i4>1027</vt:i4>
      </vt:variant>
      <vt:variant>
        <vt:i4>1</vt:i4>
      </vt:variant>
      <vt:variant>
        <vt:lpwstr>cid:image002.jpg@01D239E8.FABB23D0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scastro</dc:creator>
  <cp:lastModifiedBy>pbenavides</cp:lastModifiedBy>
  <cp:revision>6</cp:revision>
  <cp:lastPrinted>2018-05-30T22:41:00Z</cp:lastPrinted>
  <dcterms:created xsi:type="dcterms:W3CDTF">2018-05-30T21:48:00Z</dcterms:created>
  <dcterms:modified xsi:type="dcterms:W3CDTF">2018-06-01T14:25:00Z</dcterms:modified>
</cp:coreProperties>
</file>