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1DBE4" w14:textId="2A7C1284" w:rsidR="00F062DB" w:rsidRPr="002148F6" w:rsidRDefault="000F72B6" w:rsidP="005D3180">
      <w:pPr>
        <w:rPr>
          <w:rFonts w:ascii="Arial" w:hAnsi="Arial" w:cs="Arial"/>
          <w:sz w:val="22"/>
          <w:szCs w:val="22"/>
        </w:rPr>
      </w:pPr>
      <w:r w:rsidRPr="002148F6">
        <w:rPr>
          <w:rFonts w:ascii="Arial" w:hAnsi="Arial" w:cs="Arial"/>
          <w:noProof/>
          <w:sz w:val="22"/>
          <w:szCs w:val="22"/>
          <w:lang w:val="es-CR" w:eastAsia="es-CR" w:bidi="ar-SA"/>
        </w:rPr>
        <w:drawing>
          <wp:anchor distT="0" distB="0" distL="114935" distR="114935" simplePos="0" relativeHeight="251656704" behindDoc="0" locked="0" layoutInCell="1" allowOverlap="1" wp14:anchorId="601E3B20" wp14:editId="5298820D">
            <wp:simplePos x="0" y="0"/>
            <wp:positionH relativeFrom="column">
              <wp:posOffset>-106680</wp:posOffset>
            </wp:positionH>
            <wp:positionV relativeFrom="paragraph">
              <wp:posOffset>-59055</wp:posOffset>
            </wp:positionV>
            <wp:extent cx="2559050" cy="747133"/>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78922" cy="752935"/>
                    </a:xfrm>
                    <a:prstGeom prst="rect">
                      <a:avLst/>
                    </a:prstGeom>
                    <a:solidFill>
                      <a:srgbClr val="FFFFFF">
                        <a:alpha val="0"/>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4B1151" w:rsidRPr="002148F6">
        <w:rPr>
          <w:rFonts w:ascii="Arial" w:hAnsi="Arial" w:cs="Arial"/>
          <w:noProof/>
          <w:sz w:val="22"/>
          <w:szCs w:val="22"/>
          <w:lang w:val="es-CR" w:eastAsia="es-CR" w:bidi="ar-SA"/>
        </w:rPr>
        <w:drawing>
          <wp:anchor distT="0" distB="0" distL="0" distR="0" simplePos="0" relativeHeight="251657728" behindDoc="0" locked="0" layoutInCell="1" allowOverlap="1" wp14:anchorId="5F78D212" wp14:editId="5F4AB9C7">
            <wp:simplePos x="0" y="0"/>
            <wp:positionH relativeFrom="column">
              <wp:posOffset>123190</wp:posOffset>
            </wp:positionH>
            <wp:positionV relativeFrom="paragraph">
              <wp:posOffset>160655</wp:posOffset>
            </wp:positionV>
            <wp:extent cx="256540" cy="317500"/>
            <wp:effectExtent l="1905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6540" cy="317500"/>
                    </a:xfrm>
                    <a:prstGeom prst="rect">
                      <a:avLst/>
                    </a:prstGeom>
                    <a:solidFill>
                      <a:srgbClr val="FFFFFF">
                        <a:alpha val="0"/>
                      </a:srgbClr>
                    </a:solidFill>
                    <a:ln w="9525">
                      <a:noFill/>
                      <a:miter lim="800000"/>
                      <a:headEnd/>
                      <a:tailEnd/>
                    </a:ln>
                  </pic:spPr>
                </pic:pic>
              </a:graphicData>
            </a:graphic>
          </wp:anchor>
        </w:drawing>
      </w:r>
    </w:p>
    <w:p w14:paraId="18F74929" w14:textId="7BEAE919" w:rsidR="00697EC9" w:rsidRPr="002148F6" w:rsidRDefault="00021B76" w:rsidP="000F72B6">
      <w:pPr>
        <w:jc w:val="center"/>
        <w:rPr>
          <w:rFonts w:ascii="Arial" w:hAnsi="Arial" w:cs="Arial"/>
          <w:b/>
          <w:sz w:val="22"/>
          <w:szCs w:val="22"/>
        </w:rPr>
      </w:pPr>
      <w:r w:rsidRPr="002148F6">
        <w:rPr>
          <w:rFonts w:ascii="Arial" w:hAnsi="Arial" w:cs="Arial"/>
          <w:b/>
          <w:noProof/>
          <w:sz w:val="22"/>
          <w:szCs w:val="22"/>
          <w:lang w:val="es-CR" w:eastAsia="es-CR" w:bidi="ar-SA"/>
        </w:rPr>
        <w:drawing>
          <wp:anchor distT="0" distB="0" distL="0" distR="0" simplePos="0" relativeHeight="251658752" behindDoc="0" locked="0" layoutInCell="1" allowOverlap="1" wp14:anchorId="1786D7DC" wp14:editId="757B194D">
            <wp:simplePos x="0" y="0"/>
            <wp:positionH relativeFrom="column">
              <wp:posOffset>-107315</wp:posOffset>
            </wp:positionH>
            <wp:positionV relativeFrom="paragraph">
              <wp:posOffset>798195</wp:posOffset>
            </wp:positionV>
            <wp:extent cx="6277610" cy="45720"/>
            <wp:effectExtent l="19050" t="0" r="889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277610" cy="45720"/>
                    </a:xfrm>
                    <a:prstGeom prst="rect">
                      <a:avLst/>
                    </a:prstGeom>
                    <a:solidFill>
                      <a:srgbClr val="FFFFFF">
                        <a:alpha val="0"/>
                      </a:srgbClr>
                    </a:solidFill>
                    <a:ln w="9525">
                      <a:noFill/>
                      <a:miter lim="800000"/>
                      <a:headEnd/>
                      <a:tailEnd/>
                    </a:ln>
                  </pic:spPr>
                </pic:pic>
              </a:graphicData>
            </a:graphic>
          </wp:anchor>
        </w:drawing>
      </w:r>
    </w:p>
    <w:p w14:paraId="25AB2074" w14:textId="77777777" w:rsidR="00DD1C90" w:rsidRPr="002148F6" w:rsidRDefault="00DD1C90" w:rsidP="005D3180">
      <w:pPr>
        <w:autoSpaceDE w:val="0"/>
        <w:autoSpaceDN w:val="0"/>
        <w:adjustRightInd w:val="0"/>
        <w:jc w:val="center"/>
        <w:rPr>
          <w:rFonts w:ascii="Arial" w:hAnsi="Arial" w:cs="Arial"/>
          <w:b/>
          <w:sz w:val="22"/>
          <w:szCs w:val="22"/>
          <w:lang w:val="es-CR"/>
        </w:rPr>
      </w:pPr>
    </w:p>
    <w:p w14:paraId="589F5919" w14:textId="65231537" w:rsidR="00A83B6B" w:rsidRPr="005D5814" w:rsidRDefault="00A83B6B" w:rsidP="005D3180">
      <w:pPr>
        <w:autoSpaceDE w:val="0"/>
        <w:autoSpaceDN w:val="0"/>
        <w:adjustRightInd w:val="0"/>
        <w:jc w:val="center"/>
        <w:rPr>
          <w:rFonts w:ascii="Arial" w:hAnsi="Arial" w:cs="Arial"/>
          <w:lang w:val="es-CR"/>
        </w:rPr>
      </w:pPr>
      <w:r w:rsidRPr="005D5814">
        <w:rPr>
          <w:rFonts w:ascii="Arial" w:hAnsi="Arial" w:cs="Arial"/>
          <w:b/>
          <w:lang w:val="es-CR"/>
        </w:rPr>
        <w:t xml:space="preserve">CIRCULAR </w:t>
      </w:r>
      <w:r w:rsidR="002736A4" w:rsidRPr="005D5814">
        <w:rPr>
          <w:rFonts w:ascii="Arial" w:hAnsi="Arial" w:cs="Arial"/>
          <w:b/>
          <w:lang w:val="es-CR"/>
        </w:rPr>
        <w:t>No.</w:t>
      </w:r>
      <w:r w:rsidRPr="005D5814">
        <w:rPr>
          <w:rFonts w:ascii="Arial" w:hAnsi="Arial" w:cs="Arial"/>
          <w:b/>
          <w:lang w:val="es-CR"/>
        </w:rPr>
        <w:t xml:space="preserve"> </w:t>
      </w:r>
      <w:r w:rsidR="00704BD2">
        <w:rPr>
          <w:rFonts w:ascii="Arial" w:hAnsi="Arial" w:cs="Arial"/>
          <w:b/>
          <w:lang w:val="es-CR"/>
        </w:rPr>
        <w:t>08</w:t>
      </w:r>
      <w:r w:rsidR="002C503D" w:rsidRPr="005D5814">
        <w:rPr>
          <w:rFonts w:ascii="Arial" w:hAnsi="Arial" w:cs="Arial"/>
          <w:b/>
          <w:lang w:val="es-CR"/>
        </w:rPr>
        <w:t>-20</w:t>
      </w:r>
      <w:r w:rsidR="00FD11CE" w:rsidRPr="005D5814">
        <w:rPr>
          <w:rFonts w:ascii="Arial" w:hAnsi="Arial" w:cs="Arial"/>
          <w:b/>
          <w:lang w:val="es-CR"/>
        </w:rPr>
        <w:t>2</w:t>
      </w:r>
      <w:r w:rsidR="00704BD2">
        <w:rPr>
          <w:rFonts w:ascii="Arial" w:hAnsi="Arial" w:cs="Arial"/>
          <w:b/>
          <w:lang w:val="es-CR"/>
        </w:rPr>
        <w:t>5</w:t>
      </w:r>
    </w:p>
    <w:p w14:paraId="4423FD5E" w14:textId="77777777" w:rsidR="00697EC9" w:rsidRPr="005D5814" w:rsidRDefault="00697EC9" w:rsidP="00712CAB">
      <w:pPr>
        <w:tabs>
          <w:tab w:val="left" w:pos="1704"/>
        </w:tabs>
        <w:autoSpaceDE w:val="0"/>
        <w:autoSpaceDN w:val="0"/>
        <w:adjustRightInd w:val="0"/>
        <w:ind w:right="-377"/>
        <w:jc w:val="both"/>
        <w:rPr>
          <w:rFonts w:ascii="Arial" w:hAnsi="Arial" w:cs="Arial"/>
          <w:lang w:val="es-CR"/>
        </w:rPr>
      </w:pPr>
    </w:p>
    <w:p w14:paraId="7EB7160B" w14:textId="6D1AAF1B" w:rsidR="005D0357" w:rsidRPr="005D5814" w:rsidRDefault="005D0357" w:rsidP="00712CAB">
      <w:pPr>
        <w:tabs>
          <w:tab w:val="left" w:pos="1276"/>
        </w:tabs>
        <w:autoSpaceDE w:val="0"/>
        <w:autoSpaceDN w:val="0"/>
        <w:adjustRightInd w:val="0"/>
        <w:ind w:right="-377"/>
        <w:jc w:val="both"/>
        <w:rPr>
          <w:rFonts w:ascii="Arial" w:hAnsi="Arial" w:cs="Arial"/>
          <w:lang w:val="es-CR"/>
        </w:rPr>
      </w:pPr>
      <w:r w:rsidRPr="005D5814">
        <w:rPr>
          <w:rFonts w:ascii="Arial" w:hAnsi="Arial" w:cs="Arial"/>
          <w:b/>
          <w:lang w:val="es-CR"/>
        </w:rPr>
        <w:t>DE:</w:t>
      </w:r>
      <w:r w:rsidRPr="005D5814">
        <w:rPr>
          <w:rFonts w:ascii="Arial" w:hAnsi="Arial" w:cs="Arial"/>
          <w:lang w:val="es-CR"/>
        </w:rPr>
        <w:t xml:space="preserve">  </w:t>
      </w:r>
      <w:r w:rsidR="00B64882" w:rsidRPr="005D5814">
        <w:rPr>
          <w:rFonts w:ascii="Arial" w:hAnsi="Arial" w:cs="Arial"/>
          <w:lang w:val="es-CR"/>
        </w:rPr>
        <w:t xml:space="preserve"> </w:t>
      </w:r>
      <w:r w:rsidR="00B64882" w:rsidRPr="005D5814">
        <w:rPr>
          <w:rFonts w:ascii="Arial" w:hAnsi="Arial" w:cs="Arial"/>
          <w:lang w:val="es-CR"/>
        </w:rPr>
        <w:tab/>
      </w:r>
      <w:r w:rsidR="007D640E" w:rsidRPr="005D5814">
        <w:rPr>
          <w:rFonts w:ascii="Arial" w:hAnsi="Arial" w:cs="Arial"/>
          <w:lang w:val="es-CR"/>
        </w:rPr>
        <w:t>Ana Eugenia Romero Jenkins</w:t>
      </w:r>
      <w:r w:rsidRPr="005D5814">
        <w:rPr>
          <w:rFonts w:ascii="Arial" w:hAnsi="Arial" w:cs="Arial"/>
          <w:lang w:val="es-CR"/>
        </w:rPr>
        <w:t>, Directora Ejecutiva</w:t>
      </w:r>
    </w:p>
    <w:p w14:paraId="50D5AD44" w14:textId="77777777" w:rsidR="005D0357" w:rsidRPr="005D5814" w:rsidRDefault="005D0357" w:rsidP="00712CAB">
      <w:pPr>
        <w:tabs>
          <w:tab w:val="left" w:pos="1704"/>
        </w:tabs>
        <w:autoSpaceDE w:val="0"/>
        <w:autoSpaceDN w:val="0"/>
        <w:adjustRightInd w:val="0"/>
        <w:ind w:left="709" w:right="-377"/>
        <w:jc w:val="both"/>
        <w:rPr>
          <w:rFonts w:ascii="Arial" w:hAnsi="Arial" w:cs="Arial"/>
          <w:lang w:val="es-CR"/>
        </w:rPr>
      </w:pPr>
    </w:p>
    <w:p w14:paraId="28212CB0" w14:textId="3542761B" w:rsidR="005D0357" w:rsidRPr="005D5814" w:rsidRDefault="005D0357" w:rsidP="00712CAB">
      <w:pPr>
        <w:autoSpaceDE w:val="0"/>
        <w:autoSpaceDN w:val="0"/>
        <w:adjustRightInd w:val="0"/>
        <w:ind w:left="1260" w:right="-377" w:hanging="1260"/>
        <w:jc w:val="both"/>
        <w:rPr>
          <w:rFonts w:ascii="Arial" w:hAnsi="Arial" w:cs="Arial"/>
          <w:lang w:val="es-CR"/>
        </w:rPr>
      </w:pPr>
      <w:r w:rsidRPr="005D5814">
        <w:rPr>
          <w:rFonts w:ascii="Arial" w:hAnsi="Arial" w:cs="Arial"/>
          <w:b/>
          <w:lang w:val="es-CR"/>
        </w:rPr>
        <w:t>PARA:</w:t>
      </w:r>
      <w:r w:rsidRPr="005D5814">
        <w:rPr>
          <w:rFonts w:ascii="Arial" w:hAnsi="Arial" w:cs="Arial"/>
          <w:lang w:val="es-CR"/>
        </w:rPr>
        <w:tab/>
      </w:r>
      <w:r w:rsidR="00775121" w:rsidRPr="005D5814">
        <w:rPr>
          <w:rFonts w:ascii="Arial" w:hAnsi="Arial" w:cs="Arial"/>
          <w:lang w:val="es-CR"/>
        </w:rPr>
        <w:t>Todas las Autoridades Judiciales, Instituciones, Abogados y Público en General</w:t>
      </w:r>
    </w:p>
    <w:p w14:paraId="1BBC3122" w14:textId="77777777" w:rsidR="005D0357" w:rsidRPr="005D5814" w:rsidRDefault="005D0357" w:rsidP="00712CAB">
      <w:pPr>
        <w:autoSpaceDE w:val="0"/>
        <w:autoSpaceDN w:val="0"/>
        <w:adjustRightInd w:val="0"/>
        <w:ind w:left="709" w:right="-377" w:hanging="1704"/>
        <w:jc w:val="both"/>
        <w:rPr>
          <w:rFonts w:ascii="Arial" w:hAnsi="Arial" w:cs="Arial"/>
          <w:lang w:val="es-CR"/>
        </w:rPr>
      </w:pPr>
    </w:p>
    <w:p w14:paraId="7246CEDF" w14:textId="4C33A44C" w:rsidR="00FD11CE" w:rsidRPr="005D5814" w:rsidRDefault="005D0357" w:rsidP="00712CAB">
      <w:pPr>
        <w:ind w:left="1276" w:right="-377" w:hanging="1276"/>
        <w:jc w:val="both"/>
        <w:rPr>
          <w:rFonts w:ascii="Arial" w:hAnsi="Arial" w:cs="Arial"/>
          <w:lang w:val="es-CR"/>
        </w:rPr>
      </w:pPr>
      <w:r w:rsidRPr="005D5814">
        <w:rPr>
          <w:rFonts w:ascii="Arial" w:hAnsi="Arial" w:cs="Arial"/>
          <w:b/>
          <w:lang w:val="es-CR"/>
        </w:rPr>
        <w:t>ASUNTO:</w:t>
      </w:r>
      <w:r w:rsidRPr="005D5814">
        <w:rPr>
          <w:rFonts w:ascii="Arial" w:hAnsi="Arial" w:cs="Arial"/>
          <w:lang w:val="es-CR"/>
        </w:rPr>
        <w:t xml:space="preserve">  </w:t>
      </w:r>
      <w:r w:rsidR="00775121" w:rsidRPr="005D5814">
        <w:rPr>
          <w:rFonts w:ascii="Arial" w:hAnsi="Arial" w:cs="Arial"/>
          <w:lang w:val="es-CR"/>
        </w:rPr>
        <w:tab/>
      </w:r>
      <w:r w:rsidR="00FD11CE" w:rsidRPr="005D5814">
        <w:rPr>
          <w:rFonts w:ascii="Arial" w:hAnsi="Arial" w:cs="Arial"/>
          <w:lang w:val="es-CR"/>
        </w:rPr>
        <w:t xml:space="preserve">Actualización de las Tarifas de Honorarios de </w:t>
      </w:r>
      <w:bookmarkStart w:id="0" w:name="_Hlk125910784"/>
      <w:r w:rsidR="00FD11CE" w:rsidRPr="005D5814">
        <w:rPr>
          <w:rFonts w:ascii="Arial" w:hAnsi="Arial" w:cs="Arial"/>
          <w:lang w:val="es-CR"/>
        </w:rPr>
        <w:t>Peritos y Peritas, Ejecutores, Honorarios para Peritos y Peritas en Trabajo Social y Psicología, Servicios Médicos Forenses y Especialidades Médicas, Honorarios para Actuarios Matemáticos, Traductores de Idiomas e Intérpretes de Lenguaje de Señas Costarricense y las Tarifas de Ayuda para Testigos, Imputados y Ofendidos de Escasos Recursos Económicos</w:t>
      </w:r>
    </w:p>
    <w:bookmarkEnd w:id="0"/>
    <w:p w14:paraId="456753EA" w14:textId="77777777" w:rsidR="00B64882" w:rsidRPr="005D5814" w:rsidRDefault="00B64882" w:rsidP="00712CAB">
      <w:pPr>
        <w:tabs>
          <w:tab w:val="left" w:pos="1704"/>
        </w:tabs>
        <w:autoSpaceDE w:val="0"/>
        <w:autoSpaceDN w:val="0"/>
        <w:adjustRightInd w:val="0"/>
        <w:ind w:right="-377"/>
        <w:jc w:val="both"/>
        <w:rPr>
          <w:rFonts w:ascii="Arial" w:hAnsi="Arial" w:cs="Arial"/>
          <w:lang w:val="es-CR"/>
        </w:rPr>
      </w:pPr>
    </w:p>
    <w:p w14:paraId="280B1E49" w14:textId="3DCF4683" w:rsidR="005D0357" w:rsidRPr="005D5814" w:rsidRDefault="00021B76" w:rsidP="00712CAB">
      <w:pPr>
        <w:tabs>
          <w:tab w:val="left" w:pos="1704"/>
        </w:tabs>
        <w:autoSpaceDE w:val="0"/>
        <w:autoSpaceDN w:val="0"/>
        <w:adjustRightInd w:val="0"/>
        <w:ind w:left="-142" w:right="-377"/>
        <w:jc w:val="both"/>
        <w:rPr>
          <w:rFonts w:ascii="Arial" w:hAnsi="Arial" w:cs="Arial"/>
          <w:lang w:val="es-CR"/>
        </w:rPr>
      </w:pPr>
      <w:r w:rsidRPr="005D5814">
        <w:rPr>
          <w:rFonts w:ascii="Arial" w:eastAsia="Times New Roman" w:hAnsi="Arial" w:cs="Arial"/>
          <w:noProof/>
          <w:lang w:val="es-CR" w:eastAsia="es-CR" w:bidi="ar-SA"/>
        </w:rPr>
        <w:drawing>
          <wp:anchor distT="0" distB="0" distL="0" distR="0" simplePos="0" relativeHeight="251659776" behindDoc="0" locked="0" layoutInCell="1" allowOverlap="1" wp14:anchorId="351E75A5" wp14:editId="7ACE15D5">
            <wp:simplePos x="0" y="0"/>
            <wp:positionH relativeFrom="column">
              <wp:posOffset>-303530</wp:posOffset>
            </wp:positionH>
            <wp:positionV relativeFrom="paragraph">
              <wp:posOffset>369570</wp:posOffset>
            </wp:positionV>
            <wp:extent cx="6411595" cy="45085"/>
            <wp:effectExtent l="19050" t="0" r="825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411595" cy="45085"/>
                    </a:xfrm>
                    <a:prstGeom prst="rect">
                      <a:avLst/>
                    </a:prstGeom>
                    <a:solidFill>
                      <a:srgbClr val="FFFFFF">
                        <a:alpha val="0"/>
                      </a:srgbClr>
                    </a:solidFill>
                    <a:ln w="9525">
                      <a:noFill/>
                      <a:miter lim="800000"/>
                      <a:headEnd/>
                      <a:tailEnd/>
                    </a:ln>
                  </pic:spPr>
                </pic:pic>
              </a:graphicData>
            </a:graphic>
            <wp14:sizeRelH relativeFrom="margin">
              <wp14:pctWidth>0</wp14:pctWidth>
            </wp14:sizeRelH>
          </wp:anchor>
        </w:drawing>
      </w:r>
      <w:r w:rsidR="005D0357" w:rsidRPr="005D5814">
        <w:rPr>
          <w:rFonts w:ascii="Arial" w:hAnsi="Arial" w:cs="Arial"/>
          <w:b/>
          <w:lang w:val="es-CR"/>
        </w:rPr>
        <w:t>FECHA:</w:t>
      </w:r>
      <w:r w:rsidR="005D0357" w:rsidRPr="005D5814">
        <w:rPr>
          <w:rFonts w:ascii="Arial" w:hAnsi="Arial" w:cs="Arial"/>
          <w:lang w:val="es-CR"/>
        </w:rPr>
        <w:t xml:space="preserve">  </w:t>
      </w:r>
      <w:r w:rsidR="00B64882" w:rsidRPr="005D5814">
        <w:rPr>
          <w:rFonts w:ascii="Arial" w:hAnsi="Arial" w:cs="Arial"/>
          <w:lang w:val="es-CR"/>
        </w:rPr>
        <w:t xml:space="preserve">    </w:t>
      </w:r>
      <w:r w:rsidR="006A0034" w:rsidRPr="005D5814">
        <w:rPr>
          <w:rFonts w:ascii="Arial" w:hAnsi="Arial" w:cs="Arial"/>
          <w:lang w:val="es-CR"/>
        </w:rPr>
        <w:t xml:space="preserve">  </w:t>
      </w:r>
      <w:r w:rsidR="00D934A1">
        <w:rPr>
          <w:rFonts w:ascii="Arial" w:hAnsi="Arial" w:cs="Arial"/>
          <w:lang w:val="es-CR"/>
        </w:rPr>
        <w:t>2</w:t>
      </w:r>
      <w:r w:rsidR="00907DC5">
        <w:rPr>
          <w:rFonts w:ascii="Arial" w:hAnsi="Arial" w:cs="Arial"/>
          <w:lang w:val="es-CR"/>
        </w:rPr>
        <w:t>2</w:t>
      </w:r>
      <w:r w:rsidR="0050741C" w:rsidRPr="005D5814">
        <w:rPr>
          <w:rFonts w:ascii="Arial" w:hAnsi="Arial" w:cs="Arial"/>
          <w:lang w:val="es-CR"/>
        </w:rPr>
        <w:t xml:space="preserve"> de </w:t>
      </w:r>
      <w:r w:rsidR="00D934A1">
        <w:rPr>
          <w:rFonts w:ascii="Arial" w:hAnsi="Arial" w:cs="Arial"/>
          <w:lang w:val="es-CR"/>
        </w:rPr>
        <w:t>enero</w:t>
      </w:r>
      <w:r w:rsidR="0050741C" w:rsidRPr="005D5814">
        <w:rPr>
          <w:rFonts w:ascii="Arial" w:hAnsi="Arial" w:cs="Arial"/>
          <w:lang w:val="es-CR"/>
        </w:rPr>
        <w:t xml:space="preserve"> de</w:t>
      </w:r>
      <w:r w:rsidR="00775121" w:rsidRPr="005D5814">
        <w:rPr>
          <w:rFonts w:ascii="Arial" w:hAnsi="Arial" w:cs="Arial"/>
          <w:lang w:val="es-CR"/>
        </w:rPr>
        <w:t>l 20</w:t>
      </w:r>
      <w:r w:rsidR="00FD11CE" w:rsidRPr="005D5814">
        <w:rPr>
          <w:rFonts w:ascii="Arial" w:hAnsi="Arial" w:cs="Arial"/>
          <w:lang w:val="es-CR"/>
        </w:rPr>
        <w:t>2</w:t>
      </w:r>
      <w:r w:rsidR="00D934A1">
        <w:rPr>
          <w:rFonts w:ascii="Arial" w:hAnsi="Arial" w:cs="Arial"/>
          <w:lang w:val="es-CR"/>
        </w:rPr>
        <w:t>5</w:t>
      </w:r>
    </w:p>
    <w:p w14:paraId="34E78515" w14:textId="77777777" w:rsidR="006F1777" w:rsidRPr="005D5814" w:rsidRDefault="006F1777" w:rsidP="006F1777">
      <w:pPr>
        <w:jc w:val="both"/>
        <w:rPr>
          <w:rFonts w:ascii="Arial" w:hAnsi="Arial" w:cs="Arial"/>
          <w:lang w:val="es-CR"/>
        </w:rPr>
      </w:pPr>
    </w:p>
    <w:p w14:paraId="3AAAA298" w14:textId="77777777" w:rsidR="00DD1C90" w:rsidRPr="005D5814" w:rsidRDefault="00DD1C90" w:rsidP="006F1777">
      <w:pPr>
        <w:ind w:left="-142" w:right="-660"/>
        <w:jc w:val="both"/>
        <w:rPr>
          <w:rFonts w:ascii="Arial" w:hAnsi="Arial" w:cs="Arial"/>
          <w:lang w:val="es-CR"/>
        </w:rPr>
      </w:pPr>
    </w:p>
    <w:p w14:paraId="366CA680" w14:textId="40DAB850" w:rsidR="003151C9" w:rsidRDefault="00F50C65" w:rsidP="003151C9">
      <w:pPr>
        <w:ind w:left="-142" w:right="-660"/>
        <w:jc w:val="both"/>
        <w:rPr>
          <w:rFonts w:ascii="Arial" w:hAnsi="Arial" w:cs="Arial"/>
          <w:lang w:val="es-CR"/>
        </w:rPr>
      </w:pPr>
      <w:r>
        <w:rPr>
          <w:rFonts w:ascii="Arial" w:hAnsi="Arial" w:cs="Arial"/>
          <w:lang w:val="es-CR"/>
        </w:rPr>
        <w:t>El</w:t>
      </w:r>
      <w:r w:rsidR="003151C9" w:rsidRPr="005D5814">
        <w:rPr>
          <w:rFonts w:ascii="Arial" w:hAnsi="Arial" w:cs="Arial"/>
          <w:lang w:val="es-CR"/>
        </w:rPr>
        <w:t xml:space="preserve"> Consejo Superior </w:t>
      </w:r>
      <w:r>
        <w:rPr>
          <w:rFonts w:ascii="Arial" w:hAnsi="Arial" w:cs="Arial"/>
          <w:lang w:val="es-CR"/>
        </w:rPr>
        <w:t>en</w:t>
      </w:r>
      <w:r w:rsidR="003151C9" w:rsidRPr="005D5814">
        <w:rPr>
          <w:rFonts w:ascii="Arial" w:hAnsi="Arial" w:cs="Arial"/>
          <w:lang w:val="es-CR"/>
        </w:rPr>
        <w:t xml:space="preserve"> sesión No. 83-2009 celebrada el 3 de setiembre de 2009, artículo LIII, dispuso que la Dirección Ejecutiva debe actualizar anualmente la Tabla de Honorarios de Peritos; asimismo, por acuerdo tomado en sesión No. 19-2011 celebrada el 3 de marzo de 2011, artículo LVIII, acordó que la Tabla de Honorarios de Peritos debe regir a partir del primero de enero de cada año.</w:t>
      </w:r>
    </w:p>
    <w:p w14:paraId="03BA8E6B" w14:textId="77777777" w:rsidR="003151C9" w:rsidRDefault="003151C9" w:rsidP="00BC5B65">
      <w:pPr>
        <w:ind w:left="-142" w:right="-660"/>
        <w:jc w:val="both"/>
        <w:rPr>
          <w:rFonts w:ascii="Arial" w:hAnsi="Arial" w:cs="Arial"/>
          <w:lang w:val="es-CR"/>
        </w:rPr>
      </w:pPr>
    </w:p>
    <w:p w14:paraId="7C3282BF" w14:textId="75976844" w:rsidR="00BB618B" w:rsidRDefault="0041039D" w:rsidP="00BC5B65">
      <w:pPr>
        <w:ind w:left="-142" w:right="-660"/>
        <w:jc w:val="both"/>
        <w:rPr>
          <w:rFonts w:ascii="Arial" w:hAnsi="Arial" w:cs="Arial"/>
          <w:lang w:val="es-CR"/>
        </w:rPr>
      </w:pPr>
      <w:r>
        <w:rPr>
          <w:rFonts w:ascii="Arial" w:hAnsi="Arial" w:cs="Arial"/>
          <w:lang w:val="es-CR"/>
        </w:rPr>
        <w:t xml:space="preserve">Mediante oficio No. </w:t>
      </w:r>
      <w:r w:rsidR="00297A4F">
        <w:rPr>
          <w:rFonts w:ascii="Arial" w:hAnsi="Arial" w:cs="Arial"/>
          <w:lang w:val="es-CR"/>
        </w:rPr>
        <w:t>4384</w:t>
      </w:r>
      <w:r>
        <w:rPr>
          <w:rFonts w:ascii="Arial" w:hAnsi="Arial" w:cs="Arial"/>
          <w:lang w:val="es-CR"/>
        </w:rPr>
        <w:t xml:space="preserve">-DE-2024 de fecha </w:t>
      </w:r>
      <w:r w:rsidR="00297A4F">
        <w:rPr>
          <w:rFonts w:ascii="Arial" w:hAnsi="Arial" w:cs="Arial"/>
          <w:lang w:val="es-CR"/>
        </w:rPr>
        <w:t>del 20 de diciembre de 2024</w:t>
      </w:r>
      <w:r>
        <w:rPr>
          <w:rFonts w:ascii="Arial" w:hAnsi="Arial" w:cs="Arial"/>
          <w:lang w:val="es-CR"/>
        </w:rPr>
        <w:t xml:space="preserve">, esta Dirección Ejecutiva remitió estudio y propuestas al Consejo Superior para </w:t>
      </w:r>
      <w:r w:rsidR="00BB618B">
        <w:rPr>
          <w:rFonts w:ascii="Arial" w:hAnsi="Arial" w:cs="Arial"/>
          <w:lang w:val="es-CR"/>
        </w:rPr>
        <w:t xml:space="preserve">mantener las </w:t>
      </w:r>
      <w:r w:rsidR="00BB618B" w:rsidRPr="00BB618B">
        <w:rPr>
          <w:rFonts w:ascii="Arial" w:hAnsi="Arial" w:cs="Arial"/>
          <w:lang w:val="es-CR"/>
        </w:rPr>
        <w:t>tarifas del 202</w:t>
      </w:r>
      <w:r w:rsidR="00297A4F">
        <w:rPr>
          <w:rFonts w:ascii="Arial" w:hAnsi="Arial" w:cs="Arial"/>
          <w:lang w:val="es-CR"/>
        </w:rPr>
        <w:t>4</w:t>
      </w:r>
      <w:r w:rsidR="00BB618B" w:rsidRPr="00BB618B">
        <w:rPr>
          <w:rFonts w:ascii="Arial" w:hAnsi="Arial" w:cs="Arial"/>
          <w:lang w:val="es-CR"/>
        </w:rPr>
        <w:t xml:space="preserve">, con motivo de que la variación interanual del Índice de Precios al Consumidor (IPC) a </w:t>
      </w:r>
      <w:r w:rsidR="00297A4F">
        <w:rPr>
          <w:rFonts w:ascii="Arial" w:hAnsi="Arial" w:cs="Arial"/>
          <w:lang w:val="es-CR"/>
        </w:rPr>
        <w:t>noviembre</w:t>
      </w:r>
      <w:r w:rsidR="00BB618B" w:rsidRPr="00BB618B">
        <w:rPr>
          <w:rFonts w:ascii="Arial" w:hAnsi="Arial" w:cs="Arial"/>
          <w:lang w:val="es-CR"/>
        </w:rPr>
        <w:t xml:space="preserve"> de 202</w:t>
      </w:r>
      <w:r w:rsidR="00297A4F">
        <w:rPr>
          <w:rFonts w:ascii="Arial" w:hAnsi="Arial" w:cs="Arial"/>
          <w:lang w:val="es-CR"/>
        </w:rPr>
        <w:t>4</w:t>
      </w:r>
      <w:r w:rsidR="00BB618B" w:rsidRPr="00BB618B">
        <w:rPr>
          <w:rFonts w:ascii="Arial" w:hAnsi="Arial" w:cs="Arial"/>
          <w:lang w:val="es-CR"/>
        </w:rPr>
        <w:t xml:space="preserve"> fue de </w:t>
      </w:r>
      <w:r w:rsidR="00BB618B" w:rsidRPr="00E118BA">
        <w:rPr>
          <w:rFonts w:ascii="Arial" w:hAnsi="Arial" w:cs="Arial"/>
          <w:u w:val="single"/>
          <w:lang w:val="es-CR"/>
        </w:rPr>
        <w:t>-</w:t>
      </w:r>
      <w:r w:rsidR="00AF4569" w:rsidRPr="00E118BA">
        <w:rPr>
          <w:rFonts w:ascii="Arial" w:hAnsi="Arial" w:cs="Arial"/>
          <w:u w:val="single"/>
          <w:lang w:val="es-CR"/>
        </w:rPr>
        <w:t>0</w:t>
      </w:r>
      <w:r w:rsidR="00BB618B" w:rsidRPr="00E118BA">
        <w:rPr>
          <w:rFonts w:ascii="Arial" w:hAnsi="Arial" w:cs="Arial"/>
          <w:u w:val="single"/>
          <w:lang w:val="es-CR"/>
        </w:rPr>
        <w:t>,</w:t>
      </w:r>
      <w:r w:rsidR="00AF4569" w:rsidRPr="00E118BA">
        <w:rPr>
          <w:rFonts w:ascii="Arial" w:hAnsi="Arial" w:cs="Arial"/>
          <w:u w:val="single"/>
          <w:lang w:val="es-CR"/>
        </w:rPr>
        <w:t>09</w:t>
      </w:r>
      <w:r w:rsidR="00BB618B" w:rsidRPr="00BB618B">
        <w:rPr>
          <w:rFonts w:ascii="Arial" w:hAnsi="Arial" w:cs="Arial"/>
          <w:lang w:val="es-CR"/>
        </w:rPr>
        <w:t xml:space="preserve">. Así las cosas, el Consejo Superior en sesión No. </w:t>
      </w:r>
      <w:r w:rsidR="00DC3D81">
        <w:rPr>
          <w:rFonts w:ascii="Arial" w:hAnsi="Arial" w:cs="Arial"/>
          <w:lang w:val="es-CR"/>
        </w:rPr>
        <w:t>02</w:t>
      </w:r>
      <w:r w:rsidR="00BB618B" w:rsidRPr="00BB618B">
        <w:rPr>
          <w:rFonts w:ascii="Arial" w:hAnsi="Arial" w:cs="Arial"/>
          <w:lang w:val="es-CR"/>
        </w:rPr>
        <w:t>-202</w:t>
      </w:r>
      <w:r w:rsidR="00DC3D81">
        <w:rPr>
          <w:rFonts w:ascii="Arial" w:hAnsi="Arial" w:cs="Arial"/>
          <w:lang w:val="es-CR"/>
        </w:rPr>
        <w:t>5</w:t>
      </w:r>
      <w:r w:rsidR="00BB618B" w:rsidRPr="00BB618B">
        <w:rPr>
          <w:rFonts w:ascii="Arial" w:hAnsi="Arial" w:cs="Arial"/>
          <w:lang w:val="es-CR"/>
        </w:rPr>
        <w:t xml:space="preserve"> celebrada el </w:t>
      </w:r>
      <w:r w:rsidR="00DC3D81">
        <w:rPr>
          <w:rFonts w:ascii="Arial" w:hAnsi="Arial" w:cs="Arial"/>
          <w:lang w:val="es-CR"/>
        </w:rPr>
        <w:t>09</w:t>
      </w:r>
      <w:r w:rsidR="00BB618B" w:rsidRPr="00BB618B">
        <w:rPr>
          <w:rFonts w:ascii="Arial" w:hAnsi="Arial" w:cs="Arial"/>
          <w:lang w:val="es-CR"/>
        </w:rPr>
        <w:t xml:space="preserve"> de febrero de 202</w:t>
      </w:r>
      <w:r w:rsidR="00DC3D81">
        <w:rPr>
          <w:rFonts w:ascii="Arial" w:hAnsi="Arial" w:cs="Arial"/>
          <w:lang w:val="es-CR"/>
        </w:rPr>
        <w:t>5</w:t>
      </w:r>
      <w:r w:rsidR="00BB618B" w:rsidRPr="00BB618B">
        <w:rPr>
          <w:rFonts w:ascii="Arial" w:hAnsi="Arial" w:cs="Arial"/>
          <w:lang w:val="es-CR"/>
        </w:rPr>
        <w:t>,</w:t>
      </w:r>
      <w:r w:rsidR="007E55A1">
        <w:rPr>
          <w:rFonts w:ascii="Arial" w:hAnsi="Arial" w:cs="Arial"/>
          <w:lang w:val="es-CR"/>
        </w:rPr>
        <w:t xml:space="preserve"> artículo XI,</w:t>
      </w:r>
      <w:r w:rsidR="00BB618B" w:rsidRPr="00BB618B">
        <w:rPr>
          <w:rFonts w:ascii="Arial" w:hAnsi="Arial" w:cs="Arial"/>
          <w:lang w:val="es-CR"/>
        </w:rPr>
        <w:t xml:space="preserve"> en lo que interesa, dispuso:</w:t>
      </w:r>
    </w:p>
    <w:p w14:paraId="5B18C936" w14:textId="77777777" w:rsidR="00D050DD" w:rsidRDefault="00D050DD" w:rsidP="00BB618B">
      <w:pPr>
        <w:ind w:right="-660"/>
        <w:jc w:val="both"/>
        <w:rPr>
          <w:rFonts w:ascii="Arial" w:hAnsi="Arial" w:cs="Arial"/>
          <w:lang w:val="es-CR"/>
        </w:rPr>
      </w:pPr>
    </w:p>
    <w:p w14:paraId="60EC0A29" w14:textId="57B4A909" w:rsidR="00D050DD" w:rsidRPr="007E55A1" w:rsidRDefault="00D050DD" w:rsidP="00D050DD">
      <w:pPr>
        <w:ind w:left="420" w:right="-660"/>
        <w:jc w:val="both"/>
        <w:rPr>
          <w:rFonts w:ascii="Arial" w:hAnsi="Arial" w:cs="Arial"/>
          <w:i/>
          <w:iCs/>
          <w:sz w:val="22"/>
          <w:szCs w:val="22"/>
          <w:lang w:val="es-CR"/>
        </w:rPr>
      </w:pPr>
      <w:r w:rsidRPr="007E55A1">
        <w:rPr>
          <w:rFonts w:ascii="Arial" w:hAnsi="Arial" w:cs="Arial"/>
          <w:i/>
          <w:iCs/>
          <w:sz w:val="22"/>
          <w:szCs w:val="22"/>
          <w:lang w:val="es-CR"/>
        </w:rPr>
        <w:t>(…) “</w:t>
      </w:r>
      <w:r w:rsidR="00722066" w:rsidRPr="007E55A1">
        <w:rPr>
          <w:rFonts w:ascii="Arial" w:hAnsi="Arial" w:cs="Arial"/>
          <w:i/>
          <w:iCs/>
          <w:color w:val="000000"/>
          <w:sz w:val="22"/>
          <w:szCs w:val="22"/>
        </w:rPr>
        <w:t>Aprobar la propuesta 1.1, para que en el periodo 2025 se mantengan los mismos montos en los honorarios y tarifas del año 2024</w:t>
      </w:r>
      <w:r w:rsidRPr="007E55A1">
        <w:rPr>
          <w:rFonts w:ascii="Arial" w:hAnsi="Arial" w:cs="Arial"/>
          <w:i/>
          <w:iCs/>
          <w:color w:val="000000"/>
          <w:sz w:val="22"/>
          <w:szCs w:val="22"/>
        </w:rPr>
        <w:t>”</w:t>
      </w:r>
      <w:r w:rsidR="00B10BD0" w:rsidRPr="007E55A1">
        <w:rPr>
          <w:rFonts w:ascii="Arial" w:hAnsi="Arial" w:cs="Arial"/>
          <w:i/>
          <w:iCs/>
          <w:color w:val="000000"/>
          <w:sz w:val="22"/>
          <w:szCs w:val="22"/>
        </w:rPr>
        <w:t xml:space="preserve"> </w:t>
      </w:r>
      <w:r w:rsidRPr="007E55A1">
        <w:rPr>
          <w:rFonts w:ascii="Arial" w:hAnsi="Arial" w:cs="Arial"/>
          <w:i/>
          <w:iCs/>
          <w:color w:val="000000"/>
          <w:sz w:val="22"/>
          <w:szCs w:val="22"/>
        </w:rPr>
        <w:t>(…)</w:t>
      </w:r>
    </w:p>
    <w:p w14:paraId="48B9ACD2" w14:textId="1627D360" w:rsidR="00977BAC" w:rsidRDefault="00977BAC" w:rsidP="007A6634">
      <w:pPr>
        <w:ind w:left="-142" w:right="-801"/>
        <w:jc w:val="both"/>
        <w:rPr>
          <w:rFonts w:ascii="Arial" w:hAnsi="Arial" w:cs="Arial"/>
          <w:lang w:val="es-CR"/>
        </w:rPr>
      </w:pPr>
    </w:p>
    <w:p w14:paraId="4B54D6E5" w14:textId="61C6FD5D" w:rsidR="007D575B" w:rsidRDefault="00755467" w:rsidP="007D575B">
      <w:pPr>
        <w:ind w:left="-142" w:right="-801"/>
        <w:jc w:val="both"/>
        <w:rPr>
          <w:rFonts w:ascii="Arial" w:hAnsi="Arial" w:cs="Arial"/>
          <w:lang w:val="es-CR"/>
        </w:rPr>
      </w:pPr>
      <w:r>
        <w:rPr>
          <w:rFonts w:ascii="Arial" w:hAnsi="Arial" w:cs="Arial"/>
          <w:lang w:val="es-CR"/>
        </w:rPr>
        <w:t>Por lo anterior</w:t>
      </w:r>
      <w:r w:rsidR="007D575B" w:rsidRPr="005D5814">
        <w:rPr>
          <w:rFonts w:ascii="Arial" w:hAnsi="Arial" w:cs="Arial"/>
          <w:lang w:val="es-CR"/>
        </w:rPr>
        <w:t xml:space="preserve">, </w:t>
      </w:r>
      <w:r w:rsidR="007D575B" w:rsidRPr="005D5814">
        <w:rPr>
          <w:rFonts w:ascii="Arial" w:hAnsi="Arial" w:cs="Arial"/>
          <w:b/>
          <w:lang w:val="es-CR"/>
        </w:rPr>
        <w:t xml:space="preserve">a partir del 1 de enero del </w:t>
      </w:r>
      <w:r w:rsidR="007D575B">
        <w:rPr>
          <w:rFonts w:ascii="Arial" w:hAnsi="Arial" w:cs="Arial"/>
          <w:b/>
          <w:lang w:val="es-CR"/>
        </w:rPr>
        <w:t>202</w:t>
      </w:r>
      <w:r w:rsidR="003554F5">
        <w:rPr>
          <w:rFonts w:ascii="Arial" w:hAnsi="Arial" w:cs="Arial"/>
          <w:b/>
          <w:lang w:val="es-CR"/>
        </w:rPr>
        <w:t>5</w:t>
      </w:r>
      <w:r w:rsidR="007D575B" w:rsidRPr="005D5814">
        <w:rPr>
          <w:rFonts w:ascii="Arial" w:hAnsi="Arial" w:cs="Arial"/>
          <w:lang w:val="es-CR"/>
        </w:rPr>
        <w:t>, regirán las siguientes tarifas de Honorarios de Peritos y Peritas, Ejecutores, Honorarios para Peritos y Peritas en Trabajo Social y Psicología, Servicios Médicos Forenses y Especialidades Médicas, Honorarios para Actuarios Matemáticos, Traductores de Idiomas e Intérpretes de Lenguaje de Señas Costarricense y las Tarifas de Ayuda para Testigos, Imputados y Ofendidos de Escasos Recursos Económicos, que se presentan en los siguientes cuadros:</w:t>
      </w:r>
    </w:p>
    <w:p w14:paraId="7EE9FD49" w14:textId="71A6D440" w:rsidR="00977BAC" w:rsidRDefault="00977BAC" w:rsidP="007A6634">
      <w:pPr>
        <w:ind w:left="-142" w:right="-801"/>
        <w:jc w:val="both"/>
        <w:rPr>
          <w:rFonts w:ascii="Arial" w:hAnsi="Arial" w:cs="Arial"/>
          <w:lang w:val="es-CR"/>
        </w:rPr>
      </w:pPr>
    </w:p>
    <w:p w14:paraId="67967055" w14:textId="77777777" w:rsidR="00927D5F" w:rsidRDefault="00927D5F" w:rsidP="007A6634">
      <w:pPr>
        <w:ind w:left="-142" w:right="-801"/>
        <w:jc w:val="both"/>
        <w:rPr>
          <w:rFonts w:ascii="Arial" w:hAnsi="Arial" w:cs="Arial"/>
          <w:lang w:val="es-CR"/>
        </w:rPr>
      </w:pPr>
    </w:p>
    <w:p w14:paraId="46562632" w14:textId="77777777" w:rsidR="00F8395E" w:rsidRDefault="00F8395E" w:rsidP="007A6634">
      <w:pPr>
        <w:ind w:left="-142" w:right="-801"/>
        <w:jc w:val="both"/>
        <w:rPr>
          <w:rFonts w:ascii="Arial" w:hAnsi="Arial" w:cs="Arial"/>
          <w:lang w:val="es-CR"/>
        </w:rPr>
      </w:pPr>
    </w:p>
    <w:p w14:paraId="38E9EB76" w14:textId="77777777" w:rsidR="00927D5F" w:rsidRDefault="00927D5F" w:rsidP="007A6634">
      <w:pPr>
        <w:ind w:left="-142" w:right="-801"/>
        <w:jc w:val="both"/>
        <w:rPr>
          <w:rFonts w:ascii="Arial" w:hAnsi="Arial" w:cs="Arial"/>
          <w:lang w:val="es-CR"/>
        </w:rPr>
      </w:pPr>
    </w:p>
    <w:p w14:paraId="31FCFA6E" w14:textId="77777777" w:rsidR="00927D5F" w:rsidRDefault="00927D5F" w:rsidP="007A6634">
      <w:pPr>
        <w:ind w:left="-142" w:right="-801"/>
        <w:jc w:val="both"/>
        <w:rPr>
          <w:rFonts w:ascii="Arial" w:hAnsi="Arial" w:cs="Arial"/>
          <w:lang w:val="es-CR"/>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1985"/>
        <w:gridCol w:w="2126"/>
      </w:tblGrid>
      <w:tr w:rsidR="00977BAC" w:rsidRPr="00977BAC" w14:paraId="78E6E8A9" w14:textId="77777777" w:rsidTr="00C91830">
        <w:trPr>
          <w:trHeight w:val="204"/>
        </w:trPr>
        <w:tc>
          <w:tcPr>
            <w:tcW w:w="9781" w:type="dxa"/>
            <w:gridSpan w:val="5"/>
            <w:tcBorders>
              <w:top w:val="nil"/>
              <w:left w:val="nil"/>
              <w:bottom w:val="nil"/>
              <w:right w:val="nil"/>
            </w:tcBorders>
            <w:shd w:val="clear" w:color="auto" w:fill="auto"/>
            <w:noWrap/>
            <w:vAlign w:val="center"/>
            <w:hideMark/>
          </w:tcPr>
          <w:p w14:paraId="2D3953DC" w14:textId="77777777"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1</w:t>
            </w:r>
          </w:p>
          <w:p w14:paraId="6EDB94C3" w14:textId="326A25CF" w:rsidR="008404B8" w:rsidRPr="00062D00"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2369B733" w14:textId="77777777" w:rsidTr="00C91830">
        <w:trPr>
          <w:trHeight w:val="204"/>
        </w:trPr>
        <w:tc>
          <w:tcPr>
            <w:tcW w:w="9781" w:type="dxa"/>
            <w:gridSpan w:val="5"/>
            <w:tcBorders>
              <w:top w:val="nil"/>
              <w:left w:val="nil"/>
              <w:bottom w:val="nil"/>
              <w:right w:val="nil"/>
            </w:tcBorders>
            <w:shd w:val="clear" w:color="auto" w:fill="auto"/>
            <w:noWrap/>
            <w:vAlign w:val="center"/>
            <w:hideMark/>
          </w:tcPr>
          <w:p w14:paraId="4D7883EB" w14:textId="5A388409"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 xml:space="preserve">Tarifas de Honorarios para Peritos y Peritas </w:t>
            </w:r>
          </w:p>
        </w:tc>
      </w:tr>
      <w:tr w:rsidR="00977BAC" w:rsidRPr="00977BAC" w14:paraId="5A463767" w14:textId="77777777" w:rsidTr="00C91830">
        <w:trPr>
          <w:trHeight w:val="204"/>
        </w:trPr>
        <w:tc>
          <w:tcPr>
            <w:tcW w:w="9781" w:type="dxa"/>
            <w:gridSpan w:val="5"/>
            <w:tcBorders>
              <w:top w:val="nil"/>
              <w:left w:val="nil"/>
              <w:bottom w:val="nil"/>
              <w:right w:val="nil"/>
            </w:tcBorders>
            <w:shd w:val="clear" w:color="auto" w:fill="auto"/>
            <w:noWrap/>
            <w:vAlign w:val="center"/>
            <w:hideMark/>
          </w:tcPr>
          <w:p w14:paraId="29A5D76D" w14:textId="1394F416"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29644B">
              <w:rPr>
                <w:rFonts w:ascii="Arial" w:eastAsia="Times New Roman" w:hAnsi="Arial" w:cs="Arial"/>
                <w:b/>
                <w:bCs/>
                <w:color w:val="000000"/>
                <w:kern w:val="0"/>
                <w:sz w:val="20"/>
                <w:szCs w:val="20"/>
                <w:lang w:val="es-CR" w:eastAsia="es-CR" w:bidi="ar-SA"/>
              </w:rPr>
              <w:t>5</w:t>
            </w:r>
          </w:p>
        </w:tc>
      </w:tr>
      <w:tr w:rsidR="00C91830" w:rsidRPr="00977BAC" w14:paraId="722AD26B" w14:textId="77777777" w:rsidTr="001D01A5">
        <w:trPr>
          <w:trHeight w:val="342"/>
        </w:trPr>
        <w:tc>
          <w:tcPr>
            <w:tcW w:w="1418" w:type="dxa"/>
            <w:tcBorders>
              <w:top w:val="nil"/>
              <w:left w:val="nil"/>
              <w:bottom w:val="single" w:sz="4" w:space="0" w:color="auto"/>
              <w:right w:val="nil"/>
            </w:tcBorders>
            <w:shd w:val="clear" w:color="auto" w:fill="auto"/>
            <w:noWrap/>
            <w:vAlign w:val="center"/>
            <w:hideMark/>
          </w:tcPr>
          <w:p w14:paraId="52C85D35" w14:textId="77777777" w:rsidR="00C91830" w:rsidRPr="00977BAC" w:rsidRDefault="00C91830" w:rsidP="00977BAC">
            <w:pPr>
              <w:widowControl/>
              <w:suppressAutoHyphens w:val="0"/>
              <w:jc w:val="center"/>
              <w:rPr>
                <w:rFonts w:ascii="Arial" w:eastAsia="Times New Roman" w:hAnsi="Arial" w:cs="Arial"/>
                <w:b/>
                <w:bCs/>
                <w:color w:val="000000"/>
                <w:kern w:val="0"/>
                <w:sz w:val="16"/>
                <w:szCs w:val="16"/>
                <w:lang w:val="es-CR" w:eastAsia="es-CR" w:bidi="ar-SA"/>
              </w:rPr>
            </w:pPr>
          </w:p>
        </w:tc>
        <w:tc>
          <w:tcPr>
            <w:tcW w:w="1984" w:type="dxa"/>
            <w:tcBorders>
              <w:top w:val="nil"/>
              <w:left w:val="nil"/>
              <w:bottom w:val="single" w:sz="4" w:space="0" w:color="auto"/>
              <w:right w:val="nil"/>
            </w:tcBorders>
            <w:shd w:val="clear" w:color="auto" w:fill="auto"/>
            <w:noWrap/>
            <w:vAlign w:val="bottom"/>
            <w:hideMark/>
          </w:tcPr>
          <w:p w14:paraId="6BAC9E95" w14:textId="77777777" w:rsidR="00C91830" w:rsidRPr="00977BAC" w:rsidRDefault="00C91830" w:rsidP="00977BAC">
            <w:pPr>
              <w:widowControl/>
              <w:suppressAutoHyphens w:val="0"/>
              <w:jc w:val="both"/>
              <w:rPr>
                <w:rFonts w:ascii="Arial" w:eastAsia="Times New Roman" w:hAnsi="Arial" w:cs="Arial"/>
                <w:kern w:val="0"/>
                <w:sz w:val="16"/>
                <w:szCs w:val="16"/>
                <w:lang w:val="es-CR" w:eastAsia="es-CR" w:bidi="ar-SA"/>
              </w:rPr>
            </w:pPr>
          </w:p>
        </w:tc>
        <w:tc>
          <w:tcPr>
            <w:tcW w:w="2268" w:type="dxa"/>
            <w:tcBorders>
              <w:top w:val="nil"/>
              <w:left w:val="nil"/>
              <w:bottom w:val="single" w:sz="4" w:space="0" w:color="auto"/>
              <w:right w:val="nil"/>
            </w:tcBorders>
            <w:shd w:val="clear" w:color="auto" w:fill="auto"/>
            <w:noWrap/>
            <w:vAlign w:val="bottom"/>
            <w:hideMark/>
          </w:tcPr>
          <w:p w14:paraId="584C9C49" w14:textId="77777777" w:rsidR="00C91830" w:rsidRPr="00977BAC" w:rsidRDefault="00C91830" w:rsidP="00977BAC">
            <w:pPr>
              <w:widowControl/>
              <w:suppressAutoHyphens w:val="0"/>
              <w:rPr>
                <w:rFonts w:ascii="Arial" w:eastAsia="Times New Roman" w:hAnsi="Arial" w:cs="Arial"/>
                <w:kern w:val="0"/>
                <w:sz w:val="16"/>
                <w:szCs w:val="16"/>
                <w:lang w:val="es-CR" w:eastAsia="es-CR" w:bidi="ar-SA"/>
              </w:rPr>
            </w:pPr>
          </w:p>
        </w:tc>
        <w:tc>
          <w:tcPr>
            <w:tcW w:w="1985" w:type="dxa"/>
            <w:tcBorders>
              <w:top w:val="nil"/>
              <w:left w:val="nil"/>
              <w:bottom w:val="single" w:sz="4" w:space="0" w:color="auto"/>
              <w:right w:val="nil"/>
            </w:tcBorders>
            <w:shd w:val="clear" w:color="auto" w:fill="auto"/>
            <w:vAlign w:val="bottom"/>
            <w:hideMark/>
          </w:tcPr>
          <w:p w14:paraId="0E147490" w14:textId="77777777" w:rsidR="00C91830" w:rsidRPr="00977BAC" w:rsidRDefault="00C91830" w:rsidP="00977BAC">
            <w:pPr>
              <w:widowControl/>
              <w:suppressAutoHyphens w:val="0"/>
              <w:rPr>
                <w:rFonts w:ascii="Arial" w:eastAsia="Times New Roman" w:hAnsi="Arial" w:cs="Arial"/>
                <w:kern w:val="0"/>
                <w:sz w:val="16"/>
                <w:szCs w:val="16"/>
                <w:lang w:val="es-CR" w:eastAsia="es-CR" w:bidi="ar-SA"/>
              </w:rPr>
            </w:pPr>
          </w:p>
        </w:tc>
        <w:tc>
          <w:tcPr>
            <w:tcW w:w="2126" w:type="dxa"/>
            <w:tcBorders>
              <w:top w:val="nil"/>
              <w:left w:val="nil"/>
              <w:bottom w:val="single" w:sz="4" w:space="0" w:color="auto"/>
              <w:right w:val="nil"/>
            </w:tcBorders>
            <w:shd w:val="clear" w:color="auto" w:fill="auto"/>
            <w:noWrap/>
            <w:vAlign w:val="bottom"/>
            <w:hideMark/>
          </w:tcPr>
          <w:p w14:paraId="41C87C33" w14:textId="77777777" w:rsidR="00C91830" w:rsidRPr="00977BAC" w:rsidRDefault="00C91830" w:rsidP="00977BAC">
            <w:pPr>
              <w:widowControl/>
              <w:suppressAutoHyphens w:val="0"/>
              <w:rPr>
                <w:rFonts w:ascii="Arial" w:eastAsia="Times New Roman" w:hAnsi="Arial" w:cs="Arial"/>
                <w:kern w:val="0"/>
                <w:sz w:val="16"/>
                <w:szCs w:val="16"/>
                <w:lang w:val="es-CR" w:eastAsia="es-CR" w:bidi="ar-SA"/>
              </w:rPr>
            </w:pPr>
          </w:p>
        </w:tc>
      </w:tr>
      <w:tr w:rsidR="008512E9" w:rsidRPr="00977BAC" w14:paraId="797ADB3C" w14:textId="77777777" w:rsidTr="001D01A5">
        <w:trPr>
          <w:trHeight w:val="1428"/>
        </w:trPr>
        <w:tc>
          <w:tcPr>
            <w:tcW w:w="1418" w:type="dxa"/>
            <w:tcBorders>
              <w:top w:val="single" w:sz="4" w:space="0" w:color="auto"/>
            </w:tcBorders>
            <w:shd w:val="clear" w:color="auto" w:fill="F2F2F2" w:themeFill="background1" w:themeFillShade="F2"/>
            <w:vAlign w:val="center"/>
            <w:hideMark/>
          </w:tcPr>
          <w:p w14:paraId="6FD75385" w14:textId="77777777" w:rsidR="008512E9" w:rsidRPr="008404B8" w:rsidRDefault="008512E9" w:rsidP="00977BAC">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 </w:t>
            </w:r>
          </w:p>
        </w:tc>
        <w:tc>
          <w:tcPr>
            <w:tcW w:w="1984" w:type="dxa"/>
            <w:tcBorders>
              <w:top w:val="single" w:sz="4" w:space="0" w:color="auto"/>
            </w:tcBorders>
            <w:shd w:val="clear" w:color="000000" w:fill="E6E6E6"/>
            <w:vAlign w:val="center"/>
            <w:hideMark/>
          </w:tcPr>
          <w:p w14:paraId="32AC10E0" w14:textId="77777777" w:rsidR="008512E9" w:rsidRPr="008404B8" w:rsidRDefault="008512E9" w:rsidP="00977BAC">
            <w:pPr>
              <w:widowControl/>
              <w:suppressAutoHyphens w:val="0"/>
              <w:jc w:val="center"/>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Topes monto peritaje</w:t>
            </w:r>
          </w:p>
        </w:tc>
        <w:tc>
          <w:tcPr>
            <w:tcW w:w="2268" w:type="dxa"/>
            <w:tcBorders>
              <w:top w:val="single" w:sz="4" w:space="0" w:color="auto"/>
            </w:tcBorders>
            <w:shd w:val="clear" w:color="000000" w:fill="E6E6E6"/>
            <w:vAlign w:val="center"/>
            <w:hideMark/>
          </w:tcPr>
          <w:p w14:paraId="0E102916" w14:textId="77777777" w:rsidR="008512E9" w:rsidRPr="008404B8" w:rsidRDefault="008512E9" w:rsidP="00977BAC">
            <w:pPr>
              <w:widowControl/>
              <w:suppressAutoHyphens w:val="0"/>
              <w:jc w:val="center"/>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Diferencias de excesos</w:t>
            </w:r>
          </w:p>
        </w:tc>
        <w:tc>
          <w:tcPr>
            <w:tcW w:w="1985" w:type="dxa"/>
            <w:tcBorders>
              <w:top w:val="single" w:sz="4" w:space="0" w:color="auto"/>
            </w:tcBorders>
            <w:shd w:val="clear" w:color="000000" w:fill="E6E6E6"/>
            <w:vAlign w:val="center"/>
            <w:hideMark/>
          </w:tcPr>
          <w:p w14:paraId="1D04DDF4" w14:textId="7BA272E9" w:rsidR="008512E9" w:rsidRPr="008404B8" w:rsidRDefault="008512E9" w:rsidP="00977BAC">
            <w:pPr>
              <w:widowControl/>
              <w:suppressAutoHyphens w:val="0"/>
              <w:jc w:val="center"/>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 xml:space="preserve">Porcentaje actual Máximo a aplicar sobre las diferencias de los excesos </w:t>
            </w:r>
            <w:r w:rsidR="00BD37B5">
              <w:rPr>
                <w:rFonts w:ascii="Arial" w:eastAsia="Times New Roman" w:hAnsi="Arial" w:cs="Arial"/>
                <w:b/>
                <w:bCs/>
                <w:color w:val="000000"/>
                <w:kern w:val="0"/>
                <w:sz w:val="20"/>
                <w:szCs w:val="20"/>
                <w:lang w:val="es-CR" w:eastAsia="es-CR" w:bidi="ar-SA"/>
              </w:rPr>
              <w:t>2025</w:t>
            </w:r>
          </w:p>
        </w:tc>
        <w:tc>
          <w:tcPr>
            <w:tcW w:w="2126" w:type="dxa"/>
            <w:tcBorders>
              <w:top w:val="single" w:sz="4" w:space="0" w:color="auto"/>
            </w:tcBorders>
            <w:shd w:val="clear" w:color="000000" w:fill="E6E6E6"/>
            <w:vAlign w:val="center"/>
            <w:hideMark/>
          </w:tcPr>
          <w:p w14:paraId="5EC38C84" w14:textId="78BC9CD4" w:rsidR="008512E9" w:rsidRPr="008404B8"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C75E1B">
              <w:rPr>
                <w:rFonts w:ascii="Arial" w:eastAsia="Times New Roman" w:hAnsi="Arial" w:cs="Arial"/>
                <w:b/>
                <w:bCs/>
                <w:color w:val="000000"/>
                <w:kern w:val="0"/>
                <w:sz w:val="20"/>
                <w:szCs w:val="20"/>
                <w:lang w:val="es-CR" w:eastAsia="es-CR" w:bidi="ar-SA"/>
              </w:rPr>
              <w:t>5</w:t>
            </w:r>
          </w:p>
        </w:tc>
      </w:tr>
      <w:tr w:rsidR="001B71F4" w:rsidRPr="00977BAC" w14:paraId="16404E7D" w14:textId="77777777" w:rsidTr="001D01A5">
        <w:trPr>
          <w:trHeight w:val="204"/>
        </w:trPr>
        <w:tc>
          <w:tcPr>
            <w:tcW w:w="1418" w:type="dxa"/>
            <w:shd w:val="clear" w:color="auto" w:fill="auto"/>
            <w:vAlign w:val="center"/>
            <w:hideMark/>
          </w:tcPr>
          <w:p w14:paraId="79398A86"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 </w:t>
            </w:r>
          </w:p>
        </w:tc>
        <w:tc>
          <w:tcPr>
            <w:tcW w:w="1984" w:type="dxa"/>
            <w:shd w:val="clear" w:color="auto" w:fill="auto"/>
            <w:vAlign w:val="center"/>
            <w:hideMark/>
          </w:tcPr>
          <w:p w14:paraId="2F842F17"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₡545 600</w:t>
            </w:r>
          </w:p>
        </w:tc>
        <w:tc>
          <w:tcPr>
            <w:tcW w:w="2268" w:type="dxa"/>
            <w:shd w:val="clear" w:color="auto" w:fill="auto"/>
            <w:vAlign w:val="center"/>
            <w:hideMark/>
          </w:tcPr>
          <w:p w14:paraId="7D0F5B4B"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₡545 600,00</w:t>
            </w:r>
          </w:p>
        </w:tc>
        <w:tc>
          <w:tcPr>
            <w:tcW w:w="1985" w:type="dxa"/>
            <w:shd w:val="clear" w:color="auto" w:fill="auto"/>
            <w:vAlign w:val="center"/>
            <w:hideMark/>
          </w:tcPr>
          <w:p w14:paraId="512E598F" w14:textId="3C909D53"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10,76%</w:t>
            </w:r>
          </w:p>
        </w:tc>
        <w:tc>
          <w:tcPr>
            <w:tcW w:w="2126" w:type="dxa"/>
            <w:shd w:val="clear" w:color="auto" w:fill="auto"/>
            <w:vAlign w:val="center"/>
            <w:hideMark/>
          </w:tcPr>
          <w:p w14:paraId="7A2EB2F7"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₡59 900,00</w:t>
            </w:r>
          </w:p>
        </w:tc>
      </w:tr>
      <w:tr w:rsidR="001B71F4" w:rsidRPr="00977BAC" w14:paraId="0E88C0D6" w14:textId="77777777" w:rsidTr="001D01A5">
        <w:trPr>
          <w:trHeight w:val="204"/>
        </w:trPr>
        <w:tc>
          <w:tcPr>
            <w:tcW w:w="1418" w:type="dxa"/>
            <w:shd w:val="clear" w:color="auto" w:fill="auto"/>
            <w:vAlign w:val="center"/>
            <w:hideMark/>
          </w:tcPr>
          <w:p w14:paraId="3C0FDA9E"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4742A4A2"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₡818 400,00</w:t>
            </w:r>
          </w:p>
        </w:tc>
        <w:tc>
          <w:tcPr>
            <w:tcW w:w="2268" w:type="dxa"/>
            <w:shd w:val="clear" w:color="auto" w:fill="auto"/>
            <w:vAlign w:val="center"/>
            <w:hideMark/>
          </w:tcPr>
          <w:p w14:paraId="62B2AE65"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₡272 800,00</w:t>
            </w:r>
          </w:p>
        </w:tc>
        <w:tc>
          <w:tcPr>
            <w:tcW w:w="1985" w:type="dxa"/>
            <w:shd w:val="clear" w:color="auto" w:fill="auto"/>
            <w:vAlign w:val="center"/>
            <w:hideMark/>
          </w:tcPr>
          <w:p w14:paraId="7BD946D5" w14:textId="2A72D783"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8,59%</w:t>
            </w:r>
          </w:p>
        </w:tc>
        <w:tc>
          <w:tcPr>
            <w:tcW w:w="2126" w:type="dxa"/>
            <w:shd w:val="clear" w:color="auto" w:fill="auto"/>
            <w:vAlign w:val="center"/>
            <w:hideMark/>
          </w:tcPr>
          <w:p w14:paraId="597F5A08"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₡83 700,00</w:t>
            </w:r>
          </w:p>
        </w:tc>
      </w:tr>
      <w:tr w:rsidR="001B71F4" w:rsidRPr="00977BAC" w14:paraId="431AB42C" w14:textId="77777777" w:rsidTr="001D01A5">
        <w:trPr>
          <w:trHeight w:val="204"/>
        </w:trPr>
        <w:tc>
          <w:tcPr>
            <w:tcW w:w="1418" w:type="dxa"/>
            <w:shd w:val="clear" w:color="auto" w:fill="auto"/>
            <w:vAlign w:val="center"/>
            <w:hideMark/>
          </w:tcPr>
          <w:p w14:paraId="2F5A98A0"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419E0585"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₡1 091 200,00</w:t>
            </w:r>
          </w:p>
        </w:tc>
        <w:tc>
          <w:tcPr>
            <w:tcW w:w="2268" w:type="dxa"/>
            <w:shd w:val="clear" w:color="auto" w:fill="auto"/>
            <w:vAlign w:val="center"/>
            <w:hideMark/>
          </w:tcPr>
          <w:p w14:paraId="66469F86"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₡272 800,00</w:t>
            </w:r>
          </w:p>
        </w:tc>
        <w:tc>
          <w:tcPr>
            <w:tcW w:w="1985" w:type="dxa"/>
            <w:shd w:val="clear" w:color="auto" w:fill="auto"/>
            <w:vAlign w:val="center"/>
            <w:hideMark/>
          </w:tcPr>
          <w:p w14:paraId="3E62BA36" w14:textId="4E28CA99"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6,49%</w:t>
            </w:r>
          </w:p>
        </w:tc>
        <w:tc>
          <w:tcPr>
            <w:tcW w:w="2126" w:type="dxa"/>
            <w:shd w:val="clear" w:color="auto" w:fill="auto"/>
            <w:vAlign w:val="center"/>
            <w:hideMark/>
          </w:tcPr>
          <w:p w14:paraId="6C8E7DFC"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₡101 800,00</w:t>
            </w:r>
          </w:p>
        </w:tc>
      </w:tr>
      <w:tr w:rsidR="001B71F4" w:rsidRPr="00977BAC" w14:paraId="602B7F09" w14:textId="77777777" w:rsidTr="001D01A5">
        <w:trPr>
          <w:trHeight w:val="204"/>
        </w:trPr>
        <w:tc>
          <w:tcPr>
            <w:tcW w:w="1418" w:type="dxa"/>
            <w:shd w:val="clear" w:color="auto" w:fill="auto"/>
            <w:vAlign w:val="center"/>
            <w:hideMark/>
          </w:tcPr>
          <w:p w14:paraId="727ED05A"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060BFAC5"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₡1 364 000,00</w:t>
            </w:r>
          </w:p>
        </w:tc>
        <w:tc>
          <w:tcPr>
            <w:tcW w:w="2268" w:type="dxa"/>
            <w:shd w:val="clear" w:color="auto" w:fill="auto"/>
            <w:vAlign w:val="center"/>
            <w:hideMark/>
          </w:tcPr>
          <w:p w14:paraId="14A0049A"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₡272 800,00</w:t>
            </w:r>
          </w:p>
        </w:tc>
        <w:tc>
          <w:tcPr>
            <w:tcW w:w="1985" w:type="dxa"/>
            <w:shd w:val="clear" w:color="auto" w:fill="auto"/>
            <w:vAlign w:val="center"/>
            <w:hideMark/>
          </w:tcPr>
          <w:p w14:paraId="59DD41CA" w14:textId="788C9D5E"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4,29%</w:t>
            </w:r>
          </w:p>
        </w:tc>
        <w:tc>
          <w:tcPr>
            <w:tcW w:w="2126" w:type="dxa"/>
            <w:shd w:val="clear" w:color="auto" w:fill="auto"/>
            <w:vAlign w:val="center"/>
            <w:hideMark/>
          </w:tcPr>
          <w:p w14:paraId="1831C4EB"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₡113 700,00</w:t>
            </w:r>
          </w:p>
        </w:tc>
      </w:tr>
      <w:tr w:rsidR="001B71F4" w:rsidRPr="00977BAC" w14:paraId="65432D1E" w14:textId="77777777" w:rsidTr="001D01A5">
        <w:trPr>
          <w:trHeight w:val="204"/>
        </w:trPr>
        <w:tc>
          <w:tcPr>
            <w:tcW w:w="1418" w:type="dxa"/>
            <w:shd w:val="clear" w:color="auto" w:fill="auto"/>
            <w:vAlign w:val="center"/>
            <w:hideMark/>
          </w:tcPr>
          <w:p w14:paraId="7FB562FE"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6CA3AB99"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₡2 728 000,00</w:t>
            </w:r>
          </w:p>
        </w:tc>
        <w:tc>
          <w:tcPr>
            <w:tcW w:w="2268" w:type="dxa"/>
            <w:shd w:val="clear" w:color="auto" w:fill="auto"/>
            <w:vAlign w:val="center"/>
            <w:hideMark/>
          </w:tcPr>
          <w:p w14:paraId="5DFAFA33"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₡1 364 000,00</w:t>
            </w:r>
          </w:p>
        </w:tc>
        <w:tc>
          <w:tcPr>
            <w:tcW w:w="1985" w:type="dxa"/>
            <w:shd w:val="clear" w:color="auto" w:fill="auto"/>
            <w:vAlign w:val="center"/>
            <w:hideMark/>
          </w:tcPr>
          <w:p w14:paraId="005D6CD8" w14:textId="11F0182C"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2,15%</w:t>
            </w:r>
          </w:p>
        </w:tc>
        <w:tc>
          <w:tcPr>
            <w:tcW w:w="2126" w:type="dxa"/>
            <w:shd w:val="clear" w:color="auto" w:fill="auto"/>
            <w:vAlign w:val="center"/>
            <w:hideMark/>
          </w:tcPr>
          <w:p w14:paraId="1B2546AE"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₡143 600,00</w:t>
            </w:r>
          </w:p>
        </w:tc>
      </w:tr>
      <w:tr w:rsidR="001B71F4" w:rsidRPr="00977BAC" w14:paraId="706EA285" w14:textId="77777777" w:rsidTr="001D01A5">
        <w:trPr>
          <w:trHeight w:val="204"/>
        </w:trPr>
        <w:tc>
          <w:tcPr>
            <w:tcW w:w="1418" w:type="dxa"/>
            <w:shd w:val="clear" w:color="auto" w:fill="auto"/>
            <w:vAlign w:val="center"/>
            <w:hideMark/>
          </w:tcPr>
          <w:p w14:paraId="5D26CB83"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345A44D8"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₡6 820 000,00</w:t>
            </w:r>
          </w:p>
        </w:tc>
        <w:tc>
          <w:tcPr>
            <w:tcW w:w="2268" w:type="dxa"/>
            <w:shd w:val="clear" w:color="auto" w:fill="auto"/>
            <w:vAlign w:val="center"/>
            <w:hideMark/>
          </w:tcPr>
          <w:p w14:paraId="060FEDA9"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₡4 092 000,00</w:t>
            </w:r>
          </w:p>
        </w:tc>
        <w:tc>
          <w:tcPr>
            <w:tcW w:w="1985" w:type="dxa"/>
            <w:shd w:val="clear" w:color="auto" w:fill="auto"/>
            <w:vAlign w:val="center"/>
            <w:hideMark/>
          </w:tcPr>
          <w:p w14:paraId="2C1D220B" w14:textId="0C1647B5"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1,61%</w:t>
            </w:r>
          </w:p>
        </w:tc>
        <w:tc>
          <w:tcPr>
            <w:tcW w:w="2126" w:type="dxa"/>
            <w:shd w:val="clear" w:color="auto" w:fill="auto"/>
            <w:vAlign w:val="center"/>
            <w:hideMark/>
          </w:tcPr>
          <w:p w14:paraId="74AFDBEE"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₡210 800,00</w:t>
            </w:r>
          </w:p>
        </w:tc>
      </w:tr>
      <w:tr w:rsidR="001B71F4" w:rsidRPr="00977BAC" w14:paraId="31448762" w14:textId="77777777" w:rsidTr="001D01A5">
        <w:trPr>
          <w:trHeight w:val="204"/>
        </w:trPr>
        <w:tc>
          <w:tcPr>
            <w:tcW w:w="1418" w:type="dxa"/>
            <w:shd w:val="clear" w:color="auto" w:fill="auto"/>
            <w:vAlign w:val="center"/>
            <w:hideMark/>
          </w:tcPr>
          <w:p w14:paraId="5F5DB9FB"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29B4C127"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₡13 640 000,00</w:t>
            </w:r>
          </w:p>
        </w:tc>
        <w:tc>
          <w:tcPr>
            <w:tcW w:w="2268" w:type="dxa"/>
            <w:shd w:val="clear" w:color="auto" w:fill="auto"/>
            <w:vAlign w:val="center"/>
            <w:hideMark/>
          </w:tcPr>
          <w:p w14:paraId="1662CF62"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₡6 820 000,00</w:t>
            </w:r>
          </w:p>
        </w:tc>
        <w:tc>
          <w:tcPr>
            <w:tcW w:w="1985" w:type="dxa"/>
            <w:shd w:val="clear" w:color="auto" w:fill="auto"/>
            <w:vAlign w:val="center"/>
            <w:hideMark/>
          </w:tcPr>
          <w:p w14:paraId="67BAB0C0" w14:textId="4D2C538F"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1,08%</w:t>
            </w:r>
          </w:p>
        </w:tc>
        <w:tc>
          <w:tcPr>
            <w:tcW w:w="2126" w:type="dxa"/>
            <w:shd w:val="clear" w:color="auto" w:fill="auto"/>
            <w:vAlign w:val="center"/>
            <w:hideMark/>
          </w:tcPr>
          <w:p w14:paraId="001BA0E7"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₡285 600,00</w:t>
            </w:r>
          </w:p>
        </w:tc>
      </w:tr>
      <w:tr w:rsidR="001B71F4" w:rsidRPr="00977BAC" w14:paraId="1E5A696E" w14:textId="77777777" w:rsidTr="001D01A5">
        <w:trPr>
          <w:trHeight w:val="204"/>
        </w:trPr>
        <w:tc>
          <w:tcPr>
            <w:tcW w:w="1418" w:type="dxa"/>
            <w:shd w:val="clear" w:color="auto" w:fill="auto"/>
            <w:vAlign w:val="center"/>
            <w:hideMark/>
          </w:tcPr>
          <w:p w14:paraId="2D0A9232"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0997489B"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2268" w:type="dxa"/>
            <w:shd w:val="clear" w:color="auto" w:fill="auto"/>
            <w:vAlign w:val="center"/>
            <w:hideMark/>
          </w:tcPr>
          <w:p w14:paraId="0BC91DE1"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₡20 460 000,00</w:t>
            </w:r>
          </w:p>
        </w:tc>
        <w:tc>
          <w:tcPr>
            <w:tcW w:w="1985" w:type="dxa"/>
            <w:shd w:val="clear" w:color="auto" w:fill="auto"/>
            <w:vAlign w:val="center"/>
            <w:hideMark/>
          </w:tcPr>
          <w:p w14:paraId="3D8C03BA" w14:textId="4BDB25F1"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0,55%</w:t>
            </w:r>
          </w:p>
        </w:tc>
        <w:tc>
          <w:tcPr>
            <w:tcW w:w="2126" w:type="dxa"/>
            <w:shd w:val="clear" w:color="auto" w:fill="auto"/>
            <w:vAlign w:val="center"/>
            <w:hideMark/>
          </w:tcPr>
          <w:p w14:paraId="3F77B8E2"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₡399 300,00</w:t>
            </w:r>
          </w:p>
        </w:tc>
      </w:tr>
      <w:tr w:rsidR="001B71F4" w:rsidRPr="00977BAC" w14:paraId="44DE5F21" w14:textId="77777777" w:rsidTr="001D01A5">
        <w:trPr>
          <w:trHeight w:val="204"/>
        </w:trPr>
        <w:tc>
          <w:tcPr>
            <w:tcW w:w="1418" w:type="dxa"/>
            <w:shd w:val="clear" w:color="auto" w:fill="auto"/>
            <w:vAlign w:val="center"/>
            <w:hideMark/>
          </w:tcPr>
          <w:p w14:paraId="0D8B5B7C"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36415234"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₡68 200 000,00</w:t>
            </w:r>
          </w:p>
        </w:tc>
        <w:tc>
          <w:tcPr>
            <w:tcW w:w="2268" w:type="dxa"/>
            <w:shd w:val="clear" w:color="auto" w:fill="auto"/>
            <w:vAlign w:val="center"/>
            <w:hideMark/>
          </w:tcPr>
          <w:p w14:paraId="02FB6A8A"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1985" w:type="dxa"/>
            <w:shd w:val="clear" w:color="auto" w:fill="auto"/>
            <w:vAlign w:val="center"/>
            <w:hideMark/>
          </w:tcPr>
          <w:p w14:paraId="0232D4DA" w14:textId="356670B3"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0,43%</w:t>
            </w:r>
          </w:p>
        </w:tc>
        <w:tc>
          <w:tcPr>
            <w:tcW w:w="2126" w:type="dxa"/>
            <w:shd w:val="clear" w:color="auto" w:fill="auto"/>
            <w:vAlign w:val="center"/>
            <w:hideMark/>
          </w:tcPr>
          <w:p w14:paraId="731C62D2"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₡547 300,00</w:t>
            </w:r>
          </w:p>
        </w:tc>
      </w:tr>
      <w:tr w:rsidR="001B71F4" w:rsidRPr="00977BAC" w14:paraId="509170C9" w14:textId="77777777" w:rsidTr="001D01A5">
        <w:trPr>
          <w:trHeight w:val="204"/>
        </w:trPr>
        <w:tc>
          <w:tcPr>
            <w:tcW w:w="1418" w:type="dxa"/>
            <w:shd w:val="clear" w:color="auto" w:fill="auto"/>
            <w:vAlign w:val="center"/>
            <w:hideMark/>
          </w:tcPr>
          <w:p w14:paraId="21F45E0A"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36C8726F"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₡102 300 000,00</w:t>
            </w:r>
          </w:p>
        </w:tc>
        <w:tc>
          <w:tcPr>
            <w:tcW w:w="2268" w:type="dxa"/>
            <w:shd w:val="clear" w:color="auto" w:fill="auto"/>
            <w:vAlign w:val="center"/>
            <w:hideMark/>
          </w:tcPr>
          <w:p w14:paraId="42DAED22"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1985" w:type="dxa"/>
            <w:shd w:val="clear" w:color="auto" w:fill="auto"/>
            <w:vAlign w:val="center"/>
            <w:hideMark/>
          </w:tcPr>
          <w:p w14:paraId="63C7FEE7" w14:textId="77D93DDD"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0,33%</w:t>
            </w:r>
          </w:p>
        </w:tc>
        <w:tc>
          <w:tcPr>
            <w:tcW w:w="2126" w:type="dxa"/>
            <w:shd w:val="clear" w:color="auto" w:fill="auto"/>
            <w:vAlign w:val="center"/>
            <w:hideMark/>
          </w:tcPr>
          <w:p w14:paraId="0A8ABDB0"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₡660 900,00</w:t>
            </w:r>
          </w:p>
        </w:tc>
      </w:tr>
      <w:tr w:rsidR="001B71F4" w:rsidRPr="00977BAC" w14:paraId="32146FB9" w14:textId="77777777" w:rsidTr="001D01A5">
        <w:trPr>
          <w:trHeight w:val="204"/>
        </w:trPr>
        <w:tc>
          <w:tcPr>
            <w:tcW w:w="1418" w:type="dxa"/>
            <w:shd w:val="clear" w:color="auto" w:fill="auto"/>
            <w:vAlign w:val="center"/>
            <w:hideMark/>
          </w:tcPr>
          <w:p w14:paraId="76A0B691" w14:textId="77777777" w:rsidR="001B71F4" w:rsidRPr="008404B8" w:rsidRDefault="001B71F4" w:rsidP="001B71F4">
            <w:pPr>
              <w:widowControl/>
              <w:suppressAutoHyphens w:val="0"/>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shd w:val="clear" w:color="auto" w:fill="auto"/>
            <w:vAlign w:val="center"/>
            <w:hideMark/>
          </w:tcPr>
          <w:p w14:paraId="0E88D9EE"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₡136 400 000,00</w:t>
            </w:r>
          </w:p>
        </w:tc>
        <w:tc>
          <w:tcPr>
            <w:tcW w:w="2268" w:type="dxa"/>
            <w:shd w:val="clear" w:color="auto" w:fill="auto"/>
            <w:vAlign w:val="center"/>
            <w:hideMark/>
          </w:tcPr>
          <w:p w14:paraId="331D3FAD"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1985" w:type="dxa"/>
            <w:shd w:val="clear" w:color="auto" w:fill="auto"/>
            <w:vAlign w:val="center"/>
            <w:hideMark/>
          </w:tcPr>
          <w:p w14:paraId="04209CE1" w14:textId="512DC0BF" w:rsidR="001B71F4" w:rsidRPr="008B7195"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0,21%</w:t>
            </w:r>
          </w:p>
        </w:tc>
        <w:tc>
          <w:tcPr>
            <w:tcW w:w="2126" w:type="dxa"/>
            <w:shd w:val="clear" w:color="auto" w:fill="auto"/>
            <w:vAlign w:val="center"/>
            <w:hideMark/>
          </w:tcPr>
          <w:p w14:paraId="722F0CB9" w14:textId="77777777" w:rsidR="001B71F4" w:rsidRPr="008404B8" w:rsidRDefault="001B71F4" w:rsidP="001B71F4">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₡735 500,00</w:t>
            </w:r>
          </w:p>
        </w:tc>
      </w:tr>
      <w:tr w:rsidR="00B62723" w:rsidRPr="00977BAC" w14:paraId="49783F22" w14:textId="77777777" w:rsidTr="001D01A5">
        <w:trPr>
          <w:trHeight w:val="408"/>
        </w:trPr>
        <w:tc>
          <w:tcPr>
            <w:tcW w:w="1418" w:type="dxa"/>
            <w:shd w:val="clear" w:color="auto" w:fill="auto"/>
            <w:vAlign w:val="center"/>
            <w:hideMark/>
          </w:tcPr>
          <w:p w14:paraId="550EE06D" w14:textId="77777777" w:rsidR="00B62723" w:rsidRPr="008404B8" w:rsidRDefault="00B62723" w:rsidP="00B62723">
            <w:pPr>
              <w:widowControl/>
              <w:suppressAutoHyphens w:val="0"/>
              <w:rPr>
                <w:rFonts w:ascii="Arial" w:eastAsia="Times New Roman" w:hAnsi="Arial" w:cs="Arial"/>
                <w:kern w:val="0"/>
                <w:sz w:val="20"/>
                <w:szCs w:val="20"/>
                <w:lang w:val="es-CR" w:eastAsia="es-CR" w:bidi="ar-SA"/>
              </w:rPr>
            </w:pPr>
            <w:r w:rsidRPr="008404B8">
              <w:rPr>
                <w:rFonts w:ascii="Arial" w:eastAsia="Times New Roman" w:hAnsi="Arial" w:cs="Arial"/>
                <w:kern w:val="0"/>
                <w:sz w:val="20"/>
                <w:szCs w:val="20"/>
                <w:lang w:val="es-CR" w:eastAsia="es-CR" w:bidi="ar-SA"/>
              </w:rPr>
              <w:t>Adicionales, por cada</w:t>
            </w:r>
          </w:p>
        </w:tc>
        <w:tc>
          <w:tcPr>
            <w:tcW w:w="1984" w:type="dxa"/>
            <w:shd w:val="clear" w:color="auto" w:fill="auto"/>
            <w:vAlign w:val="center"/>
            <w:hideMark/>
          </w:tcPr>
          <w:p w14:paraId="36C495BB" w14:textId="77777777" w:rsidR="00B62723" w:rsidRPr="008404B8" w:rsidRDefault="00B62723" w:rsidP="00B62723">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₡5 000 000,00</w:t>
            </w:r>
          </w:p>
        </w:tc>
        <w:tc>
          <w:tcPr>
            <w:tcW w:w="2268" w:type="dxa"/>
            <w:shd w:val="clear" w:color="auto" w:fill="auto"/>
            <w:vAlign w:val="center"/>
            <w:hideMark/>
          </w:tcPr>
          <w:p w14:paraId="2EB1027F" w14:textId="77777777" w:rsidR="00B62723" w:rsidRPr="008404B8" w:rsidRDefault="00B62723" w:rsidP="00B62723">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 </w:t>
            </w:r>
          </w:p>
        </w:tc>
        <w:tc>
          <w:tcPr>
            <w:tcW w:w="1985" w:type="dxa"/>
            <w:shd w:val="clear" w:color="auto" w:fill="auto"/>
            <w:vAlign w:val="center"/>
            <w:hideMark/>
          </w:tcPr>
          <w:p w14:paraId="57B99AA0" w14:textId="71EB0BEB" w:rsidR="00B62723" w:rsidRPr="008B7195" w:rsidRDefault="008B7195" w:rsidP="00B62723">
            <w:pPr>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0,15%</w:t>
            </w:r>
          </w:p>
        </w:tc>
        <w:tc>
          <w:tcPr>
            <w:tcW w:w="2126" w:type="dxa"/>
            <w:shd w:val="clear" w:color="auto" w:fill="auto"/>
            <w:vAlign w:val="center"/>
            <w:hideMark/>
          </w:tcPr>
          <w:p w14:paraId="066DD9D3" w14:textId="77777777" w:rsidR="00B62723" w:rsidRPr="008404B8" w:rsidRDefault="00B62723" w:rsidP="00B62723">
            <w:pPr>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₡7 200,00</w:t>
            </w:r>
          </w:p>
        </w:tc>
      </w:tr>
      <w:tr w:rsidR="00977BAC" w:rsidRPr="00977BAC" w14:paraId="0C258D31" w14:textId="77777777" w:rsidTr="00C91830">
        <w:trPr>
          <w:trHeight w:val="2631"/>
        </w:trPr>
        <w:tc>
          <w:tcPr>
            <w:tcW w:w="9781" w:type="dxa"/>
            <w:gridSpan w:val="5"/>
            <w:shd w:val="clear" w:color="auto" w:fill="auto"/>
            <w:vAlign w:val="center"/>
            <w:hideMark/>
          </w:tcPr>
          <w:p w14:paraId="6863E378" w14:textId="7C381644" w:rsidR="005D6189" w:rsidRDefault="005D6189" w:rsidP="00977BAC">
            <w:pPr>
              <w:widowControl/>
              <w:suppressAutoHyphens w:val="0"/>
              <w:jc w:val="both"/>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Nota</w:t>
            </w:r>
            <w:r>
              <w:rPr>
                <w:rFonts w:ascii="Arial" w:eastAsia="Times New Roman" w:hAnsi="Arial" w:cs="Arial"/>
                <w:b/>
                <w:bCs/>
                <w:color w:val="000000"/>
                <w:kern w:val="0"/>
                <w:sz w:val="20"/>
                <w:szCs w:val="20"/>
                <w:lang w:val="es-CR" w:eastAsia="es-CR" w:bidi="ar-SA"/>
              </w:rPr>
              <w:t>s</w:t>
            </w:r>
            <w:r w:rsidRPr="008404B8">
              <w:rPr>
                <w:rFonts w:ascii="Arial" w:eastAsia="Times New Roman" w:hAnsi="Arial" w:cs="Arial"/>
                <w:b/>
                <w:bCs/>
                <w:color w:val="000000"/>
                <w:kern w:val="0"/>
                <w:sz w:val="20"/>
                <w:szCs w:val="20"/>
                <w:lang w:val="es-CR" w:eastAsia="es-CR" w:bidi="ar-SA"/>
              </w:rPr>
              <w:t>:</w:t>
            </w:r>
          </w:p>
          <w:p w14:paraId="750FDA56" w14:textId="77777777" w:rsidR="005D6189" w:rsidRDefault="005D6189" w:rsidP="00977BAC">
            <w:pPr>
              <w:widowControl/>
              <w:suppressAutoHyphens w:val="0"/>
              <w:jc w:val="both"/>
              <w:rPr>
                <w:rFonts w:ascii="Arial" w:eastAsia="Times New Roman" w:hAnsi="Arial" w:cs="Arial"/>
                <w:b/>
                <w:bCs/>
                <w:color w:val="000000"/>
                <w:kern w:val="0"/>
                <w:sz w:val="20"/>
                <w:szCs w:val="20"/>
                <w:lang w:val="es-CR" w:eastAsia="es-CR" w:bidi="ar-SA"/>
              </w:rPr>
            </w:pPr>
          </w:p>
          <w:p w14:paraId="76A16975" w14:textId="2876EA86" w:rsidR="007769DB" w:rsidRPr="008404B8" w:rsidRDefault="005D6189" w:rsidP="00977BAC">
            <w:pPr>
              <w:widowControl/>
              <w:suppressAutoHyphens w:val="0"/>
              <w:jc w:val="both"/>
              <w:rPr>
                <w:rFonts w:ascii="Arial" w:eastAsia="Times New Roman" w:hAnsi="Arial" w:cs="Arial"/>
                <w:color w:val="000000"/>
                <w:kern w:val="0"/>
                <w:sz w:val="20"/>
                <w:szCs w:val="20"/>
                <w:lang w:val="es-CR" w:eastAsia="es-CR" w:bidi="ar-SA"/>
              </w:rPr>
            </w:pPr>
            <w:r>
              <w:rPr>
                <w:rFonts w:ascii="Arial" w:eastAsia="Times New Roman" w:hAnsi="Arial" w:cs="Arial"/>
                <w:b/>
                <w:bCs/>
                <w:color w:val="000000"/>
                <w:kern w:val="0"/>
                <w:sz w:val="20"/>
                <w:szCs w:val="20"/>
                <w:lang w:val="es-CR" w:eastAsia="es-CR" w:bidi="ar-SA"/>
              </w:rPr>
              <w:t>1</w:t>
            </w:r>
            <w:r w:rsidR="00977BAC" w:rsidRPr="008404B8">
              <w:rPr>
                <w:rFonts w:ascii="Arial" w:eastAsia="Times New Roman" w:hAnsi="Arial" w:cs="Arial"/>
                <w:b/>
                <w:bCs/>
                <w:color w:val="000000"/>
                <w:kern w:val="0"/>
                <w:sz w:val="20"/>
                <w:szCs w:val="20"/>
                <w:lang w:val="es-CR" w:eastAsia="es-CR" w:bidi="ar-SA"/>
              </w:rPr>
              <w:t>.</w:t>
            </w:r>
            <w:r w:rsidR="00977BAC" w:rsidRPr="008404B8">
              <w:rPr>
                <w:rFonts w:ascii="Arial" w:eastAsia="Times New Roman" w:hAnsi="Arial" w:cs="Arial"/>
                <w:color w:val="000000"/>
                <w:kern w:val="0"/>
                <w:sz w:val="20"/>
                <w:szCs w:val="20"/>
                <w:lang w:val="es-CR" w:eastAsia="es-CR" w:bidi="ar-SA"/>
              </w:rPr>
              <w:t xml:space="preserve"> Los honorarios establecidos para los Actuarios Matemáticos, cuando corresponda al Poder Judicial asumir el pago en las materias reguladas por el “Principio de Gratuidad”, donde corresponde a las Administraciones Regionales, Administración del Ministerio Público o Administración de la Defensa Pública realizar la autorización de gastos, se fijarán en apego a lo señalado en la “Tarifa de Honorarios para Actuarios Matemáticos, Traductores en idiomas e Intérpretes de lenguaje de señas Costarricenses” en el </w:t>
            </w:r>
            <w:r w:rsidR="00977BAC" w:rsidRPr="008404B8">
              <w:rPr>
                <w:rFonts w:ascii="Arial" w:eastAsia="Times New Roman" w:hAnsi="Arial" w:cs="Arial"/>
                <w:b/>
                <w:bCs/>
                <w:color w:val="000000"/>
                <w:kern w:val="0"/>
                <w:sz w:val="20"/>
                <w:szCs w:val="20"/>
                <w:lang w:val="es-CR" w:eastAsia="es-CR" w:bidi="ar-SA"/>
              </w:rPr>
              <w:t>Cuadro No 7</w:t>
            </w:r>
            <w:r w:rsidR="00977BAC" w:rsidRPr="008404B8">
              <w:rPr>
                <w:rFonts w:ascii="Arial" w:eastAsia="Times New Roman" w:hAnsi="Arial" w:cs="Arial"/>
                <w:color w:val="000000"/>
                <w:kern w:val="0"/>
                <w:sz w:val="20"/>
                <w:szCs w:val="20"/>
                <w:lang w:val="es-CR" w:eastAsia="es-CR" w:bidi="ar-SA"/>
              </w:rPr>
              <w:t>.</w:t>
            </w:r>
          </w:p>
          <w:p w14:paraId="7EC2A449" w14:textId="54D9CB87" w:rsidR="00977BAC" w:rsidRPr="008404B8"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 xml:space="preserve">   </w:t>
            </w:r>
            <w:r w:rsidRPr="008404B8">
              <w:rPr>
                <w:rFonts w:ascii="Arial" w:eastAsia="Times New Roman" w:hAnsi="Arial" w:cs="Arial"/>
                <w:color w:val="000000"/>
                <w:kern w:val="0"/>
                <w:sz w:val="20"/>
                <w:szCs w:val="20"/>
                <w:lang w:val="es-CR" w:eastAsia="es-CR" w:bidi="ar-SA"/>
              </w:rPr>
              <w:br/>
            </w:r>
            <w:r w:rsidR="005D6189">
              <w:rPr>
                <w:rFonts w:ascii="Arial" w:eastAsia="Times New Roman" w:hAnsi="Arial" w:cs="Arial"/>
                <w:b/>
                <w:bCs/>
                <w:color w:val="000000"/>
                <w:kern w:val="0"/>
                <w:sz w:val="20"/>
                <w:szCs w:val="20"/>
                <w:lang w:val="es-CR" w:eastAsia="es-CR" w:bidi="ar-SA"/>
              </w:rPr>
              <w:t>2</w:t>
            </w:r>
            <w:r w:rsidRPr="008404B8">
              <w:rPr>
                <w:rFonts w:ascii="Arial" w:eastAsia="Times New Roman" w:hAnsi="Arial" w:cs="Arial"/>
                <w:b/>
                <w:bCs/>
                <w:color w:val="000000"/>
                <w:kern w:val="0"/>
                <w:sz w:val="20"/>
                <w:szCs w:val="20"/>
                <w:lang w:val="es-CR" w:eastAsia="es-CR" w:bidi="ar-SA"/>
              </w:rPr>
              <w:t>.</w:t>
            </w:r>
            <w:r w:rsidRPr="008404B8">
              <w:rPr>
                <w:rFonts w:ascii="Arial" w:eastAsia="Times New Roman" w:hAnsi="Arial" w:cs="Arial"/>
                <w:color w:val="000000"/>
                <w:kern w:val="0"/>
                <w:sz w:val="20"/>
                <w:szCs w:val="20"/>
                <w:lang w:val="es-CR" w:eastAsia="es-CR" w:bidi="ar-SA"/>
              </w:rPr>
              <w:t xml:space="preserve"> En los casos que no aplica este principio y la parte del proceso judicial deba cubrir el pago de los honorarios, la Autoridad Judicial debe utilizar el cálculo de los honorarios según lo señalado en el </w:t>
            </w:r>
            <w:r w:rsidRPr="008404B8">
              <w:rPr>
                <w:rFonts w:ascii="Arial" w:eastAsia="Times New Roman" w:hAnsi="Arial" w:cs="Arial"/>
                <w:b/>
                <w:bCs/>
                <w:color w:val="000000"/>
                <w:kern w:val="0"/>
                <w:sz w:val="20"/>
                <w:szCs w:val="20"/>
                <w:lang w:val="es-CR" w:eastAsia="es-CR" w:bidi="ar-SA"/>
              </w:rPr>
              <w:t>Cuadro No 1</w:t>
            </w:r>
            <w:r w:rsidRPr="008404B8">
              <w:rPr>
                <w:rFonts w:ascii="Arial" w:eastAsia="Times New Roman" w:hAnsi="Arial" w:cs="Arial"/>
                <w:color w:val="000000"/>
                <w:kern w:val="0"/>
                <w:sz w:val="20"/>
                <w:szCs w:val="20"/>
                <w:lang w:val="es-CR" w:eastAsia="es-CR" w:bidi="ar-SA"/>
              </w:rPr>
              <w:t>. (referencia circular de la Dirección Ejecutiva No. 147-2019 del 16-12-219). Además, debe aplicarse lo dispuesto en la circular   N 86-2019 del 28 de junio del 2019, emitida por esta Dirección Ejecutiva, donde se establece que cuando el pago de los honorarios corresponda a las partes dentro del proceso, la Autoridad Judicial deberá indicar en la resolución el monto que corresponde depositar contemplando los honorarios más el 13% del IVA. Además, debe solicitar a la parte señalar una dirección de correo electrónico, al cual el profesional que brinde el servicio debe remitir la factura electrónica.</w:t>
            </w:r>
          </w:p>
        </w:tc>
      </w:tr>
    </w:tbl>
    <w:p w14:paraId="28298979" w14:textId="6F1CAE5B" w:rsidR="00062D00" w:rsidRDefault="00062D00" w:rsidP="007A6634">
      <w:pPr>
        <w:ind w:left="-142" w:right="-801"/>
        <w:jc w:val="both"/>
        <w:rPr>
          <w:rFonts w:ascii="Arial" w:hAnsi="Arial" w:cs="Arial"/>
          <w:lang w:val="es-CR"/>
        </w:rPr>
      </w:pPr>
    </w:p>
    <w:p w14:paraId="5945E8CB" w14:textId="5276474E" w:rsidR="005D5814" w:rsidRPr="008404B8" w:rsidRDefault="00062D00" w:rsidP="008404B8">
      <w:pPr>
        <w:widowControl/>
        <w:suppressAutoHyphens w:val="0"/>
        <w:rPr>
          <w:rFonts w:ascii="Arial" w:hAnsi="Arial" w:cs="Arial"/>
          <w:lang w:val="es-CR"/>
        </w:rPr>
      </w:pPr>
      <w:r>
        <w:rPr>
          <w:rFonts w:ascii="Arial" w:hAnsi="Arial" w:cs="Arial"/>
          <w:lang w:val="es-CR"/>
        </w:rPr>
        <w:br w:type="page"/>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3832"/>
      </w:tblGrid>
      <w:tr w:rsidR="00977BAC" w:rsidRPr="00977BAC" w14:paraId="21DB6E21" w14:textId="77777777" w:rsidTr="00A975CD">
        <w:trPr>
          <w:trHeight w:val="204"/>
          <w:jc w:val="center"/>
        </w:trPr>
        <w:tc>
          <w:tcPr>
            <w:tcW w:w="8080" w:type="dxa"/>
            <w:gridSpan w:val="2"/>
            <w:tcBorders>
              <w:top w:val="nil"/>
              <w:left w:val="nil"/>
              <w:bottom w:val="nil"/>
              <w:right w:val="nil"/>
            </w:tcBorders>
            <w:shd w:val="clear" w:color="auto" w:fill="auto"/>
            <w:noWrap/>
            <w:vAlign w:val="center"/>
            <w:hideMark/>
          </w:tcPr>
          <w:p w14:paraId="0E0D61B5" w14:textId="77777777"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2</w:t>
            </w:r>
          </w:p>
          <w:p w14:paraId="2F8F2717" w14:textId="1D13721C" w:rsidR="008404B8" w:rsidRPr="00062D00"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3B2B005D" w14:textId="77777777" w:rsidTr="00A975CD">
        <w:trPr>
          <w:trHeight w:val="204"/>
          <w:jc w:val="center"/>
        </w:trPr>
        <w:tc>
          <w:tcPr>
            <w:tcW w:w="8080" w:type="dxa"/>
            <w:gridSpan w:val="2"/>
            <w:tcBorders>
              <w:top w:val="nil"/>
              <w:left w:val="nil"/>
              <w:bottom w:val="nil"/>
              <w:right w:val="nil"/>
            </w:tcBorders>
            <w:shd w:val="clear" w:color="auto" w:fill="auto"/>
            <w:noWrap/>
            <w:vAlign w:val="center"/>
            <w:hideMark/>
          </w:tcPr>
          <w:p w14:paraId="7A1CBA7B" w14:textId="4BC141DC"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 xml:space="preserve">Tarifas de Honorarios para Ejecutores </w:t>
            </w:r>
          </w:p>
        </w:tc>
      </w:tr>
      <w:tr w:rsidR="00977BAC" w:rsidRPr="00977BAC" w14:paraId="1EAFF0DF" w14:textId="77777777" w:rsidTr="00A975CD">
        <w:trPr>
          <w:trHeight w:val="204"/>
          <w:jc w:val="center"/>
        </w:trPr>
        <w:tc>
          <w:tcPr>
            <w:tcW w:w="8080" w:type="dxa"/>
            <w:gridSpan w:val="2"/>
            <w:tcBorders>
              <w:top w:val="nil"/>
              <w:left w:val="nil"/>
              <w:bottom w:val="nil"/>
              <w:right w:val="nil"/>
            </w:tcBorders>
            <w:shd w:val="clear" w:color="auto" w:fill="auto"/>
            <w:noWrap/>
            <w:vAlign w:val="center"/>
            <w:hideMark/>
          </w:tcPr>
          <w:p w14:paraId="7BB9B70A" w14:textId="3C4CFE35"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E073D0">
              <w:rPr>
                <w:rFonts w:ascii="Arial" w:eastAsia="Times New Roman" w:hAnsi="Arial" w:cs="Arial"/>
                <w:b/>
                <w:bCs/>
                <w:color w:val="000000"/>
                <w:kern w:val="0"/>
                <w:sz w:val="20"/>
                <w:szCs w:val="20"/>
                <w:lang w:val="es-CR" w:eastAsia="es-CR" w:bidi="ar-SA"/>
              </w:rPr>
              <w:t>5</w:t>
            </w:r>
          </w:p>
        </w:tc>
      </w:tr>
      <w:tr w:rsidR="00A975CD" w:rsidRPr="00977BAC" w14:paraId="4611414E" w14:textId="77777777" w:rsidTr="00A975CD">
        <w:trPr>
          <w:trHeight w:val="204"/>
          <w:jc w:val="center"/>
        </w:trPr>
        <w:tc>
          <w:tcPr>
            <w:tcW w:w="4248" w:type="dxa"/>
            <w:tcBorders>
              <w:top w:val="nil"/>
              <w:left w:val="nil"/>
              <w:bottom w:val="single" w:sz="4" w:space="0" w:color="auto"/>
              <w:right w:val="nil"/>
            </w:tcBorders>
            <w:shd w:val="clear" w:color="auto" w:fill="auto"/>
            <w:noWrap/>
            <w:vAlign w:val="center"/>
            <w:hideMark/>
          </w:tcPr>
          <w:p w14:paraId="5EB866C3" w14:textId="77777777" w:rsidR="00A975CD" w:rsidRPr="00977BAC" w:rsidRDefault="00A975CD"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832" w:type="dxa"/>
            <w:tcBorders>
              <w:top w:val="nil"/>
              <w:left w:val="nil"/>
              <w:bottom w:val="single" w:sz="4" w:space="0" w:color="auto"/>
              <w:right w:val="nil"/>
            </w:tcBorders>
            <w:shd w:val="clear" w:color="auto" w:fill="auto"/>
            <w:noWrap/>
            <w:vAlign w:val="center"/>
            <w:hideMark/>
          </w:tcPr>
          <w:p w14:paraId="634B392E" w14:textId="77777777" w:rsidR="00A975CD" w:rsidRPr="00977BAC" w:rsidRDefault="00A975CD" w:rsidP="00977BAC">
            <w:pPr>
              <w:widowControl/>
              <w:suppressAutoHyphens w:val="0"/>
              <w:jc w:val="center"/>
              <w:rPr>
                <w:rFonts w:ascii="Arial" w:eastAsia="Times New Roman" w:hAnsi="Arial" w:cs="Arial"/>
                <w:kern w:val="0"/>
                <w:sz w:val="18"/>
                <w:szCs w:val="18"/>
                <w:lang w:val="es-CR" w:eastAsia="es-CR" w:bidi="ar-SA"/>
              </w:rPr>
            </w:pPr>
          </w:p>
        </w:tc>
      </w:tr>
      <w:tr w:rsidR="00A975CD" w:rsidRPr="00977BAC" w14:paraId="5104A9BE" w14:textId="77777777" w:rsidTr="00A975CD">
        <w:trPr>
          <w:trHeight w:val="408"/>
          <w:jc w:val="center"/>
        </w:trPr>
        <w:tc>
          <w:tcPr>
            <w:tcW w:w="4248" w:type="dxa"/>
            <w:vMerge w:val="restart"/>
            <w:tcBorders>
              <w:top w:val="single" w:sz="4" w:space="0" w:color="auto"/>
            </w:tcBorders>
            <w:shd w:val="clear" w:color="000000" w:fill="D9D9D9"/>
            <w:vAlign w:val="center"/>
            <w:hideMark/>
          </w:tcPr>
          <w:p w14:paraId="1F03186B" w14:textId="77777777" w:rsidR="00A975CD" w:rsidRPr="00DF6FC5" w:rsidRDefault="00A975CD" w:rsidP="00977BAC">
            <w:pPr>
              <w:widowControl/>
              <w:suppressAutoHyphens w:val="0"/>
              <w:jc w:val="center"/>
              <w:rPr>
                <w:rFonts w:ascii="Arial" w:eastAsia="Times New Roman" w:hAnsi="Arial" w:cs="Arial"/>
                <w:b/>
                <w:bCs/>
                <w:color w:val="000000"/>
                <w:kern w:val="0"/>
                <w:sz w:val="20"/>
                <w:szCs w:val="20"/>
                <w:lang w:val="es-CR" w:eastAsia="es-CR" w:bidi="ar-SA"/>
              </w:rPr>
            </w:pPr>
            <w:r w:rsidRPr="00DF6FC5">
              <w:rPr>
                <w:rFonts w:ascii="Arial" w:eastAsia="Times New Roman" w:hAnsi="Arial" w:cs="Arial"/>
                <w:b/>
                <w:bCs/>
                <w:color w:val="000000"/>
                <w:kern w:val="0"/>
                <w:sz w:val="20"/>
                <w:szCs w:val="20"/>
                <w:lang w:val="es-CR" w:eastAsia="es-CR" w:bidi="ar-SA"/>
              </w:rPr>
              <w:t>Detalle</w:t>
            </w:r>
          </w:p>
        </w:tc>
        <w:tc>
          <w:tcPr>
            <w:tcW w:w="3832" w:type="dxa"/>
            <w:vMerge w:val="restart"/>
            <w:tcBorders>
              <w:top w:val="single" w:sz="4" w:space="0" w:color="auto"/>
            </w:tcBorders>
            <w:shd w:val="clear" w:color="000000" w:fill="D9D9D9"/>
            <w:vAlign w:val="center"/>
            <w:hideMark/>
          </w:tcPr>
          <w:p w14:paraId="54CC747F" w14:textId="4F884D92" w:rsidR="00A975CD" w:rsidRPr="00DF6FC5" w:rsidRDefault="00A975CD" w:rsidP="00977BAC">
            <w:pPr>
              <w:widowControl/>
              <w:suppressAutoHyphens w:val="0"/>
              <w:jc w:val="center"/>
              <w:rPr>
                <w:rFonts w:ascii="Arial" w:eastAsia="Times New Roman" w:hAnsi="Arial" w:cs="Arial"/>
                <w:b/>
                <w:bCs/>
                <w:color w:val="000000"/>
                <w:kern w:val="0"/>
                <w:sz w:val="20"/>
                <w:szCs w:val="20"/>
                <w:lang w:val="es-CR" w:eastAsia="es-CR" w:bidi="ar-SA"/>
              </w:rPr>
            </w:pPr>
            <w:r w:rsidRPr="00DF6FC5">
              <w:rPr>
                <w:rFonts w:ascii="Arial" w:eastAsia="Times New Roman" w:hAnsi="Arial" w:cs="Arial"/>
                <w:b/>
                <w:bCs/>
                <w:color w:val="000000"/>
                <w:kern w:val="0"/>
                <w:sz w:val="20"/>
                <w:szCs w:val="20"/>
                <w:lang w:val="es-CR" w:eastAsia="es-CR" w:bidi="ar-SA"/>
              </w:rPr>
              <w:t xml:space="preserve">Honorarios </w:t>
            </w:r>
            <w:r w:rsidR="00F52B71">
              <w:rPr>
                <w:rFonts w:ascii="Arial" w:eastAsia="Times New Roman" w:hAnsi="Arial" w:cs="Arial"/>
                <w:b/>
                <w:bCs/>
                <w:color w:val="000000"/>
                <w:kern w:val="0"/>
                <w:sz w:val="20"/>
                <w:szCs w:val="20"/>
                <w:lang w:val="es-CR" w:eastAsia="es-CR" w:bidi="ar-SA"/>
              </w:rPr>
              <w:t>por aplicar para el 202</w:t>
            </w:r>
            <w:r w:rsidR="0063072E">
              <w:rPr>
                <w:rFonts w:ascii="Arial" w:eastAsia="Times New Roman" w:hAnsi="Arial" w:cs="Arial"/>
                <w:b/>
                <w:bCs/>
                <w:color w:val="000000"/>
                <w:kern w:val="0"/>
                <w:sz w:val="20"/>
                <w:szCs w:val="20"/>
                <w:lang w:val="es-CR" w:eastAsia="es-CR" w:bidi="ar-SA"/>
              </w:rPr>
              <w:t>5</w:t>
            </w:r>
          </w:p>
        </w:tc>
      </w:tr>
      <w:tr w:rsidR="00A975CD" w:rsidRPr="00977BAC" w14:paraId="2F75D3FE" w14:textId="77777777" w:rsidTr="00A975CD">
        <w:trPr>
          <w:trHeight w:val="408"/>
          <w:jc w:val="center"/>
        </w:trPr>
        <w:tc>
          <w:tcPr>
            <w:tcW w:w="4248" w:type="dxa"/>
            <w:vMerge/>
            <w:vAlign w:val="center"/>
            <w:hideMark/>
          </w:tcPr>
          <w:p w14:paraId="3AF0C919" w14:textId="77777777" w:rsidR="00A975CD" w:rsidRPr="00DF6FC5" w:rsidRDefault="00A975CD" w:rsidP="00977BAC">
            <w:pPr>
              <w:widowControl/>
              <w:suppressAutoHyphens w:val="0"/>
              <w:rPr>
                <w:rFonts w:ascii="Arial" w:eastAsia="Times New Roman" w:hAnsi="Arial" w:cs="Arial"/>
                <w:b/>
                <w:bCs/>
                <w:color w:val="000000"/>
                <w:kern w:val="0"/>
                <w:sz w:val="20"/>
                <w:szCs w:val="20"/>
                <w:lang w:val="es-CR" w:eastAsia="es-CR" w:bidi="ar-SA"/>
              </w:rPr>
            </w:pPr>
          </w:p>
        </w:tc>
        <w:tc>
          <w:tcPr>
            <w:tcW w:w="3832" w:type="dxa"/>
            <w:vMerge/>
            <w:vAlign w:val="center"/>
            <w:hideMark/>
          </w:tcPr>
          <w:p w14:paraId="425F8D36" w14:textId="77777777" w:rsidR="00A975CD" w:rsidRPr="00DF6FC5" w:rsidRDefault="00A975CD" w:rsidP="00977BAC">
            <w:pPr>
              <w:widowControl/>
              <w:suppressAutoHyphens w:val="0"/>
              <w:rPr>
                <w:rFonts w:ascii="Arial" w:eastAsia="Times New Roman" w:hAnsi="Arial" w:cs="Arial"/>
                <w:b/>
                <w:bCs/>
                <w:color w:val="000000"/>
                <w:kern w:val="0"/>
                <w:sz w:val="20"/>
                <w:szCs w:val="20"/>
                <w:lang w:val="es-CR" w:eastAsia="es-CR" w:bidi="ar-SA"/>
              </w:rPr>
            </w:pPr>
          </w:p>
        </w:tc>
      </w:tr>
      <w:tr w:rsidR="00A975CD" w:rsidRPr="00977BAC" w14:paraId="1B8C08EF" w14:textId="77777777" w:rsidTr="00A975CD">
        <w:trPr>
          <w:trHeight w:val="408"/>
          <w:jc w:val="center"/>
        </w:trPr>
        <w:tc>
          <w:tcPr>
            <w:tcW w:w="4248" w:type="dxa"/>
            <w:shd w:val="clear" w:color="auto" w:fill="auto"/>
            <w:vAlign w:val="center"/>
            <w:hideMark/>
          </w:tcPr>
          <w:p w14:paraId="56529515"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Embargos hasta ¢100.000.00 de capital, más el porcentaje de Ley.</w:t>
            </w:r>
          </w:p>
        </w:tc>
        <w:tc>
          <w:tcPr>
            <w:tcW w:w="3832" w:type="dxa"/>
            <w:shd w:val="clear" w:color="auto" w:fill="auto"/>
            <w:vAlign w:val="center"/>
            <w:hideMark/>
          </w:tcPr>
          <w:p w14:paraId="392E305A"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₡8 700,00</w:t>
            </w:r>
          </w:p>
        </w:tc>
      </w:tr>
      <w:tr w:rsidR="00A975CD" w:rsidRPr="00977BAC" w14:paraId="4E18BD08" w14:textId="77777777" w:rsidTr="00A975CD">
        <w:trPr>
          <w:trHeight w:val="612"/>
          <w:jc w:val="center"/>
        </w:trPr>
        <w:tc>
          <w:tcPr>
            <w:tcW w:w="4248" w:type="dxa"/>
            <w:shd w:val="clear" w:color="auto" w:fill="auto"/>
            <w:vAlign w:val="center"/>
            <w:hideMark/>
          </w:tcPr>
          <w:p w14:paraId="663F72E4"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Si el capital excede de ¢100.000.00 pero no supera en ¢500.000.00, más el porcentaje de Ley.</w:t>
            </w:r>
          </w:p>
        </w:tc>
        <w:tc>
          <w:tcPr>
            <w:tcW w:w="3832" w:type="dxa"/>
            <w:shd w:val="clear" w:color="auto" w:fill="auto"/>
            <w:vAlign w:val="center"/>
            <w:hideMark/>
          </w:tcPr>
          <w:p w14:paraId="2B278C44"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₡10 100,00</w:t>
            </w:r>
          </w:p>
        </w:tc>
      </w:tr>
      <w:tr w:rsidR="00A975CD" w:rsidRPr="00977BAC" w14:paraId="1D01381D" w14:textId="77777777" w:rsidTr="00A975CD">
        <w:trPr>
          <w:trHeight w:val="612"/>
          <w:jc w:val="center"/>
        </w:trPr>
        <w:tc>
          <w:tcPr>
            <w:tcW w:w="4248" w:type="dxa"/>
            <w:shd w:val="clear" w:color="auto" w:fill="auto"/>
            <w:vAlign w:val="center"/>
            <w:hideMark/>
          </w:tcPr>
          <w:p w14:paraId="2618C40F"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Los embargos cuyo capital excede de ¢500.000.00, pero que no supere el ¢1.000.000.00, más el porcentaje de Ley.</w:t>
            </w:r>
          </w:p>
        </w:tc>
        <w:tc>
          <w:tcPr>
            <w:tcW w:w="3832" w:type="dxa"/>
            <w:shd w:val="clear" w:color="auto" w:fill="auto"/>
            <w:vAlign w:val="center"/>
            <w:hideMark/>
          </w:tcPr>
          <w:p w14:paraId="1F26395C"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₡13 500,00</w:t>
            </w:r>
          </w:p>
        </w:tc>
      </w:tr>
      <w:tr w:rsidR="00A975CD" w:rsidRPr="00977BAC" w14:paraId="5A8DE99C" w14:textId="77777777" w:rsidTr="00A975CD">
        <w:trPr>
          <w:trHeight w:val="612"/>
          <w:jc w:val="center"/>
        </w:trPr>
        <w:tc>
          <w:tcPr>
            <w:tcW w:w="4248" w:type="dxa"/>
            <w:shd w:val="clear" w:color="auto" w:fill="auto"/>
            <w:vAlign w:val="center"/>
            <w:hideMark/>
          </w:tcPr>
          <w:p w14:paraId="52D265F5"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Si se supera el capital máximo antes indicado, pero no se pasa de ¢2.000.000.00, más el porcentaje de Ley.</w:t>
            </w:r>
          </w:p>
        </w:tc>
        <w:tc>
          <w:tcPr>
            <w:tcW w:w="3832" w:type="dxa"/>
            <w:shd w:val="clear" w:color="auto" w:fill="auto"/>
            <w:vAlign w:val="center"/>
            <w:hideMark/>
          </w:tcPr>
          <w:p w14:paraId="6C9E5566"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₡19 800,00</w:t>
            </w:r>
          </w:p>
        </w:tc>
      </w:tr>
      <w:tr w:rsidR="00A975CD" w:rsidRPr="00977BAC" w14:paraId="230376A8" w14:textId="77777777" w:rsidTr="00A975CD">
        <w:trPr>
          <w:trHeight w:val="612"/>
          <w:jc w:val="center"/>
        </w:trPr>
        <w:tc>
          <w:tcPr>
            <w:tcW w:w="4248" w:type="dxa"/>
            <w:shd w:val="clear" w:color="auto" w:fill="auto"/>
            <w:vAlign w:val="center"/>
            <w:hideMark/>
          </w:tcPr>
          <w:p w14:paraId="1147F53E"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En los embargos cuyo capital supere los ¢2.000.000.00, pero sin pasar de ¢3.000.000.00, más el porcentaje de Ley.</w:t>
            </w:r>
          </w:p>
        </w:tc>
        <w:tc>
          <w:tcPr>
            <w:tcW w:w="3832" w:type="dxa"/>
            <w:shd w:val="clear" w:color="auto" w:fill="auto"/>
            <w:vAlign w:val="center"/>
            <w:hideMark/>
          </w:tcPr>
          <w:p w14:paraId="109810C3"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₡24 200,00</w:t>
            </w:r>
          </w:p>
        </w:tc>
      </w:tr>
      <w:tr w:rsidR="00A975CD" w:rsidRPr="00977BAC" w14:paraId="586BB8E1" w14:textId="77777777" w:rsidTr="00A975CD">
        <w:trPr>
          <w:trHeight w:val="612"/>
          <w:jc w:val="center"/>
        </w:trPr>
        <w:tc>
          <w:tcPr>
            <w:tcW w:w="4248" w:type="dxa"/>
            <w:shd w:val="clear" w:color="auto" w:fill="auto"/>
            <w:vAlign w:val="center"/>
            <w:hideMark/>
          </w:tcPr>
          <w:p w14:paraId="56EBE039"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Los embargos que excedan de ese capital máximo más el porcentaje de Ley, cualquiera que sea el monto.</w:t>
            </w:r>
          </w:p>
        </w:tc>
        <w:tc>
          <w:tcPr>
            <w:tcW w:w="3832" w:type="dxa"/>
            <w:shd w:val="clear" w:color="auto" w:fill="auto"/>
            <w:vAlign w:val="center"/>
            <w:hideMark/>
          </w:tcPr>
          <w:p w14:paraId="3205D8B4"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₡31 200,00</w:t>
            </w:r>
          </w:p>
        </w:tc>
      </w:tr>
      <w:tr w:rsidR="00977BAC" w:rsidRPr="00977BAC" w14:paraId="1FA60873" w14:textId="77777777" w:rsidTr="00F52B71">
        <w:trPr>
          <w:trHeight w:val="1860"/>
          <w:jc w:val="center"/>
        </w:trPr>
        <w:tc>
          <w:tcPr>
            <w:tcW w:w="8080" w:type="dxa"/>
            <w:gridSpan w:val="2"/>
            <w:shd w:val="clear" w:color="auto" w:fill="auto"/>
            <w:vAlign w:val="center"/>
            <w:hideMark/>
          </w:tcPr>
          <w:p w14:paraId="6971FB37" w14:textId="77777777" w:rsidR="00977BAC" w:rsidRDefault="00977BAC" w:rsidP="00F52B71">
            <w:pPr>
              <w:widowControl/>
              <w:suppressAutoHyphens w:val="0"/>
              <w:jc w:val="both"/>
              <w:rPr>
                <w:rFonts w:ascii="Arial" w:eastAsia="Times New Roman" w:hAnsi="Arial" w:cs="Arial"/>
                <w:kern w:val="0"/>
                <w:sz w:val="20"/>
                <w:szCs w:val="20"/>
                <w:lang w:val="es-CR" w:eastAsia="es-CR" w:bidi="ar-SA"/>
              </w:rPr>
            </w:pPr>
            <w:r w:rsidRPr="00DF6FC5">
              <w:rPr>
                <w:rFonts w:ascii="Arial" w:eastAsia="Times New Roman" w:hAnsi="Arial" w:cs="Arial"/>
                <w:b/>
                <w:bCs/>
                <w:color w:val="000000"/>
                <w:kern w:val="0"/>
                <w:sz w:val="20"/>
                <w:szCs w:val="20"/>
                <w:lang w:val="es-CR" w:eastAsia="es-CR" w:bidi="ar-SA"/>
              </w:rPr>
              <w:t>Nota:</w:t>
            </w:r>
            <w:r w:rsidRPr="00DF6FC5">
              <w:rPr>
                <w:rFonts w:ascii="Arial" w:eastAsia="Times New Roman" w:hAnsi="Arial" w:cs="Arial"/>
                <w:color w:val="000000"/>
                <w:kern w:val="0"/>
                <w:sz w:val="20"/>
                <w:szCs w:val="20"/>
                <w:lang w:val="es-CR" w:eastAsia="es-CR" w:bidi="ar-SA"/>
              </w:rPr>
              <w:t xml:space="preserve"> </w:t>
            </w:r>
            <w:r w:rsidRPr="00DF6FC5">
              <w:rPr>
                <w:rFonts w:ascii="Arial" w:eastAsia="Times New Roman" w:hAnsi="Arial" w:cs="Arial"/>
                <w:color w:val="000000"/>
                <w:kern w:val="0"/>
                <w:sz w:val="20"/>
                <w:szCs w:val="20"/>
                <w:lang w:val="es-CR" w:eastAsia="es-CR" w:bidi="ar-SA"/>
              </w:rPr>
              <w:br/>
            </w:r>
            <w:r w:rsidRPr="00DF6FC5">
              <w:rPr>
                <w:rFonts w:ascii="Arial" w:eastAsia="Times New Roman" w:hAnsi="Arial" w:cs="Arial"/>
                <w:b/>
                <w:bCs/>
                <w:color w:val="000000"/>
                <w:kern w:val="0"/>
                <w:sz w:val="20"/>
                <w:szCs w:val="20"/>
                <w:lang w:val="es-CR" w:eastAsia="es-CR" w:bidi="ar-SA"/>
              </w:rPr>
              <w:br/>
            </w:r>
            <w:r w:rsidR="00F52B71">
              <w:rPr>
                <w:rFonts w:ascii="Arial" w:eastAsia="Times New Roman" w:hAnsi="Arial" w:cs="Arial"/>
                <w:b/>
                <w:bCs/>
                <w:kern w:val="0"/>
                <w:sz w:val="20"/>
                <w:szCs w:val="20"/>
                <w:lang w:val="es-CR" w:eastAsia="es-CR" w:bidi="ar-SA"/>
              </w:rPr>
              <w:t>1</w:t>
            </w:r>
            <w:r w:rsidRPr="00DF6FC5">
              <w:rPr>
                <w:rFonts w:ascii="Arial" w:eastAsia="Times New Roman" w:hAnsi="Arial" w:cs="Arial"/>
                <w:b/>
                <w:bCs/>
                <w:kern w:val="0"/>
                <w:sz w:val="20"/>
                <w:szCs w:val="20"/>
                <w:lang w:val="es-CR" w:eastAsia="es-CR" w:bidi="ar-SA"/>
              </w:rPr>
              <w:t>.</w:t>
            </w:r>
            <w:r w:rsidRPr="00DF6FC5">
              <w:rPr>
                <w:rFonts w:ascii="Arial" w:eastAsia="Times New Roman" w:hAnsi="Arial" w:cs="Arial"/>
                <w:kern w:val="0"/>
                <w:sz w:val="20"/>
                <w:szCs w:val="20"/>
                <w:lang w:val="es-CR" w:eastAsia="es-CR" w:bidi="ar-SA"/>
              </w:rPr>
              <w:t xml:space="preserve">  Debe considerarse lo dispuesto en la circular   N 86-2019 del 28 de junio del 2019, emitida por esta Dirección Ejecutiva, donde se establece que cuando el pago de los honorarios corresponda a las partes dentro del proceso, la Autoridad Judicial deberá indicar en la resolución el monto que corresponde depositar contemplando los honorarios más el 13% del IVA. Además, debe solicitar a la parte señalar una dirección de correo electrónico, al cual el profesional que brinde el servicio debe remitir la factura electrónica.</w:t>
            </w:r>
          </w:p>
          <w:p w14:paraId="37A06741" w14:textId="5E6AA5FC" w:rsidR="007E55A1" w:rsidRPr="00DF6FC5" w:rsidRDefault="007E55A1" w:rsidP="00F52B71">
            <w:pPr>
              <w:widowControl/>
              <w:suppressAutoHyphens w:val="0"/>
              <w:jc w:val="both"/>
              <w:rPr>
                <w:rFonts w:ascii="Arial" w:eastAsia="Times New Roman" w:hAnsi="Arial" w:cs="Arial"/>
                <w:b/>
                <w:bCs/>
                <w:color w:val="000000"/>
                <w:kern w:val="0"/>
                <w:sz w:val="20"/>
                <w:szCs w:val="20"/>
                <w:lang w:val="es-CR" w:eastAsia="es-CR" w:bidi="ar-SA"/>
              </w:rPr>
            </w:pPr>
          </w:p>
        </w:tc>
      </w:tr>
    </w:tbl>
    <w:p w14:paraId="32D71E92" w14:textId="01BC8E13" w:rsidR="005D5814" w:rsidRDefault="005D5814" w:rsidP="006A0034">
      <w:pPr>
        <w:jc w:val="both"/>
        <w:rPr>
          <w:rFonts w:ascii="Arial" w:hAnsi="Arial" w:cs="Arial"/>
          <w:sz w:val="22"/>
          <w:szCs w:val="22"/>
        </w:rPr>
      </w:pPr>
    </w:p>
    <w:p w14:paraId="39A329DF" w14:textId="23C872E6" w:rsidR="00062D00" w:rsidRDefault="00062D00">
      <w:pPr>
        <w:widowControl/>
        <w:suppressAutoHyphens w:val="0"/>
        <w:rPr>
          <w:rFonts w:ascii="Arial" w:hAnsi="Arial" w:cs="Arial"/>
          <w:sz w:val="22"/>
          <w:szCs w:val="22"/>
        </w:rPr>
      </w:pPr>
      <w:r>
        <w:rPr>
          <w:rFonts w:ascii="Arial" w:hAnsi="Arial" w:cs="Arial"/>
          <w:sz w:val="22"/>
          <w:szCs w:val="22"/>
        </w:rPr>
        <w:br w:type="page"/>
      </w:r>
    </w:p>
    <w:tbl>
      <w:tblPr>
        <w:tblW w:w="11438" w:type="dxa"/>
        <w:tblCellMar>
          <w:left w:w="70" w:type="dxa"/>
          <w:right w:w="70" w:type="dxa"/>
        </w:tblCellMar>
        <w:tblLook w:val="04A0" w:firstRow="1" w:lastRow="0" w:firstColumn="1" w:lastColumn="0" w:noHBand="0" w:noVBand="1"/>
      </w:tblPr>
      <w:tblGrid>
        <w:gridCol w:w="4536"/>
        <w:gridCol w:w="4662"/>
        <w:gridCol w:w="160"/>
        <w:gridCol w:w="2080"/>
      </w:tblGrid>
      <w:tr w:rsidR="00977BAC" w:rsidRPr="00977BAC" w14:paraId="356BB7FE" w14:textId="77777777" w:rsidTr="00A975CD">
        <w:trPr>
          <w:gridAfter w:val="2"/>
          <w:wAfter w:w="2240" w:type="dxa"/>
          <w:trHeight w:val="206"/>
        </w:trPr>
        <w:tc>
          <w:tcPr>
            <w:tcW w:w="9198" w:type="dxa"/>
            <w:gridSpan w:val="2"/>
            <w:tcBorders>
              <w:top w:val="nil"/>
              <w:left w:val="nil"/>
              <w:bottom w:val="nil"/>
              <w:right w:val="nil"/>
            </w:tcBorders>
            <w:shd w:val="clear" w:color="auto" w:fill="auto"/>
            <w:vAlign w:val="center"/>
            <w:hideMark/>
          </w:tcPr>
          <w:p w14:paraId="14DDD3CF" w14:textId="77777777"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3</w:t>
            </w:r>
          </w:p>
          <w:p w14:paraId="3EA0AF23" w14:textId="07098FC9" w:rsidR="008404B8" w:rsidRPr="00062D00"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0BA0BF38" w14:textId="77777777" w:rsidTr="00A975CD">
        <w:trPr>
          <w:gridAfter w:val="2"/>
          <w:wAfter w:w="2240" w:type="dxa"/>
          <w:trHeight w:val="408"/>
        </w:trPr>
        <w:tc>
          <w:tcPr>
            <w:tcW w:w="9198" w:type="dxa"/>
            <w:gridSpan w:val="2"/>
            <w:tcBorders>
              <w:top w:val="nil"/>
              <w:left w:val="nil"/>
              <w:bottom w:val="nil"/>
              <w:right w:val="nil"/>
            </w:tcBorders>
            <w:shd w:val="clear" w:color="auto" w:fill="auto"/>
            <w:vAlign w:val="center"/>
            <w:hideMark/>
          </w:tcPr>
          <w:p w14:paraId="007E62CB" w14:textId="5E92C1D5"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Honorarios de Peritos y Peritas en Trabajo Social y Psicología, para Valoraciones Psicosociales</w:t>
            </w:r>
          </w:p>
        </w:tc>
      </w:tr>
      <w:tr w:rsidR="00977BAC" w:rsidRPr="00977BAC" w14:paraId="644D3261" w14:textId="77777777" w:rsidTr="00A975CD">
        <w:trPr>
          <w:gridAfter w:val="2"/>
          <w:wAfter w:w="2240" w:type="dxa"/>
          <w:trHeight w:val="229"/>
        </w:trPr>
        <w:tc>
          <w:tcPr>
            <w:tcW w:w="9198" w:type="dxa"/>
            <w:gridSpan w:val="2"/>
            <w:tcBorders>
              <w:top w:val="nil"/>
              <w:left w:val="nil"/>
              <w:bottom w:val="nil"/>
              <w:right w:val="nil"/>
            </w:tcBorders>
            <w:shd w:val="clear" w:color="auto" w:fill="auto"/>
            <w:vAlign w:val="center"/>
            <w:hideMark/>
          </w:tcPr>
          <w:p w14:paraId="042A48DA" w14:textId="77777777"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202</w:t>
            </w:r>
            <w:r w:rsidR="00D0079D">
              <w:rPr>
                <w:rFonts w:ascii="Arial" w:eastAsia="Times New Roman" w:hAnsi="Arial" w:cs="Arial"/>
                <w:b/>
                <w:bCs/>
                <w:color w:val="000000"/>
                <w:kern w:val="0"/>
                <w:sz w:val="20"/>
                <w:szCs w:val="20"/>
                <w:lang w:val="es-CR" w:eastAsia="es-CR" w:bidi="ar-SA"/>
              </w:rPr>
              <w:t>5</w:t>
            </w:r>
          </w:p>
          <w:p w14:paraId="6A328EB1" w14:textId="77777777" w:rsidR="001710B5" w:rsidRDefault="001710B5" w:rsidP="00062D00">
            <w:pPr>
              <w:widowControl/>
              <w:suppressAutoHyphens w:val="0"/>
              <w:jc w:val="center"/>
              <w:rPr>
                <w:rFonts w:ascii="Arial" w:eastAsia="Times New Roman" w:hAnsi="Arial" w:cs="Arial"/>
                <w:b/>
                <w:bCs/>
                <w:color w:val="000000"/>
                <w:kern w:val="0"/>
                <w:sz w:val="20"/>
                <w:szCs w:val="20"/>
                <w:lang w:val="es-CR" w:eastAsia="es-CR" w:bidi="ar-SA"/>
              </w:rPr>
            </w:pPr>
          </w:p>
          <w:tbl>
            <w:tblPr>
              <w:tblpPr w:leftFromText="141" w:rightFromText="141" w:vertAnchor="text" w:tblpXSpec="center" w:tblpY="1"/>
              <w:tblOverlap w:val="never"/>
              <w:tblW w:w="8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4179"/>
            </w:tblGrid>
            <w:tr w:rsidR="001710B5" w:rsidRPr="001710B5" w14:paraId="0D55B438" w14:textId="77777777" w:rsidTr="001775D1">
              <w:trPr>
                <w:trHeight w:val="300"/>
              </w:trPr>
              <w:tc>
                <w:tcPr>
                  <w:tcW w:w="4140" w:type="dxa"/>
                  <w:shd w:val="clear" w:color="auto" w:fill="E7E6E6"/>
                  <w:tcMar>
                    <w:top w:w="0" w:type="dxa"/>
                    <w:left w:w="70" w:type="dxa"/>
                    <w:bottom w:w="0" w:type="dxa"/>
                    <w:right w:w="70" w:type="dxa"/>
                  </w:tcMar>
                  <w:vAlign w:val="center"/>
                  <w:hideMark/>
                </w:tcPr>
                <w:p w14:paraId="6741CA52" w14:textId="77777777" w:rsidR="001710B5" w:rsidRPr="001710B5" w:rsidRDefault="001710B5" w:rsidP="001710B5">
                  <w:pPr>
                    <w:jc w:val="center"/>
                    <w:rPr>
                      <w:rFonts w:ascii="Arial" w:eastAsiaTheme="minorHAnsi" w:hAnsi="Arial" w:cs="Arial"/>
                      <w:b/>
                      <w:bCs/>
                      <w:color w:val="000000"/>
                      <w:kern w:val="0"/>
                      <w:sz w:val="20"/>
                      <w:szCs w:val="20"/>
                      <w:lang w:val="es-CR" w:eastAsia="es-CR" w:bidi="ar-SA"/>
                    </w:rPr>
                  </w:pPr>
                  <w:r w:rsidRPr="001710B5">
                    <w:rPr>
                      <w:rFonts w:ascii="Arial" w:hAnsi="Arial" w:cs="Arial"/>
                      <w:b/>
                      <w:bCs/>
                      <w:color w:val="000000"/>
                      <w:sz w:val="20"/>
                      <w:szCs w:val="20"/>
                      <w:lang w:eastAsia="es-CR"/>
                    </w:rPr>
                    <w:t>Pericia</w:t>
                  </w:r>
                </w:p>
              </w:tc>
              <w:tc>
                <w:tcPr>
                  <w:tcW w:w="4179" w:type="dxa"/>
                  <w:shd w:val="clear" w:color="auto" w:fill="E7E6E6"/>
                  <w:tcMar>
                    <w:top w:w="0" w:type="dxa"/>
                    <w:left w:w="70" w:type="dxa"/>
                    <w:bottom w:w="0" w:type="dxa"/>
                    <w:right w:w="70" w:type="dxa"/>
                  </w:tcMar>
                  <w:vAlign w:val="center"/>
                  <w:hideMark/>
                </w:tcPr>
                <w:p w14:paraId="61FBA0D3" w14:textId="357CC515" w:rsidR="001710B5" w:rsidRPr="001710B5" w:rsidRDefault="001710B5" w:rsidP="001710B5">
                  <w:pPr>
                    <w:jc w:val="center"/>
                    <w:rPr>
                      <w:rFonts w:ascii="Arial" w:hAnsi="Arial" w:cs="Arial"/>
                      <w:b/>
                      <w:bCs/>
                      <w:color w:val="000000"/>
                      <w:sz w:val="20"/>
                      <w:szCs w:val="20"/>
                      <w:lang w:eastAsia="es-CR"/>
                    </w:rPr>
                  </w:pPr>
                  <w:r w:rsidRPr="001710B5">
                    <w:rPr>
                      <w:rFonts w:ascii="Arial" w:hAnsi="Arial" w:cs="Arial"/>
                      <w:b/>
                      <w:bCs/>
                      <w:color w:val="000000"/>
                      <w:sz w:val="20"/>
                      <w:szCs w:val="20"/>
                      <w:lang w:eastAsia="es-CR"/>
                    </w:rPr>
                    <w:t xml:space="preserve">Tarifa </w:t>
                  </w:r>
                  <w:r w:rsidR="007E55A1">
                    <w:rPr>
                      <w:rFonts w:ascii="Arial" w:hAnsi="Arial" w:cs="Arial"/>
                      <w:b/>
                      <w:bCs/>
                      <w:color w:val="000000"/>
                      <w:sz w:val="20"/>
                      <w:szCs w:val="20"/>
                      <w:lang w:eastAsia="es-CR"/>
                    </w:rPr>
                    <w:t>por aplicar 2025</w:t>
                  </w:r>
                </w:p>
              </w:tc>
            </w:tr>
            <w:tr w:rsidR="001710B5" w:rsidRPr="001710B5" w14:paraId="54219115" w14:textId="77777777" w:rsidTr="001775D1">
              <w:trPr>
                <w:trHeight w:val="310"/>
              </w:trPr>
              <w:tc>
                <w:tcPr>
                  <w:tcW w:w="4140" w:type="dxa"/>
                  <w:noWrap/>
                  <w:tcMar>
                    <w:top w:w="0" w:type="dxa"/>
                    <w:left w:w="70" w:type="dxa"/>
                    <w:bottom w:w="0" w:type="dxa"/>
                    <w:right w:w="70" w:type="dxa"/>
                  </w:tcMar>
                  <w:vAlign w:val="center"/>
                  <w:hideMark/>
                </w:tcPr>
                <w:p w14:paraId="2BEF7B99"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Adopción individual</w:t>
                  </w:r>
                </w:p>
              </w:tc>
              <w:tc>
                <w:tcPr>
                  <w:tcW w:w="4179" w:type="dxa"/>
                  <w:noWrap/>
                  <w:tcMar>
                    <w:top w:w="0" w:type="dxa"/>
                    <w:left w:w="70" w:type="dxa"/>
                    <w:bottom w:w="0" w:type="dxa"/>
                    <w:right w:w="70" w:type="dxa"/>
                  </w:tcMar>
                  <w:vAlign w:val="center"/>
                  <w:hideMark/>
                </w:tcPr>
                <w:p w14:paraId="1D65595A" w14:textId="6FF4823B"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1710B5" w:rsidRPr="001710B5" w14:paraId="0A8905B4" w14:textId="77777777" w:rsidTr="001775D1">
              <w:trPr>
                <w:trHeight w:val="310"/>
              </w:trPr>
              <w:tc>
                <w:tcPr>
                  <w:tcW w:w="4140" w:type="dxa"/>
                  <w:noWrap/>
                  <w:tcMar>
                    <w:top w:w="0" w:type="dxa"/>
                    <w:left w:w="70" w:type="dxa"/>
                    <w:bottom w:w="0" w:type="dxa"/>
                    <w:right w:w="70" w:type="dxa"/>
                  </w:tcMar>
                  <w:vAlign w:val="center"/>
                  <w:hideMark/>
                </w:tcPr>
                <w:p w14:paraId="26C7C618"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Adopción conjunta</w:t>
                  </w:r>
                </w:p>
              </w:tc>
              <w:tc>
                <w:tcPr>
                  <w:tcW w:w="4179" w:type="dxa"/>
                  <w:noWrap/>
                  <w:tcMar>
                    <w:top w:w="0" w:type="dxa"/>
                    <w:left w:w="70" w:type="dxa"/>
                    <w:bottom w:w="0" w:type="dxa"/>
                    <w:right w:w="70" w:type="dxa"/>
                  </w:tcMar>
                  <w:vAlign w:val="center"/>
                  <w:hideMark/>
                </w:tcPr>
                <w:p w14:paraId="59075D09" w14:textId="5D791E07"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w:t>
                  </w:r>
                  <w:r w:rsidRPr="001710B5">
                    <w:rPr>
                      <w:rFonts w:ascii="Arial" w:hAnsi="Arial" w:cs="Arial"/>
                      <w:color w:val="000000"/>
                      <w:sz w:val="20"/>
                      <w:szCs w:val="20"/>
                      <w:lang w:eastAsia="es-CR"/>
                    </w:rPr>
                    <w:t>769</w:t>
                  </w:r>
                  <w:r>
                    <w:rPr>
                      <w:rFonts w:ascii="Arial" w:hAnsi="Arial" w:cs="Arial"/>
                      <w:color w:val="000000"/>
                      <w:sz w:val="20"/>
                      <w:szCs w:val="20"/>
                      <w:lang w:eastAsia="es-CR"/>
                    </w:rPr>
                    <w:t>,00</w:t>
                  </w:r>
                </w:p>
              </w:tc>
            </w:tr>
            <w:tr w:rsidR="001710B5" w:rsidRPr="001710B5" w14:paraId="510C221A" w14:textId="77777777" w:rsidTr="001775D1">
              <w:trPr>
                <w:trHeight w:val="310"/>
              </w:trPr>
              <w:tc>
                <w:tcPr>
                  <w:tcW w:w="4140" w:type="dxa"/>
                  <w:noWrap/>
                  <w:tcMar>
                    <w:top w:w="0" w:type="dxa"/>
                    <w:left w:w="70" w:type="dxa"/>
                    <w:bottom w:w="0" w:type="dxa"/>
                    <w:right w:w="70" w:type="dxa"/>
                  </w:tcMar>
                  <w:vAlign w:val="center"/>
                  <w:hideMark/>
                </w:tcPr>
                <w:p w14:paraId="45AC7F4A"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Utilidad y Necesidad</w:t>
                  </w:r>
                </w:p>
              </w:tc>
              <w:tc>
                <w:tcPr>
                  <w:tcW w:w="4179" w:type="dxa"/>
                  <w:noWrap/>
                  <w:tcMar>
                    <w:top w:w="0" w:type="dxa"/>
                    <w:left w:w="70" w:type="dxa"/>
                    <w:bottom w:w="0" w:type="dxa"/>
                    <w:right w:w="70" w:type="dxa"/>
                  </w:tcMar>
                  <w:vAlign w:val="center"/>
                  <w:hideMark/>
                </w:tcPr>
                <w:p w14:paraId="059C1CDE" w14:textId="24F6F4B5"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1710B5" w:rsidRPr="001710B5" w14:paraId="54F67AC0" w14:textId="77777777" w:rsidTr="001775D1">
              <w:trPr>
                <w:trHeight w:val="310"/>
              </w:trPr>
              <w:tc>
                <w:tcPr>
                  <w:tcW w:w="4140" w:type="dxa"/>
                  <w:noWrap/>
                  <w:tcMar>
                    <w:top w:w="0" w:type="dxa"/>
                    <w:left w:w="70" w:type="dxa"/>
                    <w:bottom w:w="0" w:type="dxa"/>
                    <w:right w:w="70" w:type="dxa"/>
                  </w:tcMar>
                  <w:vAlign w:val="center"/>
                  <w:hideMark/>
                </w:tcPr>
                <w:p w14:paraId="598514CA"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Suspensión Patria Potestad</w:t>
                  </w:r>
                </w:p>
              </w:tc>
              <w:tc>
                <w:tcPr>
                  <w:tcW w:w="4179" w:type="dxa"/>
                  <w:noWrap/>
                  <w:tcMar>
                    <w:top w:w="0" w:type="dxa"/>
                    <w:left w:w="70" w:type="dxa"/>
                    <w:bottom w:w="0" w:type="dxa"/>
                    <w:right w:w="70" w:type="dxa"/>
                  </w:tcMar>
                  <w:vAlign w:val="center"/>
                  <w:hideMark/>
                </w:tcPr>
                <w:p w14:paraId="617B5EF3" w14:textId="46983C37"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p>
              </w:tc>
            </w:tr>
            <w:tr w:rsidR="001710B5" w:rsidRPr="001710B5" w14:paraId="3CCC4B33" w14:textId="77777777" w:rsidTr="001775D1">
              <w:trPr>
                <w:trHeight w:val="310"/>
              </w:trPr>
              <w:tc>
                <w:tcPr>
                  <w:tcW w:w="4140" w:type="dxa"/>
                  <w:noWrap/>
                  <w:tcMar>
                    <w:top w:w="0" w:type="dxa"/>
                    <w:left w:w="70" w:type="dxa"/>
                    <w:bottom w:w="0" w:type="dxa"/>
                    <w:right w:w="70" w:type="dxa"/>
                  </w:tcMar>
                  <w:vAlign w:val="center"/>
                  <w:hideMark/>
                </w:tcPr>
                <w:p w14:paraId="0ECFF5DD"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Guarda Crianza y Educación</w:t>
                  </w:r>
                </w:p>
              </w:tc>
              <w:tc>
                <w:tcPr>
                  <w:tcW w:w="4179" w:type="dxa"/>
                  <w:noWrap/>
                  <w:tcMar>
                    <w:top w:w="0" w:type="dxa"/>
                    <w:left w:w="70" w:type="dxa"/>
                    <w:bottom w:w="0" w:type="dxa"/>
                    <w:right w:w="70" w:type="dxa"/>
                  </w:tcMar>
                  <w:vAlign w:val="center"/>
                  <w:hideMark/>
                </w:tcPr>
                <w:p w14:paraId="5B17D828" w14:textId="594AF487"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73B06776" w14:textId="77777777" w:rsidTr="001775D1">
              <w:trPr>
                <w:trHeight w:val="310"/>
              </w:trPr>
              <w:tc>
                <w:tcPr>
                  <w:tcW w:w="4140" w:type="dxa"/>
                  <w:noWrap/>
                  <w:tcMar>
                    <w:top w:w="0" w:type="dxa"/>
                    <w:left w:w="70" w:type="dxa"/>
                    <w:bottom w:w="0" w:type="dxa"/>
                    <w:right w:w="70" w:type="dxa"/>
                  </w:tcMar>
                  <w:vAlign w:val="center"/>
                  <w:hideMark/>
                </w:tcPr>
                <w:p w14:paraId="046DC71C"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Régimen de Visitas</w:t>
                  </w:r>
                </w:p>
              </w:tc>
              <w:tc>
                <w:tcPr>
                  <w:tcW w:w="4179" w:type="dxa"/>
                  <w:noWrap/>
                  <w:tcMar>
                    <w:top w:w="0" w:type="dxa"/>
                    <w:left w:w="70" w:type="dxa"/>
                    <w:bottom w:w="0" w:type="dxa"/>
                    <w:right w:w="70" w:type="dxa"/>
                  </w:tcMar>
                  <w:vAlign w:val="center"/>
                  <w:hideMark/>
                </w:tcPr>
                <w:p w14:paraId="027C4003" w14:textId="5ED7B45F"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1710B5" w:rsidRPr="001710B5" w14:paraId="694C9F08" w14:textId="77777777" w:rsidTr="001775D1">
              <w:trPr>
                <w:trHeight w:val="310"/>
              </w:trPr>
              <w:tc>
                <w:tcPr>
                  <w:tcW w:w="4140" w:type="dxa"/>
                  <w:noWrap/>
                  <w:tcMar>
                    <w:top w:w="0" w:type="dxa"/>
                    <w:left w:w="70" w:type="dxa"/>
                    <w:bottom w:w="0" w:type="dxa"/>
                    <w:right w:w="70" w:type="dxa"/>
                  </w:tcMar>
                  <w:vAlign w:val="center"/>
                  <w:hideMark/>
                </w:tcPr>
                <w:p w14:paraId="517E18CC"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Divorcio</w:t>
                  </w:r>
                </w:p>
              </w:tc>
              <w:tc>
                <w:tcPr>
                  <w:tcW w:w="4179" w:type="dxa"/>
                  <w:noWrap/>
                  <w:tcMar>
                    <w:top w:w="0" w:type="dxa"/>
                    <w:left w:w="70" w:type="dxa"/>
                    <w:bottom w:w="0" w:type="dxa"/>
                    <w:right w:w="70" w:type="dxa"/>
                  </w:tcMar>
                  <w:vAlign w:val="center"/>
                  <w:hideMark/>
                </w:tcPr>
                <w:p w14:paraId="6D8A2F7C" w14:textId="142F9BEC"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5F33FBE9" w14:textId="77777777" w:rsidTr="001775D1">
              <w:trPr>
                <w:trHeight w:val="310"/>
              </w:trPr>
              <w:tc>
                <w:tcPr>
                  <w:tcW w:w="4140" w:type="dxa"/>
                  <w:noWrap/>
                  <w:tcMar>
                    <w:top w:w="0" w:type="dxa"/>
                    <w:left w:w="70" w:type="dxa"/>
                    <w:bottom w:w="0" w:type="dxa"/>
                    <w:right w:w="70" w:type="dxa"/>
                  </w:tcMar>
                  <w:vAlign w:val="center"/>
                  <w:hideMark/>
                </w:tcPr>
                <w:p w14:paraId="3B7DE0D4"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Salvaguardia (Insania) Trabajo Social</w:t>
                  </w:r>
                </w:p>
              </w:tc>
              <w:tc>
                <w:tcPr>
                  <w:tcW w:w="4179" w:type="dxa"/>
                  <w:noWrap/>
                  <w:tcMar>
                    <w:top w:w="0" w:type="dxa"/>
                    <w:left w:w="70" w:type="dxa"/>
                    <w:bottom w:w="0" w:type="dxa"/>
                    <w:right w:w="70" w:type="dxa"/>
                  </w:tcMar>
                  <w:vAlign w:val="center"/>
                  <w:hideMark/>
                </w:tcPr>
                <w:p w14:paraId="67270692" w14:textId="017D666F"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034B2380" w14:textId="77777777" w:rsidTr="001775D1">
              <w:trPr>
                <w:trHeight w:val="310"/>
              </w:trPr>
              <w:tc>
                <w:tcPr>
                  <w:tcW w:w="4140" w:type="dxa"/>
                  <w:noWrap/>
                  <w:tcMar>
                    <w:top w:w="0" w:type="dxa"/>
                    <w:left w:w="70" w:type="dxa"/>
                    <w:bottom w:w="0" w:type="dxa"/>
                    <w:right w:w="70" w:type="dxa"/>
                  </w:tcMar>
                  <w:vAlign w:val="center"/>
                  <w:hideMark/>
                </w:tcPr>
                <w:p w14:paraId="6853F08F"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Salvaguardia (Insania) Psicología</w:t>
                  </w:r>
                </w:p>
              </w:tc>
              <w:tc>
                <w:tcPr>
                  <w:tcW w:w="4179" w:type="dxa"/>
                  <w:noWrap/>
                  <w:tcMar>
                    <w:top w:w="0" w:type="dxa"/>
                    <w:left w:w="70" w:type="dxa"/>
                    <w:bottom w:w="0" w:type="dxa"/>
                    <w:right w:w="70" w:type="dxa"/>
                  </w:tcMar>
                  <w:vAlign w:val="center"/>
                  <w:hideMark/>
                </w:tcPr>
                <w:p w14:paraId="774092C2" w14:textId="42CF5E8E"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6924284F" w14:textId="77777777" w:rsidTr="001775D1">
              <w:trPr>
                <w:trHeight w:val="310"/>
              </w:trPr>
              <w:tc>
                <w:tcPr>
                  <w:tcW w:w="4140" w:type="dxa"/>
                  <w:noWrap/>
                  <w:tcMar>
                    <w:top w:w="0" w:type="dxa"/>
                    <w:left w:w="70" w:type="dxa"/>
                    <w:bottom w:w="0" w:type="dxa"/>
                    <w:right w:w="70" w:type="dxa"/>
                  </w:tcMar>
                  <w:vAlign w:val="center"/>
                  <w:hideMark/>
                </w:tcPr>
                <w:p w14:paraId="749DA543"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Depósito Judicial</w:t>
                  </w:r>
                </w:p>
              </w:tc>
              <w:tc>
                <w:tcPr>
                  <w:tcW w:w="4179" w:type="dxa"/>
                  <w:noWrap/>
                  <w:tcMar>
                    <w:top w:w="0" w:type="dxa"/>
                    <w:left w:w="70" w:type="dxa"/>
                    <w:bottom w:w="0" w:type="dxa"/>
                    <w:right w:w="70" w:type="dxa"/>
                  </w:tcMar>
                  <w:vAlign w:val="center"/>
                  <w:hideMark/>
                </w:tcPr>
                <w:p w14:paraId="5ED9EB49" w14:textId="286B4A33"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5CD9878F" w14:textId="77777777" w:rsidTr="001775D1">
              <w:trPr>
                <w:trHeight w:val="310"/>
              </w:trPr>
              <w:tc>
                <w:tcPr>
                  <w:tcW w:w="4140" w:type="dxa"/>
                  <w:noWrap/>
                  <w:tcMar>
                    <w:top w:w="0" w:type="dxa"/>
                    <w:left w:w="70" w:type="dxa"/>
                    <w:bottom w:w="0" w:type="dxa"/>
                    <w:right w:w="70" w:type="dxa"/>
                  </w:tcMar>
                  <w:vAlign w:val="center"/>
                  <w:hideMark/>
                </w:tcPr>
                <w:p w14:paraId="2B2B41E8"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Proceso especial de protección</w:t>
                  </w:r>
                </w:p>
              </w:tc>
              <w:tc>
                <w:tcPr>
                  <w:tcW w:w="4179" w:type="dxa"/>
                  <w:noWrap/>
                  <w:tcMar>
                    <w:top w:w="0" w:type="dxa"/>
                    <w:left w:w="70" w:type="dxa"/>
                    <w:bottom w:w="0" w:type="dxa"/>
                    <w:right w:w="70" w:type="dxa"/>
                  </w:tcMar>
                  <w:vAlign w:val="center"/>
                  <w:hideMark/>
                </w:tcPr>
                <w:p w14:paraId="358C27A4" w14:textId="370A58F3"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639F5011" w14:textId="77777777" w:rsidTr="001775D1">
              <w:trPr>
                <w:trHeight w:val="310"/>
              </w:trPr>
              <w:tc>
                <w:tcPr>
                  <w:tcW w:w="4140" w:type="dxa"/>
                  <w:noWrap/>
                  <w:tcMar>
                    <w:top w:w="0" w:type="dxa"/>
                    <w:left w:w="70" w:type="dxa"/>
                    <w:bottom w:w="0" w:type="dxa"/>
                    <w:right w:w="70" w:type="dxa"/>
                  </w:tcMar>
                  <w:vAlign w:val="center"/>
                  <w:hideMark/>
                </w:tcPr>
                <w:p w14:paraId="20324FA5"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 xml:space="preserve">Tutela individual </w:t>
                  </w:r>
                </w:p>
              </w:tc>
              <w:tc>
                <w:tcPr>
                  <w:tcW w:w="4179" w:type="dxa"/>
                  <w:noWrap/>
                  <w:tcMar>
                    <w:top w:w="0" w:type="dxa"/>
                    <w:left w:w="70" w:type="dxa"/>
                    <w:bottom w:w="0" w:type="dxa"/>
                    <w:right w:w="70" w:type="dxa"/>
                  </w:tcMar>
                  <w:vAlign w:val="center"/>
                  <w:hideMark/>
                </w:tcPr>
                <w:p w14:paraId="4526267D" w14:textId="230334A0"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 ₡168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1710B5" w:rsidRPr="001710B5" w14:paraId="4F43F804" w14:textId="77777777" w:rsidTr="001775D1">
              <w:trPr>
                <w:trHeight w:val="310"/>
              </w:trPr>
              <w:tc>
                <w:tcPr>
                  <w:tcW w:w="4140" w:type="dxa"/>
                  <w:noWrap/>
                  <w:tcMar>
                    <w:top w:w="0" w:type="dxa"/>
                    <w:left w:w="70" w:type="dxa"/>
                    <w:bottom w:w="0" w:type="dxa"/>
                    <w:right w:w="70" w:type="dxa"/>
                  </w:tcMar>
                  <w:vAlign w:val="center"/>
                  <w:hideMark/>
                </w:tcPr>
                <w:p w14:paraId="71CF8107" w14:textId="77777777" w:rsidR="001710B5" w:rsidRPr="001710B5" w:rsidRDefault="001710B5" w:rsidP="001710B5">
                  <w:pPr>
                    <w:rPr>
                      <w:rFonts w:ascii="Arial" w:hAnsi="Arial" w:cs="Arial"/>
                      <w:color w:val="000000"/>
                      <w:sz w:val="20"/>
                      <w:szCs w:val="20"/>
                      <w:lang w:eastAsia="es-CR"/>
                    </w:rPr>
                  </w:pPr>
                  <w:r w:rsidRPr="001710B5">
                    <w:rPr>
                      <w:rFonts w:ascii="Arial" w:hAnsi="Arial" w:cs="Arial"/>
                      <w:color w:val="000000"/>
                      <w:sz w:val="20"/>
                      <w:szCs w:val="20"/>
                      <w:lang w:eastAsia="es-CR"/>
                    </w:rPr>
                    <w:t>Tutela conjunta</w:t>
                  </w:r>
                </w:p>
              </w:tc>
              <w:tc>
                <w:tcPr>
                  <w:tcW w:w="4179" w:type="dxa"/>
                  <w:noWrap/>
                  <w:tcMar>
                    <w:top w:w="0" w:type="dxa"/>
                    <w:left w:w="70" w:type="dxa"/>
                    <w:bottom w:w="0" w:type="dxa"/>
                    <w:right w:w="70" w:type="dxa"/>
                  </w:tcMar>
                  <w:vAlign w:val="center"/>
                  <w:hideMark/>
                </w:tcPr>
                <w:p w14:paraId="4095D61D" w14:textId="13A1895D"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p>
              </w:tc>
            </w:tr>
            <w:tr w:rsidR="001710B5" w:rsidRPr="001710B5" w14:paraId="65D3E23B" w14:textId="77777777" w:rsidTr="001775D1">
              <w:trPr>
                <w:trHeight w:val="310"/>
              </w:trPr>
              <w:tc>
                <w:tcPr>
                  <w:tcW w:w="4140" w:type="dxa"/>
                  <w:noWrap/>
                  <w:tcMar>
                    <w:top w:w="0" w:type="dxa"/>
                    <w:left w:w="70" w:type="dxa"/>
                    <w:bottom w:w="0" w:type="dxa"/>
                    <w:right w:w="70" w:type="dxa"/>
                  </w:tcMar>
                  <w:vAlign w:val="center"/>
                  <w:hideMark/>
                </w:tcPr>
                <w:p w14:paraId="7D8E975A" w14:textId="77777777" w:rsidR="001710B5" w:rsidRPr="001710B5" w:rsidRDefault="001710B5" w:rsidP="001710B5">
                  <w:pPr>
                    <w:jc w:val="both"/>
                    <w:rPr>
                      <w:rFonts w:ascii="Arial" w:hAnsi="Arial" w:cs="Arial"/>
                      <w:color w:val="000000"/>
                      <w:sz w:val="20"/>
                      <w:szCs w:val="20"/>
                      <w:lang w:eastAsia="es-CR"/>
                    </w:rPr>
                  </w:pPr>
                  <w:r w:rsidRPr="001710B5">
                    <w:rPr>
                      <w:rFonts w:ascii="Arial" w:hAnsi="Arial" w:cs="Arial"/>
                      <w:color w:val="000000"/>
                      <w:sz w:val="20"/>
                      <w:szCs w:val="20"/>
                      <w:lang w:eastAsia="es-CR"/>
                    </w:rPr>
                    <w:t>Dictamen en violencia doméstica</w:t>
                  </w:r>
                </w:p>
              </w:tc>
              <w:tc>
                <w:tcPr>
                  <w:tcW w:w="4179" w:type="dxa"/>
                  <w:noWrap/>
                  <w:tcMar>
                    <w:top w:w="0" w:type="dxa"/>
                    <w:left w:w="70" w:type="dxa"/>
                    <w:bottom w:w="0" w:type="dxa"/>
                    <w:right w:w="70" w:type="dxa"/>
                  </w:tcMar>
                  <w:vAlign w:val="center"/>
                  <w:hideMark/>
                </w:tcPr>
                <w:p w14:paraId="62515918" w14:textId="371F83E9" w:rsidR="001710B5" w:rsidRPr="001710B5" w:rsidRDefault="001710B5" w:rsidP="001710B5">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1710B5" w:rsidRPr="001710B5" w14:paraId="3C5C8276" w14:textId="77777777" w:rsidTr="001775D1">
              <w:trPr>
                <w:trHeight w:val="310"/>
              </w:trPr>
              <w:tc>
                <w:tcPr>
                  <w:tcW w:w="8319" w:type="dxa"/>
                  <w:gridSpan w:val="2"/>
                  <w:noWrap/>
                  <w:tcMar>
                    <w:top w:w="0" w:type="dxa"/>
                    <w:left w:w="70" w:type="dxa"/>
                    <w:bottom w:w="0" w:type="dxa"/>
                    <w:right w:w="70" w:type="dxa"/>
                  </w:tcMar>
                  <w:vAlign w:val="center"/>
                </w:tcPr>
                <w:p w14:paraId="3443AF0F" w14:textId="0A3D52E3" w:rsidR="001775D1" w:rsidRDefault="001710B5" w:rsidP="001775D1">
                  <w:pPr>
                    <w:ind w:left="-142" w:right="-660"/>
                    <w:jc w:val="both"/>
                    <w:rPr>
                      <w:rFonts w:ascii="Arial" w:eastAsia="Times New Roman" w:hAnsi="Arial" w:cs="Arial"/>
                      <w:color w:val="000000"/>
                      <w:kern w:val="0"/>
                      <w:sz w:val="20"/>
                      <w:szCs w:val="20"/>
                      <w:lang w:val="es-CR" w:eastAsia="es-CR" w:bidi="ar-SA"/>
                    </w:rPr>
                  </w:pPr>
                  <w:r w:rsidRPr="001710B5">
                    <w:rPr>
                      <w:rFonts w:ascii="Arial" w:eastAsia="Times New Roman" w:hAnsi="Arial" w:cs="Arial"/>
                      <w:b/>
                      <w:bCs/>
                      <w:color w:val="000000"/>
                      <w:kern w:val="0"/>
                      <w:sz w:val="20"/>
                      <w:szCs w:val="20"/>
                      <w:lang w:val="es-CR" w:eastAsia="es-CR" w:bidi="ar-SA"/>
                    </w:rPr>
                    <w:t>1</w:t>
                  </w:r>
                </w:p>
                <w:p w14:paraId="40A1A05E" w14:textId="7992406C" w:rsidR="001775D1" w:rsidRPr="001775D1" w:rsidRDefault="001775D1" w:rsidP="001775D1">
                  <w:pPr>
                    <w:jc w:val="both"/>
                    <w:rPr>
                      <w:rFonts w:ascii="Arial" w:eastAsia="Times New Roman" w:hAnsi="Arial" w:cs="Arial"/>
                      <w:color w:val="000000"/>
                      <w:kern w:val="0"/>
                      <w:sz w:val="20"/>
                      <w:szCs w:val="20"/>
                      <w:lang w:val="es-CR" w:eastAsia="es-CR" w:bidi="ar-SA"/>
                    </w:rPr>
                  </w:pPr>
                  <w:r w:rsidRPr="001775D1">
                    <w:rPr>
                      <w:rFonts w:ascii="Arial" w:eastAsia="Times New Roman" w:hAnsi="Arial" w:cs="Arial"/>
                      <w:b/>
                      <w:bCs/>
                      <w:color w:val="000000"/>
                      <w:kern w:val="0"/>
                      <w:sz w:val="20"/>
                      <w:szCs w:val="20"/>
                      <w:lang w:val="es-CR" w:eastAsia="es-CR" w:bidi="ar-SA"/>
                    </w:rPr>
                    <w:t>1.</w:t>
                  </w:r>
                  <w:r>
                    <w:rPr>
                      <w:rFonts w:ascii="Arial" w:eastAsia="Times New Roman" w:hAnsi="Arial" w:cs="Arial"/>
                      <w:color w:val="000000"/>
                      <w:kern w:val="0"/>
                      <w:sz w:val="20"/>
                      <w:szCs w:val="20"/>
                      <w:lang w:val="es-CR" w:eastAsia="es-CR" w:bidi="ar-SA"/>
                    </w:rPr>
                    <w:t xml:space="preserve"> Actualización </w:t>
                  </w:r>
                  <w:r w:rsidRPr="001775D1">
                    <w:rPr>
                      <w:rFonts w:ascii="Arial" w:eastAsia="Times New Roman" w:hAnsi="Arial" w:cs="Arial"/>
                      <w:color w:val="000000"/>
                      <w:kern w:val="0"/>
                      <w:sz w:val="20"/>
                      <w:szCs w:val="20"/>
                      <w:lang w:val="es-CR" w:eastAsia="es-CR" w:bidi="ar-SA"/>
                    </w:rPr>
                    <w:t>aprobad</w:t>
                  </w:r>
                  <w:r>
                    <w:rPr>
                      <w:rFonts w:ascii="Arial" w:eastAsia="Times New Roman" w:hAnsi="Arial" w:cs="Arial"/>
                      <w:color w:val="000000"/>
                      <w:kern w:val="0"/>
                      <w:sz w:val="20"/>
                      <w:szCs w:val="20"/>
                      <w:lang w:val="es-CR" w:eastAsia="es-CR" w:bidi="ar-SA"/>
                    </w:rPr>
                    <w:t>a</w:t>
                  </w:r>
                  <w:r w:rsidRPr="001775D1">
                    <w:rPr>
                      <w:rFonts w:ascii="Arial" w:eastAsia="Times New Roman" w:hAnsi="Arial" w:cs="Arial"/>
                      <w:color w:val="000000"/>
                      <w:kern w:val="0"/>
                      <w:sz w:val="20"/>
                      <w:szCs w:val="20"/>
                      <w:lang w:val="es-CR" w:eastAsia="es-CR" w:bidi="ar-SA"/>
                    </w:rPr>
                    <w:t xml:space="preserve"> por el Consejo Superior en sesión N° 49-2024 del 11 de junio de 2024, artículo XV.</w:t>
                  </w:r>
                </w:p>
                <w:p w14:paraId="626E51C2" w14:textId="77777777" w:rsidR="001775D1" w:rsidRDefault="001775D1" w:rsidP="001710B5">
                  <w:pPr>
                    <w:jc w:val="both"/>
                    <w:rPr>
                      <w:rFonts w:ascii="Arial" w:eastAsia="Times New Roman" w:hAnsi="Arial" w:cs="Arial"/>
                      <w:color w:val="000000"/>
                      <w:kern w:val="0"/>
                      <w:sz w:val="20"/>
                      <w:szCs w:val="20"/>
                      <w:lang w:val="es-CR" w:eastAsia="es-CR" w:bidi="ar-SA"/>
                    </w:rPr>
                  </w:pPr>
                </w:p>
                <w:p w14:paraId="4B2EDF63" w14:textId="77777777" w:rsidR="001710B5" w:rsidRDefault="001775D1" w:rsidP="001710B5">
                  <w:pPr>
                    <w:jc w:val="both"/>
                    <w:rPr>
                      <w:rFonts w:ascii="Arial" w:eastAsia="Times New Roman" w:hAnsi="Arial" w:cs="Arial"/>
                      <w:color w:val="000000"/>
                      <w:kern w:val="0"/>
                      <w:sz w:val="20"/>
                      <w:szCs w:val="20"/>
                      <w:lang w:val="es-CR" w:eastAsia="es-CR" w:bidi="ar-SA"/>
                    </w:rPr>
                  </w:pPr>
                  <w:r w:rsidRPr="001775D1">
                    <w:rPr>
                      <w:rFonts w:ascii="Arial" w:eastAsia="Times New Roman" w:hAnsi="Arial" w:cs="Arial"/>
                      <w:b/>
                      <w:bCs/>
                      <w:color w:val="000000"/>
                      <w:kern w:val="0"/>
                      <w:sz w:val="20"/>
                      <w:szCs w:val="20"/>
                      <w:lang w:val="es-CR" w:eastAsia="es-CR" w:bidi="ar-SA"/>
                    </w:rPr>
                    <w:t>2.</w:t>
                  </w:r>
                  <w:r>
                    <w:rPr>
                      <w:rFonts w:ascii="Arial" w:eastAsia="Times New Roman" w:hAnsi="Arial" w:cs="Arial"/>
                      <w:color w:val="000000"/>
                      <w:kern w:val="0"/>
                      <w:sz w:val="20"/>
                      <w:szCs w:val="20"/>
                      <w:lang w:val="es-CR" w:eastAsia="es-CR" w:bidi="ar-SA"/>
                    </w:rPr>
                    <w:t xml:space="preserve"> </w:t>
                  </w:r>
                  <w:r w:rsidR="001710B5" w:rsidRPr="001710B5">
                    <w:rPr>
                      <w:rFonts w:ascii="Arial" w:eastAsia="Times New Roman" w:hAnsi="Arial" w:cs="Arial"/>
                      <w:color w:val="000000"/>
                      <w:kern w:val="0"/>
                      <w:sz w:val="20"/>
                      <w:szCs w:val="20"/>
                      <w:lang w:val="es-CR" w:eastAsia="es-CR" w:bidi="ar-SA"/>
                    </w:rPr>
                    <w:t>Debe considerarse lo dispuesto en la circular   N 86-2019 del 28 de junio del 2019, emitida por esta Dirección Ejecutiva, donde se establece que cuando el pago de los honorarios corresponda a las partes dentro del proceso, la Autoridad Judicial deberá indicar en la resolución el monto que corresponde depositar contemplando los honorarios más el 13% del IVA. Además, debe solicitar a la parte señalar una dirección de correo electrónico, al cual el profesional que brinde el servicio debe remitir la factura electrónica.</w:t>
                  </w:r>
                </w:p>
                <w:p w14:paraId="4A586661" w14:textId="206EBE29" w:rsidR="007E55A1" w:rsidRPr="001710B5" w:rsidRDefault="007E55A1" w:rsidP="001710B5">
                  <w:pPr>
                    <w:jc w:val="both"/>
                    <w:rPr>
                      <w:rFonts w:ascii="Arial" w:hAnsi="Arial" w:cs="Arial"/>
                      <w:b/>
                      <w:bCs/>
                      <w:color w:val="000000"/>
                      <w:sz w:val="20"/>
                      <w:szCs w:val="20"/>
                      <w:lang w:eastAsia="es-CR"/>
                    </w:rPr>
                  </w:pPr>
                </w:p>
              </w:tc>
            </w:tr>
          </w:tbl>
          <w:p w14:paraId="30D48709" w14:textId="5986149F" w:rsidR="001710B5" w:rsidRPr="00062D00" w:rsidRDefault="001710B5"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43123214" w14:textId="77777777" w:rsidTr="001710B5">
        <w:trPr>
          <w:trHeight w:val="276"/>
        </w:trPr>
        <w:tc>
          <w:tcPr>
            <w:tcW w:w="4536" w:type="dxa"/>
            <w:tcBorders>
              <w:top w:val="nil"/>
              <w:left w:val="nil"/>
              <w:bottom w:val="nil"/>
              <w:right w:val="nil"/>
            </w:tcBorders>
            <w:shd w:val="clear" w:color="auto" w:fill="auto"/>
            <w:noWrap/>
            <w:vAlign w:val="center"/>
          </w:tcPr>
          <w:p w14:paraId="0092AE16" w14:textId="77777777" w:rsidR="00977BAC" w:rsidRPr="00977BAC" w:rsidRDefault="00977BAC" w:rsidP="008404B8">
            <w:pPr>
              <w:widowControl/>
              <w:suppressAutoHyphens w:val="0"/>
              <w:rPr>
                <w:rFonts w:ascii="Arial" w:eastAsia="Times New Roman" w:hAnsi="Arial" w:cs="Arial"/>
                <w:b/>
                <w:bCs/>
                <w:color w:val="000000"/>
                <w:kern w:val="0"/>
                <w:sz w:val="18"/>
                <w:szCs w:val="18"/>
                <w:lang w:val="es-CR" w:eastAsia="es-CR" w:bidi="ar-SA"/>
              </w:rPr>
            </w:pPr>
          </w:p>
        </w:tc>
        <w:tc>
          <w:tcPr>
            <w:tcW w:w="4662" w:type="dxa"/>
            <w:tcBorders>
              <w:top w:val="nil"/>
              <w:left w:val="nil"/>
              <w:bottom w:val="nil"/>
              <w:right w:val="nil"/>
            </w:tcBorders>
            <w:shd w:val="clear" w:color="auto" w:fill="auto"/>
            <w:noWrap/>
            <w:vAlign w:val="bottom"/>
            <w:hideMark/>
          </w:tcPr>
          <w:p w14:paraId="162D40EF" w14:textId="77777777" w:rsidR="00977BAC" w:rsidRPr="00977BAC" w:rsidRDefault="00977BAC" w:rsidP="00977BAC">
            <w:pPr>
              <w:widowControl/>
              <w:suppressAutoHyphens w:val="0"/>
              <w:jc w:val="center"/>
              <w:rPr>
                <w:rFonts w:ascii="Arial" w:eastAsia="Times New Roman" w:hAnsi="Arial" w:cs="Arial"/>
                <w:kern w:val="0"/>
                <w:sz w:val="18"/>
                <w:szCs w:val="18"/>
                <w:lang w:val="es-CR" w:eastAsia="es-CR" w:bidi="ar-SA"/>
              </w:rPr>
            </w:pPr>
          </w:p>
        </w:tc>
        <w:tc>
          <w:tcPr>
            <w:tcW w:w="160" w:type="dxa"/>
            <w:tcBorders>
              <w:top w:val="nil"/>
              <w:left w:val="nil"/>
              <w:bottom w:val="nil"/>
              <w:right w:val="nil"/>
            </w:tcBorders>
            <w:shd w:val="clear" w:color="auto" w:fill="auto"/>
            <w:noWrap/>
            <w:vAlign w:val="bottom"/>
            <w:hideMark/>
          </w:tcPr>
          <w:p w14:paraId="6120DA7A" w14:textId="77777777" w:rsidR="00977BAC" w:rsidRPr="00977BAC" w:rsidRDefault="00977BAC" w:rsidP="00977BAC">
            <w:pPr>
              <w:widowControl/>
              <w:suppressAutoHyphens w:val="0"/>
              <w:rPr>
                <w:rFonts w:ascii="Arial" w:eastAsia="Times New Roman" w:hAnsi="Arial" w:cs="Arial"/>
                <w:kern w:val="0"/>
                <w:sz w:val="18"/>
                <w:szCs w:val="18"/>
                <w:lang w:val="es-CR" w:eastAsia="es-CR" w:bidi="ar-SA"/>
              </w:rPr>
            </w:pPr>
          </w:p>
        </w:tc>
        <w:tc>
          <w:tcPr>
            <w:tcW w:w="2080" w:type="dxa"/>
            <w:tcBorders>
              <w:top w:val="nil"/>
              <w:left w:val="nil"/>
              <w:bottom w:val="nil"/>
              <w:right w:val="nil"/>
            </w:tcBorders>
            <w:shd w:val="clear" w:color="auto" w:fill="auto"/>
            <w:noWrap/>
            <w:vAlign w:val="bottom"/>
            <w:hideMark/>
          </w:tcPr>
          <w:p w14:paraId="446A74DE" w14:textId="77777777" w:rsidR="00977BAC" w:rsidRPr="00977BAC" w:rsidRDefault="00977BAC" w:rsidP="00977BAC">
            <w:pPr>
              <w:widowControl/>
              <w:suppressAutoHyphens w:val="0"/>
              <w:rPr>
                <w:rFonts w:ascii="Arial" w:eastAsia="Times New Roman" w:hAnsi="Arial" w:cs="Arial"/>
                <w:kern w:val="0"/>
                <w:sz w:val="18"/>
                <w:szCs w:val="18"/>
                <w:lang w:val="es-CR" w:eastAsia="es-CR" w:bidi="ar-SA"/>
              </w:rPr>
            </w:pPr>
          </w:p>
        </w:tc>
      </w:tr>
    </w:tbl>
    <w:p w14:paraId="30327089" w14:textId="77777777" w:rsidR="00062D00" w:rsidRDefault="00062D00">
      <w:pPr>
        <w:widowControl/>
        <w:suppressAutoHyphens w:val="0"/>
        <w:rPr>
          <w:rFonts w:ascii="Arial" w:hAnsi="Arial" w:cs="Arial"/>
          <w:sz w:val="22"/>
          <w:szCs w:val="22"/>
        </w:rPr>
      </w:pPr>
      <w:r>
        <w:rPr>
          <w:rFonts w:ascii="Arial" w:hAnsi="Arial" w:cs="Arial"/>
          <w:sz w:val="22"/>
          <w:szCs w:val="22"/>
        </w:rPr>
        <w:br w:type="page"/>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3544"/>
      </w:tblGrid>
      <w:tr w:rsidR="00977BAC" w:rsidRPr="00977BAC" w14:paraId="6ADD29E5" w14:textId="77777777" w:rsidTr="007E55A1">
        <w:trPr>
          <w:trHeight w:val="204"/>
          <w:jc w:val="center"/>
        </w:trPr>
        <w:tc>
          <w:tcPr>
            <w:tcW w:w="8647" w:type="dxa"/>
            <w:gridSpan w:val="2"/>
            <w:tcBorders>
              <w:top w:val="nil"/>
              <w:left w:val="nil"/>
              <w:bottom w:val="nil"/>
              <w:right w:val="nil"/>
            </w:tcBorders>
            <w:shd w:val="clear" w:color="auto" w:fill="auto"/>
            <w:noWrap/>
            <w:vAlign w:val="center"/>
            <w:hideMark/>
          </w:tcPr>
          <w:p w14:paraId="42E284B3" w14:textId="75D2E409"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4</w:t>
            </w:r>
          </w:p>
          <w:p w14:paraId="36831F50" w14:textId="77777777" w:rsidR="009C590C" w:rsidRDefault="009C590C" w:rsidP="00062D00">
            <w:pPr>
              <w:widowControl/>
              <w:suppressAutoHyphens w:val="0"/>
              <w:jc w:val="center"/>
              <w:rPr>
                <w:rFonts w:ascii="Arial" w:eastAsia="Times New Roman" w:hAnsi="Arial" w:cs="Arial"/>
                <w:b/>
                <w:bCs/>
                <w:color w:val="000000"/>
                <w:kern w:val="0"/>
                <w:sz w:val="20"/>
                <w:szCs w:val="20"/>
                <w:lang w:val="es-CR" w:eastAsia="es-CR" w:bidi="ar-SA"/>
              </w:rPr>
            </w:pPr>
          </w:p>
          <w:p w14:paraId="1E9590B5" w14:textId="3AD97176" w:rsidR="008404B8" w:rsidRPr="00062D00"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46F7958B" w14:textId="77777777" w:rsidTr="007E55A1">
        <w:trPr>
          <w:trHeight w:val="204"/>
          <w:jc w:val="center"/>
        </w:trPr>
        <w:tc>
          <w:tcPr>
            <w:tcW w:w="8647" w:type="dxa"/>
            <w:gridSpan w:val="2"/>
            <w:tcBorders>
              <w:top w:val="nil"/>
              <w:left w:val="nil"/>
              <w:bottom w:val="nil"/>
              <w:right w:val="nil"/>
            </w:tcBorders>
            <w:shd w:val="clear" w:color="auto" w:fill="auto"/>
            <w:noWrap/>
            <w:vAlign w:val="center"/>
            <w:hideMark/>
          </w:tcPr>
          <w:p w14:paraId="419D3498" w14:textId="77777777"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Honorarios por Servicios Médicos Forenses y Especialidades Médicas</w:t>
            </w:r>
          </w:p>
        </w:tc>
      </w:tr>
      <w:tr w:rsidR="00977BAC" w:rsidRPr="007E55A1" w14:paraId="6A8A0E1F" w14:textId="77777777" w:rsidTr="007E55A1">
        <w:trPr>
          <w:trHeight w:val="204"/>
          <w:jc w:val="center"/>
        </w:trPr>
        <w:tc>
          <w:tcPr>
            <w:tcW w:w="8647" w:type="dxa"/>
            <w:gridSpan w:val="2"/>
            <w:tcBorders>
              <w:top w:val="nil"/>
              <w:left w:val="nil"/>
              <w:bottom w:val="nil"/>
              <w:right w:val="nil"/>
            </w:tcBorders>
            <w:shd w:val="clear" w:color="auto" w:fill="auto"/>
            <w:noWrap/>
            <w:vAlign w:val="center"/>
            <w:hideMark/>
          </w:tcPr>
          <w:p w14:paraId="4DE87980" w14:textId="393D01A9"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A633D5">
              <w:rPr>
                <w:rFonts w:ascii="Arial" w:eastAsia="Times New Roman" w:hAnsi="Arial" w:cs="Arial"/>
                <w:b/>
                <w:bCs/>
                <w:color w:val="000000"/>
                <w:kern w:val="0"/>
                <w:sz w:val="20"/>
                <w:szCs w:val="20"/>
                <w:lang w:val="es-CR" w:eastAsia="es-CR" w:bidi="ar-SA"/>
              </w:rPr>
              <w:t>5</w:t>
            </w:r>
          </w:p>
        </w:tc>
      </w:tr>
      <w:tr w:rsidR="001D1EEC" w:rsidRPr="00977BAC" w14:paraId="76C3EDAA" w14:textId="77777777" w:rsidTr="007E55A1">
        <w:trPr>
          <w:trHeight w:val="204"/>
          <w:jc w:val="center"/>
        </w:trPr>
        <w:tc>
          <w:tcPr>
            <w:tcW w:w="5103" w:type="dxa"/>
            <w:tcBorders>
              <w:top w:val="nil"/>
              <w:left w:val="nil"/>
              <w:bottom w:val="single" w:sz="4" w:space="0" w:color="auto"/>
              <w:right w:val="nil"/>
            </w:tcBorders>
            <w:shd w:val="clear" w:color="auto" w:fill="auto"/>
            <w:noWrap/>
            <w:vAlign w:val="center"/>
            <w:hideMark/>
          </w:tcPr>
          <w:p w14:paraId="4D4CA74F" w14:textId="77777777" w:rsidR="001D1EEC" w:rsidRPr="00977BAC" w:rsidRDefault="001D1EEC"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544" w:type="dxa"/>
            <w:tcBorders>
              <w:top w:val="nil"/>
              <w:left w:val="nil"/>
              <w:bottom w:val="single" w:sz="4" w:space="0" w:color="auto"/>
              <w:right w:val="nil"/>
            </w:tcBorders>
            <w:shd w:val="clear" w:color="auto" w:fill="auto"/>
            <w:noWrap/>
            <w:vAlign w:val="bottom"/>
            <w:hideMark/>
          </w:tcPr>
          <w:p w14:paraId="10BB58B2" w14:textId="77777777" w:rsidR="001D1EEC" w:rsidRPr="00977BAC" w:rsidRDefault="001D1EEC" w:rsidP="00977BAC">
            <w:pPr>
              <w:widowControl/>
              <w:suppressAutoHyphens w:val="0"/>
              <w:jc w:val="center"/>
              <w:rPr>
                <w:rFonts w:ascii="Arial" w:eastAsia="Times New Roman" w:hAnsi="Arial" w:cs="Arial"/>
                <w:kern w:val="0"/>
                <w:sz w:val="18"/>
                <w:szCs w:val="18"/>
                <w:lang w:val="es-CR" w:eastAsia="es-CR" w:bidi="ar-SA"/>
              </w:rPr>
            </w:pPr>
          </w:p>
        </w:tc>
      </w:tr>
      <w:tr w:rsidR="002D4E82" w:rsidRPr="00977BAC" w14:paraId="469F1460" w14:textId="77777777" w:rsidTr="007E55A1">
        <w:trPr>
          <w:trHeight w:val="768"/>
          <w:jc w:val="center"/>
        </w:trPr>
        <w:tc>
          <w:tcPr>
            <w:tcW w:w="510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5817849" w14:textId="77777777" w:rsidR="002D4E82" w:rsidRPr="001D01A5" w:rsidRDefault="002D4E82" w:rsidP="00977BAC">
            <w:pPr>
              <w:widowControl/>
              <w:suppressAutoHyphens w:val="0"/>
              <w:jc w:val="center"/>
              <w:rPr>
                <w:rFonts w:ascii="Arial" w:eastAsia="Times New Roman" w:hAnsi="Arial" w:cs="Arial"/>
                <w:b/>
                <w:bCs/>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Peritaje, tipo de valoración o exámenes</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2F06727" w14:textId="5C2832C3" w:rsidR="002D4E82" w:rsidRPr="001D01A5"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A633D5">
              <w:rPr>
                <w:rFonts w:ascii="Arial" w:eastAsia="Times New Roman" w:hAnsi="Arial" w:cs="Arial"/>
                <w:b/>
                <w:bCs/>
                <w:color w:val="000000"/>
                <w:kern w:val="0"/>
                <w:sz w:val="20"/>
                <w:szCs w:val="20"/>
                <w:lang w:val="es-CR" w:eastAsia="es-CR" w:bidi="ar-SA"/>
              </w:rPr>
              <w:t>5</w:t>
            </w:r>
          </w:p>
        </w:tc>
      </w:tr>
      <w:tr w:rsidR="002D4E82" w:rsidRPr="00977BAC" w14:paraId="676BB358" w14:textId="77777777" w:rsidTr="007E55A1">
        <w:trPr>
          <w:trHeight w:val="276"/>
          <w:jc w:val="center"/>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FDD776C" w14:textId="77777777" w:rsidR="002D4E82" w:rsidRPr="001D01A5" w:rsidRDefault="002D4E82" w:rsidP="00977BAC">
            <w:pPr>
              <w:widowControl/>
              <w:suppressAutoHyphens w:val="0"/>
              <w:rPr>
                <w:rFonts w:ascii="Arial" w:eastAsia="Times New Roman" w:hAnsi="Arial" w:cs="Arial"/>
                <w:b/>
                <w:bCs/>
                <w:color w:val="000000"/>
                <w:kern w:val="0"/>
                <w:sz w:val="20"/>
                <w:szCs w:val="20"/>
                <w:lang w:val="es-CR" w:eastAsia="es-CR" w:bidi="ar-SA"/>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E3B4E30" w14:textId="77777777" w:rsidR="002D4E82" w:rsidRPr="001D01A5" w:rsidRDefault="002D4E82" w:rsidP="00977BAC">
            <w:pPr>
              <w:widowControl/>
              <w:suppressAutoHyphens w:val="0"/>
              <w:rPr>
                <w:rFonts w:ascii="Arial" w:eastAsia="Times New Roman" w:hAnsi="Arial" w:cs="Arial"/>
                <w:b/>
                <w:bCs/>
                <w:color w:val="000000"/>
                <w:kern w:val="0"/>
                <w:sz w:val="20"/>
                <w:szCs w:val="20"/>
                <w:lang w:val="es-CR" w:eastAsia="es-CR" w:bidi="ar-SA"/>
              </w:rPr>
            </w:pPr>
          </w:p>
        </w:tc>
      </w:tr>
      <w:tr w:rsidR="002D4E82" w:rsidRPr="00977BAC" w14:paraId="7358CB14" w14:textId="77777777" w:rsidTr="007E55A1">
        <w:trPr>
          <w:trHeight w:val="1224"/>
          <w:jc w:val="center"/>
        </w:trPr>
        <w:tc>
          <w:tcPr>
            <w:tcW w:w="5103" w:type="dxa"/>
            <w:tcBorders>
              <w:top w:val="single" w:sz="4" w:space="0" w:color="auto"/>
            </w:tcBorders>
            <w:shd w:val="clear" w:color="auto" w:fill="auto"/>
            <w:vAlign w:val="center"/>
            <w:hideMark/>
          </w:tcPr>
          <w:p w14:paraId="29CC1A07" w14:textId="77777777" w:rsidR="002D4E82" w:rsidRPr="001D01A5" w:rsidRDefault="002D4E82" w:rsidP="00977BAC">
            <w:pPr>
              <w:widowControl/>
              <w:suppressAutoHyphens w:val="0"/>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 xml:space="preserve">Análisis, diagnóstico y reporte anatomopatológico, neuropatológico o histopatológico.  </w:t>
            </w:r>
            <w:r w:rsidRPr="001D01A5">
              <w:rPr>
                <w:rFonts w:ascii="Arial" w:eastAsia="Times New Roman" w:hAnsi="Arial" w:cs="Arial"/>
                <w:color w:val="000000"/>
                <w:kern w:val="0"/>
                <w:sz w:val="20"/>
                <w:szCs w:val="20"/>
                <w:lang w:val="es-CR" w:eastAsia="es-CR" w:bidi="ar-SA"/>
              </w:rPr>
              <w:br/>
            </w:r>
            <w:r w:rsidRPr="001D01A5">
              <w:rPr>
                <w:rFonts w:ascii="Arial" w:eastAsia="Times New Roman" w:hAnsi="Arial" w:cs="Arial"/>
                <w:color w:val="000000"/>
                <w:kern w:val="0"/>
                <w:sz w:val="20"/>
                <w:szCs w:val="20"/>
                <w:lang w:val="es-CR" w:eastAsia="es-CR" w:bidi="ar-SA"/>
              </w:rPr>
              <w:br/>
              <w:t>(Este rubro es propuesto por el Departamento de Medicina Legal, dado que no se regula en el cuadro de honorarios del CMC, se aplicará el IPC)</w:t>
            </w:r>
          </w:p>
        </w:tc>
        <w:tc>
          <w:tcPr>
            <w:tcW w:w="3544" w:type="dxa"/>
            <w:tcBorders>
              <w:top w:val="single" w:sz="4" w:space="0" w:color="auto"/>
            </w:tcBorders>
            <w:shd w:val="clear" w:color="auto" w:fill="auto"/>
            <w:vAlign w:val="center"/>
            <w:hideMark/>
          </w:tcPr>
          <w:p w14:paraId="08029309" w14:textId="77777777" w:rsidR="002D4E82"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₡28 700,00</w:t>
            </w:r>
          </w:p>
          <w:p w14:paraId="6105CA2A" w14:textId="77777777" w:rsidR="001D1EEC" w:rsidRDefault="001D1EEC" w:rsidP="001D1EEC">
            <w:pPr>
              <w:rPr>
                <w:rFonts w:ascii="Arial" w:eastAsia="Times New Roman" w:hAnsi="Arial" w:cs="Arial"/>
                <w:color w:val="000000"/>
                <w:kern w:val="0"/>
                <w:sz w:val="20"/>
                <w:szCs w:val="20"/>
                <w:lang w:val="es-CR" w:eastAsia="es-CR" w:bidi="ar-SA"/>
              </w:rPr>
            </w:pPr>
          </w:p>
          <w:p w14:paraId="7258D9F1" w14:textId="77777777" w:rsidR="001D1EEC" w:rsidRDefault="001D1EEC" w:rsidP="001D1EEC">
            <w:pPr>
              <w:rPr>
                <w:rFonts w:ascii="Arial" w:eastAsia="Times New Roman" w:hAnsi="Arial" w:cs="Arial"/>
                <w:color w:val="000000"/>
                <w:kern w:val="0"/>
                <w:sz w:val="20"/>
                <w:szCs w:val="20"/>
                <w:lang w:val="es-CR" w:eastAsia="es-CR" w:bidi="ar-SA"/>
              </w:rPr>
            </w:pPr>
          </w:p>
          <w:p w14:paraId="160F36F8" w14:textId="36298826" w:rsidR="001D1EEC" w:rsidRPr="001D1EEC" w:rsidRDefault="001D1EEC" w:rsidP="001D1EEC">
            <w:pPr>
              <w:rPr>
                <w:rFonts w:ascii="Arial" w:eastAsia="Times New Roman" w:hAnsi="Arial" w:cs="Arial"/>
                <w:sz w:val="20"/>
                <w:szCs w:val="20"/>
                <w:lang w:val="es-CR" w:eastAsia="es-CR" w:bidi="ar-SA"/>
              </w:rPr>
            </w:pPr>
          </w:p>
        </w:tc>
      </w:tr>
      <w:tr w:rsidR="002D4E82" w:rsidRPr="00977BAC" w14:paraId="69CA006D" w14:textId="77777777" w:rsidTr="007E55A1">
        <w:trPr>
          <w:trHeight w:val="1224"/>
          <w:jc w:val="center"/>
        </w:trPr>
        <w:tc>
          <w:tcPr>
            <w:tcW w:w="5103" w:type="dxa"/>
            <w:shd w:val="clear" w:color="auto" w:fill="auto"/>
            <w:vAlign w:val="center"/>
            <w:hideMark/>
          </w:tcPr>
          <w:p w14:paraId="3073AE23"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Reporte de estudios de imágenes médicas (radiografías, ultrasonidos)</w:t>
            </w:r>
            <w:r w:rsidRPr="001D01A5">
              <w:rPr>
                <w:rFonts w:ascii="Arial" w:eastAsia="Times New Roman" w:hAnsi="Arial" w:cs="Arial"/>
                <w:color w:val="000000"/>
                <w:kern w:val="0"/>
                <w:sz w:val="20"/>
                <w:szCs w:val="20"/>
                <w:lang w:val="es-CR" w:eastAsia="es-CR" w:bidi="ar-SA"/>
              </w:rPr>
              <w:br/>
            </w:r>
            <w:r w:rsidRPr="001D01A5">
              <w:rPr>
                <w:rFonts w:ascii="Arial" w:eastAsia="Times New Roman" w:hAnsi="Arial" w:cs="Arial"/>
                <w:color w:val="000000"/>
                <w:kern w:val="0"/>
                <w:sz w:val="20"/>
                <w:szCs w:val="20"/>
                <w:lang w:val="es-CR" w:eastAsia="es-CR" w:bidi="ar-SA"/>
              </w:rPr>
              <w:br/>
              <w:t>No se incluye en estos reportes los ultrasonidos con y sin Doppler y TAC con y sin contraste, contemplados en el cuadro No. 6.</w:t>
            </w:r>
          </w:p>
        </w:tc>
        <w:tc>
          <w:tcPr>
            <w:tcW w:w="3544" w:type="dxa"/>
            <w:shd w:val="clear" w:color="auto" w:fill="auto"/>
            <w:vAlign w:val="center"/>
            <w:hideMark/>
          </w:tcPr>
          <w:p w14:paraId="60EC2F88"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₡10 000,00</w:t>
            </w:r>
          </w:p>
        </w:tc>
      </w:tr>
      <w:tr w:rsidR="00B43D92" w:rsidRPr="00977BAC" w14:paraId="555E8B9F" w14:textId="77777777" w:rsidTr="007E55A1">
        <w:trPr>
          <w:trHeight w:val="204"/>
          <w:jc w:val="center"/>
        </w:trPr>
        <w:tc>
          <w:tcPr>
            <w:tcW w:w="8647" w:type="dxa"/>
            <w:gridSpan w:val="2"/>
            <w:shd w:val="clear" w:color="auto" w:fill="F2F2F2" w:themeFill="background1" w:themeFillShade="F2"/>
            <w:vAlign w:val="center"/>
          </w:tcPr>
          <w:p w14:paraId="06F08D04" w14:textId="27018E09" w:rsidR="00B43D92" w:rsidRPr="00B43D92" w:rsidRDefault="00B43D92" w:rsidP="002D4E82">
            <w:pPr>
              <w:widowControl/>
              <w:suppressAutoHyphens w:val="0"/>
              <w:jc w:val="center"/>
              <w:rPr>
                <w:rFonts w:ascii="Arial" w:eastAsia="Times New Roman" w:hAnsi="Arial" w:cs="Arial"/>
                <w:b/>
                <w:bCs/>
                <w:color w:val="000000"/>
                <w:kern w:val="0"/>
                <w:sz w:val="20"/>
                <w:szCs w:val="20"/>
                <w:lang w:val="es-CR" w:eastAsia="es-CR" w:bidi="ar-SA"/>
              </w:rPr>
            </w:pPr>
            <w:r w:rsidRPr="00B43D92">
              <w:rPr>
                <w:rFonts w:ascii="Arial" w:eastAsia="Times New Roman" w:hAnsi="Arial" w:cs="Arial"/>
                <w:b/>
                <w:bCs/>
                <w:color w:val="000000"/>
                <w:kern w:val="0"/>
                <w:sz w:val="20"/>
                <w:szCs w:val="20"/>
                <w:lang w:val="es-CR" w:eastAsia="es-CR" w:bidi="ar-SA"/>
              </w:rPr>
              <w:t>Exámenes complementarios</w:t>
            </w:r>
          </w:p>
        </w:tc>
      </w:tr>
      <w:tr w:rsidR="002D4E82" w:rsidRPr="00977BAC" w14:paraId="152296F1" w14:textId="77777777" w:rsidTr="007E55A1">
        <w:trPr>
          <w:trHeight w:val="204"/>
          <w:jc w:val="center"/>
        </w:trPr>
        <w:tc>
          <w:tcPr>
            <w:tcW w:w="5103" w:type="dxa"/>
            <w:shd w:val="clear" w:color="auto" w:fill="auto"/>
            <w:vAlign w:val="center"/>
            <w:hideMark/>
          </w:tcPr>
          <w:p w14:paraId="6B7E27F2"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Audiometría</w:t>
            </w:r>
          </w:p>
        </w:tc>
        <w:tc>
          <w:tcPr>
            <w:tcW w:w="3544" w:type="dxa"/>
            <w:shd w:val="clear" w:color="auto" w:fill="auto"/>
            <w:vAlign w:val="center"/>
            <w:hideMark/>
          </w:tcPr>
          <w:p w14:paraId="61CF6B5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₡19 500,00</w:t>
            </w:r>
          </w:p>
        </w:tc>
      </w:tr>
      <w:tr w:rsidR="002D4E82" w:rsidRPr="00977BAC" w14:paraId="31E02B37" w14:textId="77777777" w:rsidTr="007E55A1">
        <w:trPr>
          <w:trHeight w:val="204"/>
          <w:jc w:val="center"/>
        </w:trPr>
        <w:tc>
          <w:tcPr>
            <w:tcW w:w="5103" w:type="dxa"/>
            <w:shd w:val="clear" w:color="auto" w:fill="auto"/>
            <w:vAlign w:val="center"/>
            <w:hideMark/>
          </w:tcPr>
          <w:p w14:paraId="6B0557F1"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Pruebas Dermatológicas de Parches y otros</w:t>
            </w:r>
          </w:p>
        </w:tc>
        <w:tc>
          <w:tcPr>
            <w:tcW w:w="3544" w:type="dxa"/>
            <w:shd w:val="clear" w:color="auto" w:fill="auto"/>
            <w:vAlign w:val="center"/>
            <w:hideMark/>
          </w:tcPr>
          <w:p w14:paraId="470BA1D3"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₡23 100,00</w:t>
            </w:r>
          </w:p>
        </w:tc>
      </w:tr>
      <w:tr w:rsidR="002D4E82" w:rsidRPr="00977BAC" w14:paraId="34B1367B" w14:textId="77777777" w:rsidTr="007E55A1">
        <w:trPr>
          <w:trHeight w:val="204"/>
          <w:jc w:val="center"/>
        </w:trPr>
        <w:tc>
          <w:tcPr>
            <w:tcW w:w="5103" w:type="dxa"/>
            <w:shd w:val="clear" w:color="auto" w:fill="auto"/>
            <w:vAlign w:val="center"/>
            <w:hideMark/>
          </w:tcPr>
          <w:p w14:paraId="7FE6AC8D"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Pruebas de capacidad respiratoria</w:t>
            </w:r>
          </w:p>
        </w:tc>
        <w:tc>
          <w:tcPr>
            <w:tcW w:w="3544" w:type="dxa"/>
            <w:shd w:val="clear" w:color="auto" w:fill="auto"/>
            <w:vAlign w:val="center"/>
            <w:hideMark/>
          </w:tcPr>
          <w:p w14:paraId="4F7699A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₡25 800,00</w:t>
            </w:r>
          </w:p>
        </w:tc>
      </w:tr>
      <w:tr w:rsidR="002D4E82" w:rsidRPr="00977BAC" w14:paraId="73478901" w14:textId="77777777" w:rsidTr="007E55A1">
        <w:trPr>
          <w:trHeight w:val="204"/>
          <w:jc w:val="center"/>
        </w:trPr>
        <w:tc>
          <w:tcPr>
            <w:tcW w:w="5103" w:type="dxa"/>
            <w:shd w:val="clear" w:color="auto" w:fill="auto"/>
            <w:vAlign w:val="center"/>
            <w:hideMark/>
          </w:tcPr>
          <w:p w14:paraId="0D83EF71"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Electroencefalograma</w:t>
            </w:r>
          </w:p>
        </w:tc>
        <w:tc>
          <w:tcPr>
            <w:tcW w:w="3544" w:type="dxa"/>
            <w:shd w:val="clear" w:color="auto" w:fill="auto"/>
            <w:vAlign w:val="center"/>
            <w:hideMark/>
          </w:tcPr>
          <w:p w14:paraId="198584F7"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₡38 900,00</w:t>
            </w:r>
          </w:p>
        </w:tc>
      </w:tr>
      <w:tr w:rsidR="002D4E82" w:rsidRPr="00977BAC" w14:paraId="76673F5C" w14:textId="77777777" w:rsidTr="007E55A1">
        <w:trPr>
          <w:trHeight w:val="204"/>
          <w:jc w:val="center"/>
        </w:trPr>
        <w:tc>
          <w:tcPr>
            <w:tcW w:w="5103" w:type="dxa"/>
            <w:shd w:val="clear" w:color="auto" w:fill="auto"/>
            <w:vAlign w:val="center"/>
            <w:hideMark/>
          </w:tcPr>
          <w:p w14:paraId="1A5FE114"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Electromiografía de miembros superiores</w:t>
            </w:r>
          </w:p>
        </w:tc>
        <w:tc>
          <w:tcPr>
            <w:tcW w:w="3544" w:type="dxa"/>
            <w:shd w:val="clear" w:color="auto" w:fill="auto"/>
            <w:vAlign w:val="center"/>
            <w:hideMark/>
          </w:tcPr>
          <w:p w14:paraId="6B4A7D87"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₡51 600,00</w:t>
            </w:r>
          </w:p>
        </w:tc>
      </w:tr>
      <w:tr w:rsidR="002D4E82" w:rsidRPr="00977BAC" w14:paraId="7BB2C01E" w14:textId="77777777" w:rsidTr="007E55A1">
        <w:trPr>
          <w:trHeight w:val="204"/>
          <w:jc w:val="center"/>
        </w:trPr>
        <w:tc>
          <w:tcPr>
            <w:tcW w:w="5103" w:type="dxa"/>
            <w:shd w:val="clear" w:color="auto" w:fill="auto"/>
            <w:vAlign w:val="center"/>
            <w:hideMark/>
          </w:tcPr>
          <w:p w14:paraId="71F69A7D"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Electromiografía de los cuatro miembros</w:t>
            </w:r>
          </w:p>
        </w:tc>
        <w:tc>
          <w:tcPr>
            <w:tcW w:w="3544" w:type="dxa"/>
            <w:shd w:val="clear" w:color="auto" w:fill="auto"/>
            <w:vAlign w:val="center"/>
            <w:hideMark/>
          </w:tcPr>
          <w:p w14:paraId="1C91A72C"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₡140 700,00</w:t>
            </w:r>
          </w:p>
        </w:tc>
      </w:tr>
      <w:tr w:rsidR="002D4E82" w:rsidRPr="00977BAC" w14:paraId="512D86E1" w14:textId="77777777" w:rsidTr="007E55A1">
        <w:trPr>
          <w:trHeight w:val="204"/>
          <w:jc w:val="center"/>
        </w:trPr>
        <w:tc>
          <w:tcPr>
            <w:tcW w:w="5103" w:type="dxa"/>
            <w:shd w:val="clear" w:color="auto" w:fill="auto"/>
            <w:vAlign w:val="center"/>
            <w:hideMark/>
          </w:tcPr>
          <w:p w14:paraId="13812D59"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Electrocardiograma</w:t>
            </w:r>
          </w:p>
        </w:tc>
        <w:tc>
          <w:tcPr>
            <w:tcW w:w="3544" w:type="dxa"/>
            <w:shd w:val="clear" w:color="auto" w:fill="auto"/>
            <w:vAlign w:val="center"/>
            <w:hideMark/>
          </w:tcPr>
          <w:p w14:paraId="5DB558EA"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₡26 000,00</w:t>
            </w:r>
          </w:p>
        </w:tc>
      </w:tr>
      <w:tr w:rsidR="002D4E82" w:rsidRPr="00977BAC" w14:paraId="438D134B" w14:textId="77777777" w:rsidTr="007E55A1">
        <w:trPr>
          <w:trHeight w:val="204"/>
          <w:jc w:val="center"/>
        </w:trPr>
        <w:tc>
          <w:tcPr>
            <w:tcW w:w="5103" w:type="dxa"/>
            <w:shd w:val="clear" w:color="auto" w:fill="auto"/>
            <w:vAlign w:val="center"/>
            <w:hideMark/>
          </w:tcPr>
          <w:p w14:paraId="5A9C35FC"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Radiografía de huesos</w:t>
            </w:r>
          </w:p>
        </w:tc>
        <w:tc>
          <w:tcPr>
            <w:tcW w:w="3544" w:type="dxa"/>
            <w:shd w:val="clear" w:color="auto" w:fill="auto"/>
            <w:vAlign w:val="center"/>
            <w:hideMark/>
          </w:tcPr>
          <w:p w14:paraId="35CFF2F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₡13 200,00</w:t>
            </w:r>
          </w:p>
        </w:tc>
      </w:tr>
      <w:tr w:rsidR="002D4E82" w:rsidRPr="00977BAC" w14:paraId="229F032A" w14:textId="77777777" w:rsidTr="007E55A1">
        <w:trPr>
          <w:trHeight w:val="204"/>
          <w:jc w:val="center"/>
        </w:trPr>
        <w:tc>
          <w:tcPr>
            <w:tcW w:w="5103" w:type="dxa"/>
            <w:shd w:val="clear" w:color="auto" w:fill="auto"/>
            <w:vAlign w:val="center"/>
            <w:hideMark/>
          </w:tcPr>
          <w:p w14:paraId="162A0D00"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Radiografía de tórax</w:t>
            </w:r>
          </w:p>
        </w:tc>
        <w:tc>
          <w:tcPr>
            <w:tcW w:w="3544" w:type="dxa"/>
            <w:shd w:val="clear" w:color="auto" w:fill="auto"/>
            <w:vAlign w:val="center"/>
            <w:hideMark/>
          </w:tcPr>
          <w:p w14:paraId="664169ED"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₡18 500,00</w:t>
            </w:r>
          </w:p>
        </w:tc>
      </w:tr>
      <w:tr w:rsidR="002D4E82" w:rsidRPr="00977BAC" w14:paraId="7930AAEE" w14:textId="77777777" w:rsidTr="007E55A1">
        <w:trPr>
          <w:trHeight w:val="204"/>
          <w:jc w:val="center"/>
        </w:trPr>
        <w:tc>
          <w:tcPr>
            <w:tcW w:w="5103" w:type="dxa"/>
            <w:shd w:val="clear" w:color="auto" w:fill="auto"/>
            <w:vAlign w:val="center"/>
            <w:hideMark/>
          </w:tcPr>
          <w:p w14:paraId="494939A0"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Radiografía de columna lumbosacra</w:t>
            </w:r>
          </w:p>
        </w:tc>
        <w:tc>
          <w:tcPr>
            <w:tcW w:w="3544" w:type="dxa"/>
            <w:shd w:val="clear" w:color="auto" w:fill="auto"/>
            <w:vAlign w:val="center"/>
            <w:hideMark/>
          </w:tcPr>
          <w:p w14:paraId="19348106"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₡18 500,00</w:t>
            </w:r>
          </w:p>
        </w:tc>
      </w:tr>
      <w:tr w:rsidR="002D4E82" w:rsidRPr="00977BAC" w14:paraId="0F597966" w14:textId="77777777" w:rsidTr="007E55A1">
        <w:trPr>
          <w:trHeight w:val="204"/>
          <w:jc w:val="center"/>
        </w:trPr>
        <w:tc>
          <w:tcPr>
            <w:tcW w:w="5103" w:type="dxa"/>
            <w:shd w:val="clear" w:color="auto" w:fill="auto"/>
            <w:vAlign w:val="center"/>
            <w:hideMark/>
          </w:tcPr>
          <w:p w14:paraId="5B1A543C"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Estudios oftalmológicos complementarios</w:t>
            </w:r>
          </w:p>
        </w:tc>
        <w:tc>
          <w:tcPr>
            <w:tcW w:w="3544" w:type="dxa"/>
            <w:shd w:val="clear" w:color="auto" w:fill="auto"/>
            <w:vAlign w:val="center"/>
            <w:hideMark/>
          </w:tcPr>
          <w:p w14:paraId="1C1E71AB"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₡26 000,00</w:t>
            </w:r>
          </w:p>
        </w:tc>
      </w:tr>
      <w:tr w:rsidR="002D4E82" w:rsidRPr="00977BAC" w14:paraId="4DCEED93" w14:textId="77777777" w:rsidTr="007E55A1">
        <w:trPr>
          <w:trHeight w:val="204"/>
          <w:jc w:val="center"/>
        </w:trPr>
        <w:tc>
          <w:tcPr>
            <w:tcW w:w="5103" w:type="dxa"/>
            <w:shd w:val="clear" w:color="auto" w:fill="auto"/>
            <w:vAlign w:val="center"/>
            <w:hideMark/>
          </w:tcPr>
          <w:p w14:paraId="76930A41"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Antropología Forense (Estudio en la Morgue Judicial)</w:t>
            </w:r>
          </w:p>
        </w:tc>
        <w:tc>
          <w:tcPr>
            <w:tcW w:w="3544" w:type="dxa"/>
            <w:shd w:val="clear" w:color="auto" w:fill="auto"/>
            <w:vAlign w:val="center"/>
            <w:hideMark/>
          </w:tcPr>
          <w:p w14:paraId="01FD5568"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₡217 200,00</w:t>
            </w:r>
          </w:p>
        </w:tc>
      </w:tr>
      <w:tr w:rsidR="002D4E82" w:rsidRPr="00977BAC" w14:paraId="767D1826" w14:textId="77777777" w:rsidTr="007E55A1">
        <w:trPr>
          <w:trHeight w:val="408"/>
          <w:jc w:val="center"/>
        </w:trPr>
        <w:tc>
          <w:tcPr>
            <w:tcW w:w="5103" w:type="dxa"/>
            <w:shd w:val="clear" w:color="auto" w:fill="auto"/>
            <w:vAlign w:val="center"/>
            <w:hideMark/>
          </w:tcPr>
          <w:p w14:paraId="167D0735"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Estudio de Campo de antropología Forense para levantamiento de restos óseos.</w:t>
            </w:r>
          </w:p>
        </w:tc>
        <w:tc>
          <w:tcPr>
            <w:tcW w:w="3544" w:type="dxa"/>
            <w:shd w:val="clear" w:color="auto" w:fill="auto"/>
            <w:vAlign w:val="center"/>
            <w:hideMark/>
          </w:tcPr>
          <w:p w14:paraId="558A37D2"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₡255 700,00</w:t>
            </w:r>
          </w:p>
        </w:tc>
      </w:tr>
      <w:tr w:rsidR="002D4E82" w:rsidRPr="00977BAC" w14:paraId="59B8DEE6" w14:textId="77777777" w:rsidTr="007E55A1">
        <w:trPr>
          <w:trHeight w:val="408"/>
          <w:jc w:val="center"/>
        </w:trPr>
        <w:tc>
          <w:tcPr>
            <w:tcW w:w="5103" w:type="dxa"/>
            <w:shd w:val="clear" w:color="auto" w:fill="auto"/>
            <w:vAlign w:val="center"/>
            <w:hideMark/>
          </w:tcPr>
          <w:p w14:paraId="38145F38"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Reconocimientos (exámenes) clínicos en caso de lesiones con su respectivo dictamen.</w:t>
            </w:r>
          </w:p>
        </w:tc>
        <w:tc>
          <w:tcPr>
            <w:tcW w:w="3544" w:type="dxa"/>
            <w:shd w:val="clear" w:color="auto" w:fill="auto"/>
            <w:vAlign w:val="center"/>
            <w:hideMark/>
          </w:tcPr>
          <w:p w14:paraId="0095B31A"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₡19 700,00</w:t>
            </w:r>
          </w:p>
        </w:tc>
      </w:tr>
      <w:tr w:rsidR="002D4E82" w:rsidRPr="00977BAC" w14:paraId="09F8B2D1" w14:textId="77777777" w:rsidTr="007E55A1">
        <w:trPr>
          <w:trHeight w:val="408"/>
          <w:jc w:val="center"/>
        </w:trPr>
        <w:tc>
          <w:tcPr>
            <w:tcW w:w="5103" w:type="dxa"/>
            <w:shd w:val="clear" w:color="auto" w:fill="auto"/>
            <w:vAlign w:val="center"/>
            <w:hideMark/>
          </w:tcPr>
          <w:p w14:paraId="244C01E3"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Reconocimiento de cadáveres y emisión del respectivo certificado de defunción.</w:t>
            </w:r>
          </w:p>
        </w:tc>
        <w:tc>
          <w:tcPr>
            <w:tcW w:w="3544" w:type="dxa"/>
            <w:shd w:val="clear" w:color="auto" w:fill="auto"/>
            <w:vAlign w:val="center"/>
            <w:hideMark/>
          </w:tcPr>
          <w:p w14:paraId="12F11D43"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₡32 200,00</w:t>
            </w:r>
          </w:p>
        </w:tc>
      </w:tr>
      <w:tr w:rsidR="002D4E82" w:rsidRPr="00977BAC" w14:paraId="4864EB8D" w14:textId="77777777" w:rsidTr="007E55A1">
        <w:trPr>
          <w:trHeight w:val="612"/>
          <w:jc w:val="center"/>
        </w:trPr>
        <w:tc>
          <w:tcPr>
            <w:tcW w:w="5103" w:type="dxa"/>
            <w:shd w:val="clear" w:color="auto" w:fill="auto"/>
            <w:vAlign w:val="center"/>
            <w:hideMark/>
          </w:tcPr>
          <w:p w14:paraId="24F0C06A"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Estudio de documentos médicos sin el reconocimiento clínico (Por cada expediente médico aportado por la Autoridad Judicial).</w:t>
            </w:r>
          </w:p>
        </w:tc>
        <w:tc>
          <w:tcPr>
            <w:tcW w:w="3544" w:type="dxa"/>
            <w:shd w:val="clear" w:color="auto" w:fill="auto"/>
            <w:vAlign w:val="center"/>
            <w:hideMark/>
          </w:tcPr>
          <w:p w14:paraId="431256BC"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₡13 200,00</w:t>
            </w:r>
          </w:p>
        </w:tc>
      </w:tr>
      <w:tr w:rsidR="002D4E82" w:rsidRPr="00977BAC" w14:paraId="715C71E2" w14:textId="77777777" w:rsidTr="007E55A1">
        <w:trPr>
          <w:trHeight w:val="408"/>
          <w:jc w:val="center"/>
        </w:trPr>
        <w:tc>
          <w:tcPr>
            <w:tcW w:w="5103" w:type="dxa"/>
            <w:shd w:val="clear" w:color="auto" w:fill="auto"/>
            <w:vAlign w:val="center"/>
            <w:hideMark/>
          </w:tcPr>
          <w:p w14:paraId="62AD4F1F"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Las ampliaciones y/o aclaraciones.  Hechas por la autoridad Judicial.</w:t>
            </w:r>
          </w:p>
        </w:tc>
        <w:tc>
          <w:tcPr>
            <w:tcW w:w="3544" w:type="dxa"/>
            <w:shd w:val="clear" w:color="auto" w:fill="auto"/>
            <w:vAlign w:val="center"/>
            <w:hideMark/>
          </w:tcPr>
          <w:p w14:paraId="2DC13C5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₡7 000,00</w:t>
            </w:r>
          </w:p>
        </w:tc>
      </w:tr>
      <w:tr w:rsidR="002D4E82" w:rsidRPr="00977BAC" w14:paraId="550472C0" w14:textId="77777777" w:rsidTr="007E55A1">
        <w:trPr>
          <w:trHeight w:val="408"/>
          <w:jc w:val="center"/>
        </w:trPr>
        <w:tc>
          <w:tcPr>
            <w:tcW w:w="5103" w:type="dxa"/>
            <w:shd w:val="clear" w:color="auto" w:fill="auto"/>
            <w:vAlign w:val="center"/>
            <w:hideMark/>
          </w:tcPr>
          <w:p w14:paraId="0289ED7B"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Si el médico tuviera que trasladarse para algún reconocimiento.</w:t>
            </w:r>
          </w:p>
        </w:tc>
        <w:tc>
          <w:tcPr>
            <w:tcW w:w="3544" w:type="dxa"/>
            <w:shd w:val="clear" w:color="auto" w:fill="auto"/>
            <w:vAlign w:val="center"/>
            <w:hideMark/>
          </w:tcPr>
          <w:p w14:paraId="00683D43"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₡13 200,00</w:t>
            </w:r>
          </w:p>
        </w:tc>
      </w:tr>
      <w:tr w:rsidR="00977BAC" w:rsidRPr="00977BAC" w14:paraId="415ACB4C" w14:textId="77777777" w:rsidTr="007E55A1">
        <w:trPr>
          <w:trHeight w:val="204"/>
          <w:jc w:val="center"/>
        </w:trPr>
        <w:tc>
          <w:tcPr>
            <w:tcW w:w="8647" w:type="dxa"/>
            <w:gridSpan w:val="2"/>
            <w:shd w:val="clear" w:color="auto" w:fill="auto"/>
            <w:vAlign w:val="center"/>
            <w:hideMark/>
          </w:tcPr>
          <w:p w14:paraId="26B32337"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Notas:</w:t>
            </w:r>
          </w:p>
        </w:tc>
      </w:tr>
      <w:tr w:rsidR="00977BAC" w:rsidRPr="00977BAC" w14:paraId="40661BCD" w14:textId="77777777" w:rsidTr="007E55A1">
        <w:trPr>
          <w:trHeight w:val="864"/>
          <w:jc w:val="center"/>
        </w:trPr>
        <w:tc>
          <w:tcPr>
            <w:tcW w:w="8647" w:type="dxa"/>
            <w:gridSpan w:val="2"/>
            <w:shd w:val="clear" w:color="auto" w:fill="auto"/>
            <w:vAlign w:val="center"/>
            <w:hideMark/>
          </w:tcPr>
          <w:p w14:paraId="429A9C2C" w14:textId="50904FE0" w:rsidR="00977BAC" w:rsidRPr="001D01A5" w:rsidRDefault="00006957" w:rsidP="00977BAC">
            <w:pPr>
              <w:widowControl/>
              <w:suppressAutoHyphens w:val="0"/>
              <w:jc w:val="both"/>
              <w:rPr>
                <w:rFonts w:ascii="Arial" w:eastAsia="Times New Roman" w:hAnsi="Arial" w:cs="Arial"/>
                <w:color w:val="000000"/>
                <w:kern w:val="0"/>
                <w:sz w:val="20"/>
                <w:szCs w:val="20"/>
                <w:lang w:val="es-CR" w:eastAsia="es-CR" w:bidi="ar-SA"/>
              </w:rPr>
            </w:pPr>
            <w:r w:rsidRPr="00006957">
              <w:rPr>
                <w:rFonts w:ascii="Arial" w:eastAsia="Times New Roman" w:hAnsi="Arial" w:cs="Arial"/>
                <w:b/>
                <w:bCs/>
                <w:color w:val="000000"/>
                <w:kern w:val="0"/>
                <w:sz w:val="20"/>
                <w:szCs w:val="20"/>
                <w:lang w:val="es-CR" w:eastAsia="es-CR" w:bidi="ar-SA"/>
              </w:rPr>
              <w:t>1</w:t>
            </w:r>
            <w:r w:rsidR="00977BAC" w:rsidRPr="00006957">
              <w:rPr>
                <w:rFonts w:ascii="Arial" w:eastAsia="Times New Roman" w:hAnsi="Arial" w:cs="Arial"/>
                <w:b/>
                <w:bCs/>
                <w:color w:val="000000"/>
                <w:kern w:val="0"/>
                <w:sz w:val="20"/>
                <w:szCs w:val="20"/>
                <w:lang w:val="es-CR" w:eastAsia="es-CR" w:bidi="ar-SA"/>
              </w:rPr>
              <w:t>.</w:t>
            </w:r>
            <w:r w:rsidR="00977BAC" w:rsidRPr="001D01A5">
              <w:rPr>
                <w:rFonts w:ascii="Arial" w:eastAsia="Times New Roman" w:hAnsi="Arial" w:cs="Arial"/>
                <w:color w:val="000000"/>
                <w:kern w:val="0"/>
                <w:sz w:val="20"/>
                <w:szCs w:val="20"/>
                <w:lang w:val="es-CR" w:eastAsia="es-CR" w:bidi="ar-SA"/>
              </w:rPr>
              <w:t xml:space="preserve"> Se aplica el 13% del IVA, por tratarse de honorarios que se pagan a los profesionales médicos como auxiliares de la administración de justicia, por lo tanto, no se aplica la tarifa reducida establecida en el Artículo 11 inciso 1.b. de la Ley 9635 de Fortalecimiento de las Finanzas Públicas.</w:t>
            </w:r>
          </w:p>
        </w:tc>
      </w:tr>
    </w:tbl>
    <w:p w14:paraId="0B230B51" w14:textId="7634446B" w:rsidR="005D5814" w:rsidRDefault="00062D00" w:rsidP="009C590C">
      <w:pPr>
        <w:widowControl/>
        <w:suppressAutoHyphens w:val="0"/>
        <w:rPr>
          <w:rFonts w:ascii="Arial" w:hAnsi="Arial" w:cs="Arial"/>
          <w:sz w:val="22"/>
          <w:szCs w:val="22"/>
        </w:rPr>
      </w:pPr>
      <w:r>
        <w:rPr>
          <w:rFonts w:ascii="Arial" w:hAnsi="Arial" w:cs="Arial"/>
          <w:sz w:val="22"/>
          <w:szCs w:val="22"/>
        </w:rPr>
        <w:br w:type="page"/>
      </w:r>
    </w:p>
    <w:tbl>
      <w:tblPr>
        <w:tblW w:w="9214" w:type="dxa"/>
        <w:tblCellMar>
          <w:left w:w="70" w:type="dxa"/>
          <w:right w:w="70" w:type="dxa"/>
        </w:tblCellMar>
        <w:tblLook w:val="04A0" w:firstRow="1" w:lastRow="0" w:firstColumn="1" w:lastColumn="0" w:noHBand="0" w:noVBand="1"/>
      </w:tblPr>
      <w:tblGrid>
        <w:gridCol w:w="4253"/>
        <w:gridCol w:w="1603"/>
        <w:gridCol w:w="1515"/>
        <w:gridCol w:w="1843"/>
      </w:tblGrid>
      <w:tr w:rsidR="00977BAC" w:rsidRPr="00460696" w14:paraId="0473A0DB" w14:textId="77777777" w:rsidTr="007E55A1">
        <w:trPr>
          <w:trHeight w:val="204"/>
        </w:trPr>
        <w:tc>
          <w:tcPr>
            <w:tcW w:w="9214" w:type="dxa"/>
            <w:gridSpan w:val="4"/>
            <w:tcBorders>
              <w:top w:val="nil"/>
              <w:left w:val="nil"/>
              <w:bottom w:val="nil"/>
              <w:right w:val="nil"/>
            </w:tcBorders>
            <w:shd w:val="clear" w:color="auto" w:fill="auto"/>
            <w:vAlign w:val="center"/>
            <w:hideMark/>
          </w:tcPr>
          <w:p w14:paraId="177F8EE5" w14:textId="374689A5" w:rsidR="00977BAC" w:rsidRPr="00460696"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lastRenderedPageBreak/>
              <w:t>CUADRO No. 5</w:t>
            </w:r>
          </w:p>
          <w:p w14:paraId="281B5004" w14:textId="77777777" w:rsidR="008404B8" w:rsidRPr="00460696"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p w14:paraId="4C12B341" w14:textId="0B1DF653" w:rsidR="00977BAC" w:rsidRPr="00460696"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460696" w14:paraId="75F0D673" w14:textId="77777777" w:rsidTr="007E55A1">
        <w:trPr>
          <w:trHeight w:val="204"/>
        </w:trPr>
        <w:tc>
          <w:tcPr>
            <w:tcW w:w="9214" w:type="dxa"/>
            <w:gridSpan w:val="4"/>
            <w:tcBorders>
              <w:top w:val="nil"/>
              <w:left w:val="nil"/>
              <w:bottom w:val="nil"/>
              <w:right w:val="nil"/>
            </w:tcBorders>
            <w:shd w:val="clear" w:color="auto" w:fill="auto"/>
            <w:vAlign w:val="center"/>
            <w:hideMark/>
          </w:tcPr>
          <w:p w14:paraId="62EE95AC" w14:textId="77777777" w:rsidR="00977BAC" w:rsidRPr="00460696"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Tarifas de Honorarios por Servicios Médicos Forenses y Especialidades Médicas</w:t>
            </w:r>
          </w:p>
        </w:tc>
      </w:tr>
      <w:tr w:rsidR="00977BAC" w:rsidRPr="00460696" w14:paraId="04144336" w14:textId="77777777" w:rsidTr="007E55A1">
        <w:trPr>
          <w:trHeight w:val="204"/>
        </w:trPr>
        <w:tc>
          <w:tcPr>
            <w:tcW w:w="9214" w:type="dxa"/>
            <w:gridSpan w:val="4"/>
            <w:tcBorders>
              <w:top w:val="nil"/>
              <w:left w:val="nil"/>
              <w:bottom w:val="nil"/>
              <w:right w:val="nil"/>
            </w:tcBorders>
            <w:shd w:val="clear" w:color="auto" w:fill="auto"/>
            <w:vAlign w:val="center"/>
            <w:hideMark/>
          </w:tcPr>
          <w:p w14:paraId="335FFA5B" w14:textId="77777777" w:rsidR="00977BAC" w:rsidRPr="00460696"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Honorarios actualizados con el 87.90% de los honorarios aprobados por el Colegio de Médicos y Cirujanos</w:t>
            </w:r>
          </w:p>
        </w:tc>
      </w:tr>
      <w:tr w:rsidR="00977BAC" w:rsidRPr="00460696" w14:paraId="30B7C684" w14:textId="77777777" w:rsidTr="007E55A1">
        <w:trPr>
          <w:trHeight w:val="204"/>
        </w:trPr>
        <w:tc>
          <w:tcPr>
            <w:tcW w:w="9214" w:type="dxa"/>
            <w:gridSpan w:val="4"/>
            <w:tcBorders>
              <w:top w:val="nil"/>
              <w:left w:val="nil"/>
              <w:bottom w:val="nil"/>
              <w:right w:val="nil"/>
            </w:tcBorders>
            <w:shd w:val="clear" w:color="auto" w:fill="auto"/>
            <w:vAlign w:val="center"/>
            <w:hideMark/>
          </w:tcPr>
          <w:p w14:paraId="18633367" w14:textId="37D45A2E" w:rsidR="00977BAC" w:rsidRPr="00460696"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Rige a partir del 01 de enero de 202</w:t>
            </w:r>
            <w:r w:rsidR="00795DFA" w:rsidRPr="00460696">
              <w:rPr>
                <w:rFonts w:ascii="Arial" w:eastAsia="Times New Roman" w:hAnsi="Arial" w:cs="Arial"/>
                <w:b/>
                <w:bCs/>
                <w:color w:val="000000"/>
                <w:kern w:val="0"/>
                <w:sz w:val="20"/>
                <w:szCs w:val="20"/>
                <w:lang w:val="es-CR" w:eastAsia="es-CR" w:bidi="ar-SA"/>
              </w:rPr>
              <w:t>5</w:t>
            </w:r>
          </w:p>
        </w:tc>
      </w:tr>
      <w:tr w:rsidR="00977BAC" w:rsidRPr="00460696" w14:paraId="7F6C0015" w14:textId="77777777" w:rsidTr="007E55A1">
        <w:trPr>
          <w:trHeight w:val="204"/>
        </w:trPr>
        <w:tc>
          <w:tcPr>
            <w:tcW w:w="4253" w:type="dxa"/>
            <w:tcBorders>
              <w:top w:val="nil"/>
              <w:left w:val="nil"/>
              <w:bottom w:val="nil"/>
              <w:right w:val="nil"/>
            </w:tcBorders>
            <w:shd w:val="clear" w:color="auto" w:fill="auto"/>
            <w:noWrap/>
            <w:vAlign w:val="center"/>
            <w:hideMark/>
          </w:tcPr>
          <w:p w14:paraId="15479677" w14:textId="77777777" w:rsidR="00977BAC" w:rsidRPr="00460696" w:rsidRDefault="00977BAC"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1603" w:type="dxa"/>
            <w:tcBorders>
              <w:top w:val="nil"/>
              <w:left w:val="nil"/>
              <w:bottom w:val="nil"/>
              <w:right w:val="nil"/>
            </w:tcBorders>
            <w:shd w:val="clear" w:color="auto" w:fill="auto"/>
            <w:noWrap/>
            <w:vAlign w:val="center"/>
            <w:hideMark/>
          </w:tcPr>
          <w:p w14:paraId="766404E8" w14:textId="77777777" w:rsidR="00977BAC" w:rsidRPr="00460696" w:rsidRDefault="00977BAC" w:rsidP="00977BAC">
            <w:pPr>
              <w:widowControl/>
              <w:suppressAutoHyphens w:val="0"/>
              <w:jc w:val="center"/>
              <w:rPr>
                <w:rFonts w:ascii="Arial" w:eastAsia="Times New Roman" w:hAnsi="Arial" w:cs="Arial"/>
                <w:kern w:val="0"/>
                <w:sz w:val="18"/>
                <w:szCs w:val="18"/>
                <w:lang w:val="es-CR" w:eastAsia="es-CR" w:bidi="ar-SA"/>
              </w:rPr>
            </w:pPr>
          </w:p>
        </w:tc>
        <w:tc>
          <w:tcPr>
            <w:tcW w:w="1515" w:type="dxa"/>
            <w:tcBorders>
              <w:top w:val="nil"/>
              <w:left w:val="nil"/>
              <w:bottom w:val="nil"/>
              <w:right w:val="nil"/>
            </w:tcBorders>
            <w:shd w:val="clear" w:color="auto" w:fill="auto"/>
            <w:noWrap/>
            <w:vAlign w:val="center"/>
            <w:hideMark/>
          </w:tcPr>
          <w:p w14:paraId="761D2287" w14:textId="77777777" w:rsidR="00977BAC" w:rsidRPr="00460696" w:rsidRDefault="00977BAC" w:rsidP="00977BAC">
            <w:pPr>
              <w:widowControl/>
              <w:suppressAutoHyphens w:val="0"/>
              <w:rPr>
                <w:rFonts w:ascii="Arial" w:eastAsia="Times New Roman" w:hAnsi="Arial" w:cs="Arial"/>
                <w:kern w:val="0"/>
                <w:sz w:val="18"/>
                <w:szCs w:val="18"/>
                <w:lang w:val="es-CR" w:eastAsia="es-CR" w:bidi="ar-SA"/>
              </w:rPr>
            </w:pPr>
          </w:p>
        </w:tc>
        <w:tc>
          <w:tcPr>
            <w:tcW w:w="1843" w:type="dxa"/>
            <w:tcBorders>
              <w:top w:val="nil"/>
              <w:left w:val="nil"/>
              <w:bottom w:val="nil"/>
              <w:right w:val="nil"/>
            </w:tcBorders>
            <w:shd w:val="clear" w:color="auto" w:fill="auto"/>
            <w:noWrap/>
            <w:vAlign w:val="center"/>
            <w:hideMark/>
          </w:tcPr>
          <w:p w14:paraId="56C284C3" w14:textId="77777777" w:rsidR="00977BAC" w:rsidRPr="00460696" w:rsidRDefault="00977BAC" w:rsidP="00977BAC">
            <w:pPr>
              <w:widowControl/>
              <w:suppressAutoHyphens w:val="0"/>
              <w:rPr>
                <w:rFonts w:ascii="Arial" w:eastAsia="Times New Roman" w:hAnsi="Arial" w:cs="Arial"/>
                <w:kern w:val="0"/>
                <w:sz w:val="18"/>
                <w:szCs w:val="18"/>
                <w:lang w:val="es-CR" w:eastAsia="es-CR" w:bidi="ar-SA"/>
              </w:rPr>
            </w:pPr>
          </w:p>
        </w:tc>
      </w:tr>
      <w:tr w:rsidR="00977BAC" w:rsidRPr="00460696" w14:paraId="7341F69E" w14:textId="77777777" w:rsidTr="007E55A1">
        <w:trPr>
          <w:trHeight w:val="1428"/>
        </w:trPr>
        <w:tc>
          <w:tcPr>
            <w:tcW w:w="425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D4C1E43" w14:textId="77777777" w:rsidR="00977BAC" w:rsidRPr="00460696" w:rsidRDefault="00977BAC" w:rsidP="00977BAC">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Peritaje, tipo de valoración o exámenes</w:t>
            </w:r>
          </w:p>
        </w:tc>
        <w:tc>
          <w:tcPr>
            <w:tcW w:w="1603" w:type="dxa"/>
            <w:tcBorders>
              <w:top w:val="single" w:sz="4" w:space="0" w:color="auto"/>
              <w:left w:val="nil"/>
              <w:bottom w:val="single" w:sz="4" w:space="0" w:color="auto"/>
              <w:right w:val="single" w:sz="4" w:space="0" w:color="auto"/>
            </w:tcBorders>
            <w:shd w:val="clear" w:color="000000" w:fill="E6E6E6"/>
            <w:vAlign w:val="center"/>
            <w:hideMark/>
          </w:tcPr>
          <w:p w14:paraId="1C31DB44" w14:textId="77777777" w:rsidR="00977BAC" w:rsidRPr="00460696" w:rsidRDefault="00977BAC" w:rsidP="00977BAC">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Honorarios Colegio de Médicos y Cirujanos</w:t>
            </w:r>
          </w:p>
        </w:tc>
        <w:tc>
          <w:tcPr>
            <w:tcW w:w="1515" w:type="dxa"/>
            <w:tcBorders>
              <w:top w:val="single" w:sz="4" w:space="0" w:color="auto"/>
              <w:left w:val="nil"/>
              <w:bottom w:val="single" w:sz="4" w:space="0" w:color="auto"/>
              <w:right w:val="single" w:sz="4" w:space="0" w:color="auto"/>
            </w:tcBorders>
            <w:shd w:val="clear" w:color="000000" w:fill="E6E6E6"/>
            <w:vAlign w:val="center"/>
            <w:hideMark/>
          </w:tcPr>
          <w:p w14:paraId="3FB57AF9" w14:textId="77777777" w:rsidR="00977BAC" w:rsidRPr="00460696" w:rsidRDefault="00977BAC" w:rsidP="00977BAC">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Porcentaje de actualización 87,90% CMC</w:t>
            </w:r>
          </w:p>
        </w:tc>
        <w:tc>
          <w:tcPr>
            <w:tcW w:w="1843" w:type="dxa"/>
            <w:tcBorders>
              <w:top w:val="single" w:sz="4" w:space="0" w:color="auto"/>
              <w:left w:val="nil"/>
              <w:bottom w:val="single" w:sz="4" w:space="0" w:color="auto"/>
              <w:right w:val="single" w:sz="4" w:space="0" w:color="auto"/>
            </w:tcBorders>
            <w:shd w:val="clear" w:color="000000" w:fill="E6E6E6"/>
            <w:vAlign w:val="center"/>
            <w:hideMark/>
          </w:tcPr>
          <w:p w14:paraId="303B6FEF" w14:textId="6361AD2F" w:rsidR="00977BAC" w:rsidRPr="00460696" w:rsidRDefault="00977BAC" w:rsidP="00977BAC">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Honorarios actualizados 202</w:t>
            </w:r>
            <w:r w:rsidR="00F60366" w:rsidRPr="00460696">
              <w:rPr>
                <w:rFonts w:ascii="Arial" w:eastAsia="Times New Roman" w:hAnsi="Arial" w:cs="Arial"/>
                <w:b/>
                <w:bCs/>
                <w:kern w:val="0"/>
                <w:sz w:val="20"/>
                <w:szCs w:val="20"/>
                <w:lang w:val="es-CR" w:eastAsia="es-CR" w:bidi="ar-SA"/>
              </w:rPr>
              <w:t>5</w:t>
            </w:r>
            <w:r w:rsidRPr="00460696">
              <w:rPr>
                <w:rFonts w:ascii="Arial" w:eastAsia="Times New Roman" w:hAnsi="Arial" w:cs="Arial"/>
                <w:b/>
                <w:bCs/>
                <w:kern w:val="0"/>
                <w:sz w:val="20"/>
                <w:szCs w:val="20"/>
                <w:lang w:val="es-CR" w:eastAsia="es-CR" w:bidi="ar-SA"/>
              </w:rPr>
              <w:t xml:space="preserve"> (redondeado a la centena superior próxima)</w:t>
            </w:r>
          </w:p>
        </w:tc>
      </w:tr>
      <w:tr w:rsidR="00977BAC" w:rsidRPr="00460696" w14:paraId="05BC1243" w14:textId="77777777" w:rsidTr="007E55A1">
        <w:trPr>
          <w:trHeight w:val="102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49F0096"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Visita domiciliaria para Médico Especialista más certificado médico (Exclusivo para Médicos Psiquiatras que valoren personas privadas en libertad del Centro de Atención para Personas con Enfermedades Mentales en Conflictos (Capemcol).</w:t>
            </w:r>
          </w:p>
        </w:tc>
        <w:tc>
          <w:tcPr>
            <w:tcW w:w="1603" w:type="dxa"/>
            <w:tcBorders>
              <w:top w:val="nil"/>
              <w:left w:val="nil"/>
              <w:bottom w:val="single" w:sz="4" w:space="0" w:color="auto"/>
              <w:right w:val="single" w:sz="4" w:space="0" w:color="auto"/>
            </w:tcBorders>
            <w:shd w:val="clear" w:color="auto" w:fill="auto"/>
            <w:vAlign w:val="center"/>
            <w:hideMark/>
          </w:tcPr>
          <w:p w14:paraId="22E657A1"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₡68 262,00</w:t>
            </w:r>
          </w:p>
        </w:tc>
        <w:tc>
          <w:tcPr>
            <w:tcW w:w="1515" w:type="dxa"/>
            <w:tcBorders>
              <w:top w:val="nil"/>
              <w:left w:val="nil"/>
              <w:bottom w:val="single" w:sz="4" w:space="0" w:color="auto"/>
              <w:right w:val="single" w:sz="4" w:space="0" w:color="auto"/>
            </w:tcBorders>
            <w:shd w:val="clear" w:color="auto" w:fill="auto"/>
            <w:vAlign w:val="center"/>
            <w:hideMark/>
          </w:tcPr>
          <w:p w14:paraId="79BC8CDB"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₡60 002,30</w:t>
            </w:r>
          </w:p>
        </w:tc>
        <w:tc>
          <w:tcPr>
            <w:tcW w:w="1843" w:type="dxa"/>
            <w:tcBorders>
              <w:top w:val="nil"/>
              <w:left w:val="nil"/>
              <w:bottom w:val="single" w:sz="4" w:space="0" w:color="auto"/>
              <w:right w:val="single" w:sz="4" w:space="0" w:color="auto"/>
            </w:tcBorders>
            <w:shd w:val="clear" w:color="auto" w:fill="auto"/>
            <w:vAlign w:val="center"/>
            <w:hideMark/>
          </w:tcPr>
          <w:p w14:paraId="5174B7CD"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₡60 100,00</w:t>
            </w:r>
          </w:p>
        </w:tc>
      </w:tr>
      <w:tr w:rsidR="00977BAC" w:rsidRPr="00460696" w14:paraId="4CF847F7" w14:textId="77777777" w:rsidTr="007E55A1">
        <w:trPr>
          <w:trHeight w:val="408"/>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B153F34"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Consulta clínica por médico especialista con redacción de informe.  Sin asistencia a juicio.</w:t>
            </w:r>
          </w:p>
        </w:tc>
        <w:tc>
          <w:tcPr>
            <w:tcW w:w="1603" w:type="dxa"/>
            <w:tcBorders>
              <w:top w:val="nil"/>
              <w:left w:val="nil"/>
              <w:bottom w:val="single" w:sz="4" w:space="0" w:color="auto"/>
              <w:right w:val="single" w:sz="4" w:space="0" w:color="auto"/>
            </w:tcBorders>
            <w:shd w:val="clear" w:color="auto" w:fill="auto"/>
            <w:vAlign w:val="center"/>
            <w:hideMark/>
          </w:tcPr>
          <w:p w14:paraId="19265D79"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₡53 093,00</w:t>
            </w:r>
          </w:p>
        </w:tc>
        <w:tc>
          <w:tcPr>
            <w:tcW w:w="1515" w:type="dxa"/>
            <w:tcBorders>
              <w:top w:val="nil"/>
              <w:left w:val="nil"/>
              <w:bottom w:val="single" w:sz="4" w:space="0" w:color="auto"/>
              <w:right w:val="single" w:sz="4" w:space="0" w:color="auto"/>
            </w:tcBorders>
            <w:shd w:val="clear" w:color="auto" w:fill="auto"/>
            <w:vAlign w:val="center"/>
            <w:hideMark/>
          </w:tcPr>
          <w:p w14:paraId="6FDCAB8B"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₡46 668,75</w:t>
            </w:r>
          </w:p>
        </w:tc>
        <w:tc>
          <w:tcPr>
            <w:tcW w:w="1843" w:type="dxa"/>
            <w:tcBorders>
              <w:top w:val="nil"/>
              <w:left w:val="nil"/>
              <w:bottom w:val="single" w:sz="4" w:space="0" w:color="auto"/>
              <w:right w:val="single" w:sz="4" w:space="0" w:color="auto"/>
            </w:tcBorders>
            <w:shd w:val="clear" w:color="auto" w:fill="auto"/>
            <w:vAlign w:val="center"/>
            <w:hideMark/>
          </w:tcPr>
          <w:p w14:paraId="7FADE35C"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₡46 700,00</w:t>
            </w:r>
          </w:p>
        </w:tc>
      </w:tr>
      <w:tr w:rsidR="00977BAC" w:rsidRPr="00460696" w14:paraId="392BBD55" w14:textId="77777777" w:rsidTr="007E55A1">
        <w:trPr>
          <w:trHeight w:val="816"/>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BEDBF32"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Valoración pericial por médico especialista con redacción de informe (incluye:  valoración de expedientes, valoración del paciente y redacción del informe).  Sin asistencia a juicio.</w:t>
            </w:r>
          </w:p>
        </w:tc>
        <w:tc>
          <w:tcPr>
            <w:tcW w:w="1603" w:type="dxa"/>
            <w:tcBorders>
              <w:top w:val="nil"/>
              <w:left w:val="nil"/>
              <w:bottom w:val="single" w:sz="4" w:space="0" w:color="auto"/>
              <w:right w:val="single" w:sz="4" w:space="0" w:color="auto"/>
            </w:tcBorders>
            <w:shd w:val="clear" w:color="auto" w:fill="auto"/>
            <w:vAlign w:val="center"/>
            <w:hideMark/>
          </w:tcPr>
          <w:p w14:paraId="1ACCD3A8"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₡164 047,00</w:t>
            </w:r>
          </w:p>
        </w:tc>
        <w:tc>
          <w:tcPr>
            <w:tcW w:w="1515" w:type="dxa"/>
            <w:tcBorders>
              <w:top w:val="nil"/>
              <w:left w:val="nil"/>
              <w:bottom w:val="single" w:sz="4" w:space="0" w:color="auto"/>
              <w:right w:val="single" w:sz="4" w:space="0" w:color="auto"/>
            </w:tcBorders>
            <w:shd w:val="clear" w:color="auto" w:fill="auto"/>
            <w:vAlign w:val="center"/>
            <w:hideMark/>
          </w:tcPr>
          <w:p w14:paraId="3EE09C7D"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₡144 197,31</w:t>
            </w:r>
          </w:p>
        </w:tc>
        <w:tc>
          <w:tcPr>
            <w:tcW w:w="1843" w:type="dxa"/>
            <w:tcBorders>
              <w:top w:val="nil"/>
              <w:left w:val="nil"/>
              <w:bottom w:val="single" w:sz="4" w:space="0" w:color="auto"/>
              <w:right w:val="single" w:sz="4" w:space="0" w:color="auto"/>
            </w:tcBorders>
            <w:shd w:val="clear" w:color="auto" w:fill="auto"/>
            <w:vAlign w:val="center"/>
            <w:hideMark/>
          </w:tcPr>
          <w:p w14:paraId="49E033B0"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₡144 200,00</w:t>
            </w:r>
          </w:p>
        </w:tc>
      </w:tr>
      <w:tr w:rsidR="00977BAC" w:rsidRPr="00460696" w14:paraId="78574B47" w14:textId="77777777" w:rsidTr="007E55A1">
        <w:trPr>
          <w:trHeight w:val="612"/>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E0B29EA"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Redacción de informe pericial por médico especialista sin valoración clínica (incluye: análisis de expedientes o documentos médicos).  Sin asistencia a juicio.</w:t>
            </w:r>
          </w:p>
        </w:tc>
        <w:tc>
          <w:tcPr>
            <w:tcW w:w="1603" w:type="dxa"/>
            <w:tcBorders>
              <w:top w:val="nil"/>
              <w:left w:val="nil"/>
              <w:bottom w:val="single" w:sz="4" w:space="0" w:color="auto"/>
              <w:right w:val="single" w:sz="4" w:space="0" w:color="auto"/>
            </w:tcBorders>
            <w:shd w:val="clear" w:color="auto" w:fill="auto"/>
            <w:vAlign w:val="center"/>
            <w:hideMark/>
          </w:tcPr>
          <w:p w14:paraId="6D53CD26"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₡109 064,00</w:t>
            </w:r>
          </w:p>
        </w:tc>
        <w:tc>
          <w:tcPr>
            <w:tcW w:w="1515" w:type="dxa"/>
            <w:tcBorders>
              <w:top w:val="nil"/>
              <w:left w:val="nil"/>
              <w:bottom w:val="single" w:sz="4" w:space="0" w:color="auto"/>
              <w:right w:val="single" w:sz="4" w:space="0" w:color="auto"/>
            </w:tcBorders>
            <w:shd w:val="clear" w:color="auto" w:fill="auto"/>
            <w:vAlign w:val="center"/>
            <w:hideMark/>
          </w:tcPr>
          <w:p w14:paraId="42F20E29"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₡95 867,26</w:t>
            </w:r>
          </w:p>
        </w:tc>
        <w:tc>
          <w:tcPr>
            <w:tcW w:w="1843" w:type="dxa"/>
            <w:tcBorders>
              <w:top w:val="nil"/>
              <w:left w:val="nil"/>
              <w:bottom w:val="single" w:sz="4" w:space="0" w:color="auto"/>
              <w:right w:val="single" w:sz="4" w:space="0" w:color="auto"/>
            </w:tcBorders>
            <w:shd w:val="clear" w:color="auto" w:fill="auto"/>
            <w:vAlign w:val="center"/>
            <w:hideMark/>
          </w:tcPr>
          <w:p w14:paraId="5B160F56"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₡95 900,00</w:t>
            </w:r>
          </w:p>
        </w:tc>
      </w:tr>
      <w:tr w:rsidR="00977BAC" w:rsidRPr="00460696" w14:paraId="7CF613AF" w14:textId="77777777" w:rsidTr="007E55A1">
        <w:trPr>
          <w:trHeight w:val="204"/>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7EFD85B"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Asistencia a juicio de médico especialista, por hora.</w:t>
            </w:r>
          </w:p>
        </w:tc>
        <w:tc>
          <w:tcPr>
            <w:tcW w:w="1603" w:type="dxa"/>
            <w:tcBorders>
              <w:top w:val="nil"/>
              <w:left w:val="nil"/>
              <w:bottom w:val="single" w:sz="4" w:space="0" w:color="auto"/>
              <w:right w:val="single" w:sz="4" w:space="0" w:color="auto"/>
            </w:tcBorders>
            <w:shd w:val="clear" w:color="auto" w:fill="auto"/>
            <w:vAlign w:val="center"/>
            <w:hideMark/>
          </w:tcPr>
          <w:p w14:paraId="574BF4BF"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₡60 677,00</w:t>
            </w:r>
          </w:p>
        </w:tc>
        <w:tc>
          <w:tcPr>
            <w:tcW w:w="1515" w:type="dxa"/>
            <w:tcBorders>
              <w:top w:val="nil"/>
              <w:left w:val="nil"/>
              <w:bottom w:val="single" w:sz="4" w:space="0" w:color="auto"/>
              <w:right w:val="single" w:sz="4" w:space="0" w:color="auto"/>
            </w:tcBorders>
            <w:shd w:val="clear" w:color="auto" w:fill="auto"/>
            <w:vAlign w:val="center"/>
            <w:hideMark/>
          </w:tcPr>
          <w:p w14:paraId="17F92D7D"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₡53 335,08</w:t>
            </w:r>
          </w:p>
        </w:tc>
        <w:tc>
          <w:tcPr>
            <w:tcW w:w="1843" w:type="dxa"/>
            <w:tcBorders>
              <w:top w:val="nil"/>
              <w:left w:val="nil"/>
              <w:bottom w:val="single" w:sz="4" w:space="0" w:color="auto"/>
              <w:right w:val="single" w:sz="4" w:space="0" w:color="auto"/>
            </w:tcBorders>
            <w:shd w:val="clear" w:color="auto" w:fill="auto"/>
            <w:vAlign w:val="center"/>
            <w:hideMark/>
          </w:tcPr>
          <w:p w14:paraId="4D52CFAE"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₡53 400,00</w:t>
            </w:r>
          </w:p>
        </w:tc>
      </w:tr>
      <w:tr w:rsidR="00977BAC" w:rsidRPr="00460696" w14:paraId="3BFA5DC1" w14:textId="77777777" w:rsidTr="007E55A1">
        <w:trPr>
          <w:trHeight w:val="204"/>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75E19BD"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Asistencia a juicio de médico general, por hora.</w:t>
            </w:r>
          </w:p>
        </w:tc>
        <w:tc>
          <w:tcPr>
            <w:tcW w:w="1603" w:type="dxa"/>
            <w:tcBorders>
              <w:top w:val="nil"/>
              <w:left w:val="nil"/>
              <w:bottom w:val="single" w:sz="4" w:space="0" w:color="auto"/>
              <w:right w:val="single" w:sz="4" w:space="0" w:color="auto"/>
            </w:tcBorders>
            <w:shd w:val="clear" w:color="auto" w:fill="auto"/>
            <w:vAlign w:val="center"/>
            <w:hideMark/>
          </w:tcPr>
          <w:p w14:paraId="400E1032"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₡43 806,00</w:t>
            </w:r>
          </w:p>
        </w:tc>
        <w:tc>
          <w:tcPr>
            <w:tcW w:w="1515" w:type="dxa"/>
            <w:tcBorders>
              <w:top w:val="nil"/>
              <w:left w:val="nil"/>
              <w:bottom w:val="single" w:sz="4" w:space="0" w:color="auto"/>
              <w:right w:val="single" w:sz="4" w:space="0" w:color="auto"/>
            </w:tcBorders>
            <w:shd w:val="clear" w:color="auto" w:fill="auto"/>
            <w:vAlign w:val="center"/>
            <w:hideMark/>
          </w:tcPr>
          <w:p w14:paraId="76903244"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₡38 505,47</w:t>
            </w:r>
          </w:p>
        </w:tc>
        <w:tc>
          <w:tcPr>
            <w:tcW w:w="1843" w:type="dxa"/>
            <w:tcBorders>
              <w:top w:val="nil"/>
              <w:left w:val="nil"/>
              <w:bottom w:val="single" w:sz="4" w:space="0" w:color="auto"/>
              <w:right w:val="single" w:sz="4" w:space="0" w:color="auto"/>
            </w:tcBorders>
            <w:shd w:val="clear" w:color="auto" w:fill="auto"/>
            <w:vAlign w:val="center"/>
            <w:hideMark/>
          </w:tcPr>
          <w:p w14:paraId="14E54E52"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₡38 600,00</w:t>
            </w:r>
          </w:p>
        </w:tc>
      </w:tr>
      <w:tr w:rsidR="00977BAC" w:rsidRPr="00460696" w14:paraId="2D6591DC" w14:textId="77777777" w:rsidTr="007E55A1">
        <w:trPr>
          <w:trHeight w:val="408"/>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EEB9746" w14:textId="77777777" w:rsidR="00977BAC" w:rsidRPr="00460696" w:rsidRDefault="00977BAC" w:rsidP="00977BAC">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Ampliaciones por médico especialista con o sin paciente (con informe mismo monto de una consulta).</w:t>
            </w:r>
          </w:p>
        </w:tc>
        <w:tc>
          <w:tcPr>
            <w:tcW w:w="1603" w:type="dxa"/>
            <w:tcBorders>
              <w:top w:val="nil"/>
              <w:left w:val="nil"/>
              <w:bottom w:val="single" w:sz="4" w:space="0" w:color="auto"/>
              <w:right w:val="single" w:sz="4" w:space="0" w:color="auto"/>
            </w:tcBorders>
            <w:shd w:val="clear" w:color="auto" w:fill="auto"/>
            <w:vAlign w:val="center"/>
            <w:hideMark/>
          </w:tcPr>
          <w:p w14:paraId="7F1709F4"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₡53 093,00</w:t>
            </w:r>
          </w:p>
        </w:tc>
        <w:tc>
          <w:tcPr>
            <w:tcW w:w="1515" w:type="dxa"/>
            <w:tcBorders>
              <w:top w:val="nil"/>
              <w:left w:val="nil"/>
              <w:bottom w:val="single" w:sz="4" w:space="0" w:color="auto"/>
              <w:right w:val="single" w:sz="4" w:space="0" w:color="auto"/>
            </w:tcBorders>
            <w:shd w:val="clear" w:color="auto" w:fill="auto"/>
            <w:vAlign w:val="center"/>
            <w:hideMark/>
          </w:tcPr>
          <w:p w14:paraId="31E5D851"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₡46 668,75</w:t>
            </w:r>
          </w:p>
        </w:tc>
        <w:tc>
          <w:tcPr>
            <w:tcW w:w="1843" w:type="dxa"/>
            <w:tcBorders>
              <w:top w:val="nil"/>
              <w:left w:val="nil"/>
              <w:bottom w:val="single" w:sz="4" w:space="0" w:color="auto"/>
              <w:right w:val="single" w:sz="4" w:space="0" w:color="auto"/>
            </w:tcBorders>
            <w:shd w:val="clear" w:color="auto" w:fill="auto"/>
            <w:vAlign w:val="center"/>
            <w:hideMark/>
          </w:tcPr>
          <w:p w14:paraId="59A86CDF" w14:textId="77777777" w:rsidR="00977BAC" w:rsidRPr="00460696" w:rsidRDefault="00977BAC" w:rsidP="007E55A1">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₡46 700,00</w:t>
            </w:r>
          </w:p>
        </w:tc>
      </w:tr>
      <w:tr w:rsidR="00977BAC" w:rsidRPr="00460696" w14:paraId="17BD8F39" w14:textId="77777777" w:rsidTr="007E55A1">
        <w:trPr>
          <w:trHeight w:val="1371"/>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997F83" w14:textId="77777777" w:rsidR="00977BAC" w:rsidRPr="00460696"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 xml:space="preserve">NOTAS:  </w:t>
            </w:r>
            <w:r w:rsidRPr="00460696">
              <w:rPr>
                <w:rFonts w:ascii="Arial" w:eastAsia="Times New Roman" w:hAnsi="Arial" w:cs="Arial"/>
                <w:b/>
                <w:bCs/>
                <w:color w:val="000000"/>
                <w:kern w:val="0"/>
                <w:sz w:val="20"/>
                <w:szCs w:val="20"/>
                <w:lang w:val="es-CR" w:eastAsia="es-CR" w:bidi="ar-SA"/>
              </w:rPr>
              <w:br/>
              <w:t xml:space="preserve">1. </w:t>
            </w:r>
            <w:r w:rsidRPr="00460696">
              <w:rPr>
                <w:rFonts w:ascii="Arial" w:eastAsia="Times New Roman" w:hAnsi="Arial" w:cs="Arial"/>
                <w:color w:val="000000"/>
                <w:kern w:val="0"/>
                <w:sz w:val="20"/>
                <w:szCs w:val="20"/>
                <w:lang w:val="es-CR" w:eastAsia="es-CR" w:bidi="ar-SA"/>
              </w:rPr>
              <w:t xml:space="preserve"> Esta tabla se debe actualizar con base en el 87,90% de los honorarios vigentes y aprobados por el Colegio de Médicos y Cirujanos. </w:t>
            </w:r>
            <w:r w:rsidRPr="007E55A1">
              <w:rPr>
                <w:rFonts w:ascii="Arial" w:eastAsia="Times New Roman" w:hAnsi="Arial" w:cs="Arial"/>
                <w:color w:val="000000"/>
                <w:kern w:val="0"/>
                <w:sz w:val="20"/>
                <w:szCs w:val="20"/>
                <w:lang w:val="es-CR" w:eastAsia="es-CR" w:bidi="ar-SA"/>
              </w:rPr>
              <w:t>Revisados los últimos honorarios Médicos publicados en La Gaceta Alcance N°169 del jueves 02 de setiembre del 2021, referente al acuerdo de las tarifas mínimas tomado en sesión ordinaria de Junta de Gobierno número 2021-08-18 del 18 de agosto del 2021.</w:t>
            </w:r>
          </w:p>
        </w:tc>
      </w:tr>
      <w:tr w:rsidR="00977BAC" w:rsidRPr="00977BAC" w14:paraId="5FE92F6F" w14:textId="77777777" w:rsidTr="007E55A1">
        <w:trPr>
          <w:trHeight w:val="1050"/>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2C2DE2" w14:textId="77777777" w:rsidR="00977BAC" w:rsidRPr="001D01A5" w:rsidRDefault="00977BAC" w:rsidP="00977BAC">
            <w:pPr>
              <w:widowControl/>
              <w:suppressAutoHyphens w:val="0"/>
              <w:jc w:val="both"/>
              <w:rPr>
                <w:rFonts w:ascii="Arial" w:eastAsia="Times New Roman" w:hAnsi="Arial" w:cs="Arial"/>
                <w:color w:val="000000" w:themeColor="text1"/>
                <w:kern w:val="0"/>
                <w:sz w:val="20"/>
                <w:szCs w:val="20"/>
                <w:lang w:val="es-CR" w:eastAsia="es-CR" w:bidi="ar-SA"/>
              </w:rPr>
            </w:pPr>
            <w:r w:rsidRPr="00460696">
              <w:rPr>
                <w:rFonts w:ascii="Arial" w:eastAsia="Times New Roman" w:hAnsi="Arial" w:cs="Arial"/>
                <w:b/>
                <w:bCs/>
                <w:color w:val="000000" w:themeColor="text1"/>
                <w:kern w:val="0"/>
                <w:sz w:val="20"/>
                <w:szCs w:val="20"/>
                <w:lang w:val="es-CR" w:eastAsia="es-CR" w:bidi="ar-SA"/>
              </w:rPr>
              <w:t>2.</w:t>
            </w:r>
            <w:r w:rsidRPr="00460696">
              <w:rPr>
                <w:rFonts w:ascii="Arial" w:eastAsia="Times New Roman" w:hAnsi="Arial" w:cs="Arial"/>
                <w:color w:val="000000" w:themeColor="text1"/>
                <w:kern w:val="0"/>
                <w:sz w:val="20"/>
                <w:szCs w:val="20"/>
                <w:lang w:val="es-CR" w:eastAsia="es-CR" w:bidi="ar-SA"/>
              </w:rPr>
              <w:t xml:space="preserve"> Se aplica el 13% del IVA, por tratarse de honorarios que se pagan a los profesionales médicos como auxiliares de la administración de justicia, por lo tanto, no se aplica la tarifa reducida establecida en el Artículo 11 inciso 1.b. de la Ley 9635 de Fortalecimiento de las Finanzas Públicas.</w:t>
            </w:r>
          </w:p>
        </w:tc>
      </w:tr>
    </w:tbl>
    <w:p w14:paraId="4C8B4DBC" w14:textId="04972BD7" w:rsidR="00062D00" w:rsidRDefault="00062D00" w:rsidP="006A0034">
      <w:pPr>
        <w:jc w:val="both"/>
        <w:rPr>
          <w:rFonts w:ascii="Arial" w:hAnsi="Arial" w:cs="Arial"/>
          <w:sz w:val="22"/>
          <w:szCs w:val="22"/>
        </w:rPr>
      </w:pPr>
    </w:p>
    <w:p w14:paraId="37EB32A4" w14:textId="52665948" w:rsidR="005D5814" w:rsidRPr="00A975CD" w:rsidRDefault="00062D00" w:rsidP="00A975CD">
      <w:pPr>
        <w:widowControl/>
        <w:suppressAutoHyphens w:val="0"/>
        <w:rPr>
          <w:rFonts w:ascii="Arial" w:hAnsi="Arial" w:cs="Arial"/>
          <w:sz w:val="22"/>
          <w:szCs w:val="22"/>
        </w:rPr>
      </w:pPr>
      <w:r>
        <w:rPr>
          <w:rFonts w:ascii="Arial" w:hAnsi="Arial" w:cs="Arial"/>
          <w:sz w:val="22"/>
          <w:szCs w:val="22"/>
        </w:rPr>
        <w:br w:type="page"/>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4253"/>
      </w:tblGrid>
      <w:tr w:rsidR="00977BAC" w:rsidRPr="00977BAC" w14:paraId="66717E40" w14:textId="77777777" w:rsidTr="001D01A5">
        <w:trPr>
          <w:trHeight w:val="327"/>
          <w:jc w:val="center"/>
        </w:trPr>
        <w:tc>
          <w:tcPr>
            <w:tcW w:w="8222" w:type="dxa"/>
            <w:gridSpan w:val="2"/>
            <w:tcBorders>
              <w:top w:val="nil"/>
              <w:left w:val="nil"/>
              <w:bottom w:val="nil"/>
              <w:right w:val="nil"/>
            </w:tcBorders>
            <w:shd w:val="clear" w:color="auto" w:fill="auto"/>
            <w:vAlign w:val="center"/>
            <w:hideMark/>
          </w:tcPr>
          <w:p w14:paraId="2C24C351" w14:textId="77777777" w:rsidR="00977BAC"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6</w:t>
            </w:r>
          </w:p>
          <w:p w14:paraId="344216CD" w14:textId="41386919" w:rsidR="00D27CBA" w:rsidRPr="00062D00"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07F03C0A" w14:textId="77777777" w:rsidTr="001D01A5">
        <w:trPr>
          <w:trHeight w:val="264"/>
          <w:jc w:val="center"/>
        </w:trPr>
        <w:tc>
          <w:tcPr>
            <w:tcW w:w="8222" w:type="dxa"/>
            <w:gridSpan w:val="2"/>
            <w:tcBorders>
              <w:top w:val="nil"/>
              <w:left w:val="nil"/>
              <w:bottom w:val="nil"/>
              <w:right w:val="nil"/>
            </w:tcBorders>
            <w:shd w:val="clear" w:color="auto" w:fill="auto"/>
            <w:vAlign w:val="center"/>
            <w:hideMark/>
          </w:tcPr>
          <w:p w14:paraId="2B055DE7" w14:textId="77777777"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Honorarios por Servicios Médicos Forenses y Especialidades Médicas</w:t>
            </w:r>
          </w:p>
        </w:tc>
      </w:tr>
      <w:tr w:rsidR="00977BAC" w:rsidRPr="00977BAC" w14:paraId="1995B176" w14:textId="77777777" w:rsidTr="001D01A5">
        <w:trPr>
          <w:trHeight w:val="204"/>
          <w:jc w:val="center"/>
        </w:trPr>
        <w:tc>
          <w:tcPr>
            <w:tcW w:w="8222" w:type="dxa"/>
            <w:gridSpan w:val="2"/>
            <w:tcBorders>
              <w:top w:val="nil"/>
              <w:left w:val="nil"/>
              <w:bottom w:val="nil"/>
              <w:right w:val="nil"/>
            </w:tcBorders>
            <w:shd w:val="clear" w:color="auto" w:fill="auto"/>
            <w:vAlign w:val="center"/>
            <w:hideMark/>
          </w:tcPr>
          <w:p w14:paraId="1B07E981" w14:textId="12808ECD"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B51B24">
              <w:rPr>
                <w:rFonts w:ascii="Arial" w:eastAsia="Times New Roman" w:hAnsi="Arial" w:cs="Arial"/>
                <w:b/>
                <w:bCs/>
                <w:color w:val="000000"/>
                <w:kern w:val="0"/>
                <w:sz w:val="20"/>
                <w:szCs w:val="20"/>
                <w:lang w:val="es-CR" w:eastAsia="es-CR" w:bidi="ar-SA"/>
              </w:rPr>
              <w:t>5</w:t>
            </w:r>
          </w:p>
        </w:tc>
      </w:tr>
      <w:tr w:rsidR="00362E51" w:rsidRPr="00977BAC" w14:paraId="6E53B28D" w14:textId="77777777" w:rsidTr="001D01A5">
        <w:trPr>
          <w:trHeight w:val="204"/>
          <w:jc w:val="center"/>
        </w:trPr>
        <w:tc>
          <w:tcPr>
            <w:tcW w:w="3969" w:type="dxa"/>
            <w:tcBorders>
              <w:top w:val="nil"/>
              <w:left w:val="nil"/>
              <w:bottom w:val="single" w:sz="4" w:space="0" w:color="auto"/>
              <w:right w:val="nil"/>
            </w:tcBorders>
            <w:shd w:val="clear" w:color="auto" w:fill="auto"/>
            <w:noWrap/>
            <w:vAlign w:val="center"/>
            <w:hideMark/>
          </w:tcPr>
          <w:p w14:paraId="1EC5CD2B" w14:textId="77777777" w:rsidR="00362E51" w:rsidRPr="00977BAC" w:rsidRDefault="00362E51"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4253" w:type="dxa"/>
            <w:tcBorders>
              <w:top w:val="nil"/>
              <w:left w:val="nil"/>
              <w:bottom w:val="single" w:sz="4" w:space="0" w:color="auto"/>
              <w:right w:val="nil"/>
            </w:tcBorders>
            <w:shd w:val="clear" w:color="auto" w:fill="auto"/>
            <w:noWrap/>
            <w:vAlign w:val="center"/>
            <w:hideMark/>
          </w:tcPr>
          <w:p w14:paraId="255CA12C" w14:textId="77777777" w:rsidR="00362E51" w:rsidRPr="00977BAC" w:rsidRDefault="00362E51" w:rsidP="00362E51">
            <w:pPr>
              <w:widowControl/>
              <w:suppressAutoHyphens w:val="0"/>
              <w:jc w:val="center"/>
              <w:rPr>
                <w:rFonts w:ascii="Arial" w:eastAsia="Times New Roman" w:hAnsi="Arial" w:cs="Arial"/>
                <w:kern w:val="0"/>
                <w:sz w:val="18"/>
                <w:szCs w:val="18"/>
                <w:lang w:val="es-CR" w:eastAsia="es-CR" w:bidi="ar-SA"/>
              </w:rPr>
            </w:pPr>
          </w:p>
        </w:tc>
      </w:tr>
      <w:tr w:rsidR="00362E51" w:rsidRPr="00977BAC" w14:paraId="0EA63E14" w14:textId="77777777" w:rsidTr="001D01A5">
        <w:trPr>
          <w:trHeight w:val="420"/>
          <w:jc w:val="center"/>
        </w:trPr>
        <w:tc>
          <w:tcPr>
            <w:tcW w:w="3969" w:type="dxa"/>
            <w:vMerge w:val="restart"/>
            <w:tcBorders>
              <w:top w:val="single" w:sz="4" w:space="0" w:color="auto"/>
            </w:tcBorders>
            <w:shd w:val="clear" w:color="000000" w:fill="E6E6E6"/>
            <w:vAlign w:val="center"/>
            <w:hideMark/>
          </w:tcPr>
          <w:p w14:paraId="1BF5ADFB" w14:textId="77777777" w:rsidR="00362E51" w:rsidRPr="001D01A5" w:rsidRDefault="00362E51" w:rsidP="00977BAC">
            <w:pPr>
              <w:widowControl/>
              <w:suppressAutoHyphens w:val="0"/>
              <w:jc w:val="center"/>
              <w:rPr>
                <w:rFonts w:ascii="Arial" w:eastAsia="Times New Roman" w:hAnsi="Arial" w:cs="Arial"/>
                <w:b/>
                <w:bCs/>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Peritaje, tipo de valoración o exámenes</w:t>
            </w:r>
          </w:p>
        </w:tc>
        <w:tc>
          <w:tcPr>
            <w:tcW w:w="4253" w:type="dxa"/>
            <w:vMerge w:val="restart"/>
            <w:tcBorders>
              <w:top w:val="single" w:sz="4" w:space="0" w:color="auto"/>
            </w:tcBorders>
            <w:shd w:val="clear" w:color="000000" w:fill="E6E6E6"/>
            <w:vAlign w:val="center"/>
            <w:hideMark/>
          </w:tcPr>
          <w:p w14:paraId="3B20393F" w14:textId="3FBEC4A1" w:rsidR="00362E51" w:rsidRPr="001D01A5"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B51B24">
              <w:rPr>
                <w:rFonts w:ascii="Arial" w:eastAsia="Times New Roman" w:hAnsi="Arial" w:cs="Arial"/>
                <w:b/>
                <w:bCs/>
                <w:color w:val="000000"/>
                <w:kern w:val="0"/>
                <w:sz w:val="20"/>
                <w:szCs w:val="20"/>
                <w:lang w:val="es-CR" w:eastAsia="es-CR" w:bidi="ar-SA"/>
              </w:rPr>
              <w:t>5</w:t>
            </w:r>
          </w:p>
        </w:tc>
      </w:tr>
      <w:tr w:rsidR="00362E51" w:rsidRPr="00977BAC" w14:paraId="7EA745A8" w14:textId="77777777" w:rsidTr="001D01A5">
        <w:trPr>
          <w:trHeight w:val="420"/>
          <w:jc w:val="center"/>
        </w:trPr>
        <w:tc>
          <w:tcPr>
            <w:tcW w:w="3969" w:type="dxa"/>
            <w:vMerge/>
            <w:vAlign w:val="center"/>
            <w:hideMark/>
          </w:tcPr>
          <w:p w14:paraId="1AA84D6D" w14:textId="77777777" w:rsidR="00362E51" w:rsidRPr="001D01A5" w:rsidRDefault="00362E51" w:rsidP="00977BAC">
            <w:pPr>
              <w:widowControl/>
              <w:suppressAutoHyphens w:val="0"/>
              <w:rPr>
                <w:rFonts w:ascii="Arial" w:eastAsia="Times New Roman" w:hAnsi="Arial" w:cs="Arial"/>
                <w:b/>
                <w:bCs/>
                <w:color w:val="000000"/>
                <w:kern w:val="0"/>
                <w:sz w:val="20"/>
                <w:szCs w:val="20"/>
                <w:lang w:val="es-CR" w:eastAsia="es-CR" w:bidi="ar-SA"/>
              </w:rPr>
            </w:pPr>
          </w:p>
        </w:tc>
        <w:tc>
          <w:tcPr>
            <w:tcW w:w="4253" w:type="dxa"/>
            <w:vMerge/>
            <w:vAlign w:val="center"/>
            <w:hideMark/>
          </w:tcPr>
          <w:p w14:paraId="45AEFF00" w14:textId="77777777" w:rsidR="00362E51" w:rsidRPr="001D01A5" w:rsidRDefault="00362E51" w:rsidP="00977BAC">
            <w:pPr>
              <w:widowControl/>
              <w:suppressAutoHyphens w:val="0"/>
              <w:rPr>
                <w:rFonts w:ascii="Arial" w:eastAsia="Times New Roman" w:hAnsi="Arial" w:cs="Arial"/>
                <w:b/>
                <w:bCs/>
                <w:color w:val="000000"/>
                <w:kern w:val="0"/>
                <w:sz w:val="20"/>
                <w:szCs w:val="20"/>
                <w:lang w:val="es-CR" w:eastAsia="es-CR" w:bidi="ar-SA"/>
              </w:rPr>
            </w:pPr>
          </w:p>
        </w:tc>
      </w:tr>
      <w:tr w:rsidR="00362E51" w:rsidRPr="00977BAC" w14:paraId="6FAC3501" w14:textId="77777777" w:rsidTr="001D01A5">
        <w:trPr>
          <w:trHeight w:val="408"/>
          <w:jc w:val="center"/>
        </w:trPr>
        <w:tc>
          <w:tcPr>
            <w:tcW w:w="3969" w:type="dxa"/>
            <w:shd w:val="clear" w:color="auto" w:fill="auto"/>
            <w:vAlign w:val="center"/>
            <w:hideMark/>
          </w:tcPr>
          <w:p w14:paraId="72282715"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Realizar y reportar ultrasonido (ultrasonido no doppler)</w:t>
            </w:r>
          </w:p>
        </w:tc>
        <w:tc>
          <w:tcPr>
            <w:tcW w:w="4253" w:type="dxa"/>
            <w:shd w:val="clear" w:color="auto" w:fill="auto"/>
            <w:vAlign w:val="center"/>
            <w:hideMark/>
          </w:tcPr>
          <w:p w14:paraId="09703483"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₡22 400,00</w:t>
            </w:r>
          </w:p>
        </w:tc>
      </w:tr>
      <w:tr w:rsidR="00362E51" w:rsidRPr="00977BAC" w14:paraId="5F6B5021" w14:textId="77777777" w:rsidTr="001D01A5">
        <w:trPr>
          <w:trHeight w:val="408"/>
          <w:jc w:val="center"/>
        </w:trPr>
        <w:tc>
          <w:tcPr>
            <w:tcW w:w="3969" w:type="dxa"/>
            <w:shd w:val="clear" w:color="auto" w:fill="auto"/>
            <w:vAlign w:val="center"/>
            <w:hideMark/>
          </w:tcPr>
          <w:p w14:paraId="3C7A4E51"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Realizar y reportar ultrasonido (ultrasonido doppler)</w:t>
            </w:r>
          </w:p>
        </w:tc>
        <w:tc>
          <w:tcPr>
            <w:tcW w:w="4253" w:type="dxa"/>
            <w:shd w:val="clear" w:color="auto" w:fill="auto"/>
            <w:vAlign w:val="center"/>
            <w:hideMark/>
          </w:tcPr>
          <w:p w14:paraId="3B1B4315"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₡39 100,00</w:t>
            </w:r>
          </w:p>
        </w:tc>
      </w:tr>
      <w:tr w:rsidR="00362E51" w:rsidRPr="00977BAC" w14:paraId="48C07DBB" w14:textId="77777777" w:rsidTr="001D01A5">
        <w:trPr>
          <w:trHeight w:val="408"/>
          <w:jc w:val="center"/>
        </w:trPr>
        <w:tc>
          <w:tcPr>
            <w:tcW w:w="3969" w:type="dxa"/>
            <w:shd w:val="clear" w:color="auto" w:fill="auto"/>
            <w:vAlign w:val="center"/>
            <w:hideMark/>
          </w:tcPr>
          <w:p w14:paraId="32EDED83"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Reportar estudio de TAC (tomografía computarizada sin contraste)</w:t>
            </w:r>
          </w:p>
        </w:tc>
        <w:tc>
          <w:tcPr>
            <w:tcW w:w="4253" w:type="dxa"/>
            <w:shd w:val="clear" w:color="auto" w:fill="auto"/>
            <w:vAlign w:val="center"/>
            <w:hideMark/>
          </w:tcPr>
          <w:p w14:paraId="6CBD872A"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₡39 100,00</w:t>
            </w:r>
          </w:p>
        </w:tc>
      </w:tr>
      <w:tr w:rsidR="00362E51" w:rsidRPr="00977BAC" w14:paraId="5599CB8B" w14:textId="77777777" w:rsidTr="001D01A5">
        <w:trPr>
          <w:trHeight w:val="612"/>
          <w:jc w:val="center"/>
        </w:trPr>
        <w:tc>
          <w:tcPr>
            <w:tcW w:w="3969" w:type="dxa"/>
            <w:shd w:val="clear" w:color="auto" w:fill="auto"/>
            <w:vAlign w:val="center"/>
            <w:hideMark/>
          </w:tcPr>
          <w:p w14:paraId="1BA44015"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Reportar y supervisar TAC (tomografía computarizada con contraste)</w:t>
            </w:r>
          </w:p>
        </w:tc>
        <w:tc>
          <w:tcPr>
            <w:tcW w:w="4253" w:type="dxa"/>
            <w:shd w:val="clear" w:color="auto" w:fill="auto"/>
            <w:vAlign w:val="center"/>
            <w:hideMark/>
          </w:tcPr>
          <w:p w14:paraId="073B349B"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₡44 700,00</w:t>
            </w:r>
          </w:p>
        </w:tc>
      </w:tr>
      <w:tr w:rsidR="00977BAC" w:rsidRPr="00977BAC" w14:paraId="550B4E75" w14:textId="77777777" w:rsidTr="001D01A5">
        <w:trPr>
          <w:trHeight w:val="304"/>
          <w:jc w:val="center"/>
        </w:trPr>
        <w:tc>
          <w:tcPr>
            <w:tcW w:w="3969" w:type="dxa"/>
            <w:shd w:val="clear" w:color="auto" w:fill="auto"/>
            <w:vAlign w:val="center"/>
            <w:hideMark/>
          </w:tcPr>
          <w:p w14:paraId="08226B3E"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Gastroscopía</w:t>
            </w:r>
          </w:p>
        </w:tc>
        <w:tc>
          <w:tcPr>
            <w:tcW w:w="4253" w:type="dxa"/>
            <w:vMerge w:val="restart"/>
            <w:shd w:val="clear" w:color="auto" w:fill="auto"/>
            <w:vAlign w:val="center"/>
            <w:hideMark/>
          </w:tcPr>
          <w:p w14:paraId="2B78D189" w14:textId="77777777" w:rsidR="00977BAC" w:rsidRPr="001D01A5"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En estos casos, por ser exámenes muy especializados y esporádicos, en la oportunidad en que se requieran, se deberá consultar al menos tres clínicas y hospitales reconocidos y se optará por la de menor precio. Previa autorización de la Dirección Ejecutiva.</w:t>
            </w:r>
          </w:p>
        </w:tc>
      </w:tr>
      <w:tr w:rsidR="00977BAC" w:rsidRPr="00977BAC" w14:paraId="68CB043D" w14:textId="77777777" w:rsidTr="001D01A5">
        <w:trPr>
          <w:trHeight w:val="365"/>
          <w:jc w:val="center"/>
        </w:trPr>
        <w:tc>
          <w:tcPr>
            <w:tcW w:w="3969" w:type="dxa"/>
            <w:shd w:val="clear" w:color="auto" w:fill="auto"/>
            <w:vAlign w:val="center"/>
            <w:hideMark/>
          </w:tcPr>
          <w:p w14:paraId="2DCDC89B"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Colonoscopía</w:t>
            </w:r>
          </w:p>
        </w:tc>
        <w:tc>
          <w:tcPr>
            <w:tcW w:w="4253" w:type="dxa"/>
            <w:vMerge/>
            <w:vAlign w:val="center"/>
            <w:hideMark/>
          </w:tcPr>
          <w:p w14:paraId="4A959D94"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5AAEF52B" w14:textId="77777777" w:rsidTr="001D01A5">
        <w:trPr>
          <w:trHeight w:val="283"/>
          <w:jc w:val="center"/>
        </w:trPr>
        <w:tc>
          <w:tcPr>
            <w:tcW w:w="3969" w:type="dxa"/>
            <w:shd w:val="clear" w:color="auto" w:fill="auto"/>
            <w:vAlign w:val="center"/>
            <w:hideMark/>
          </w:tcPr>
          <w:p w14:paraId="4F6E9152"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Rectoscopía</w:t>
            </w:r>
          </w:p>
        </w:tc>
        <w:tc>
          <w:tcPr>
            <w:tcW w:w="4253" w:type="dxa"/>
            <w:vMerge/>
            <w:vAlign w:val="center"/>
            <w:hideMark/>
          </w:tcPr>
          <w:p w14:paraId="5FC9C59D"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354CBDE6" w14:textId="77777777" w:rsidTr="001D01A5">
        <w:trPr>
          <w:trHeight w:val="342"/>
          <w:jc w:val="center"/>
        </w:trPr>
        <w:tc>
          <w:tcPr>
            <w:tcW w:w="3969" w:type="dxa"/>
            <w:shd w:val="clear" w:color="auto" w:fill="auto"/>
            <w:vAlign w:val="center"/>
            <w:hideMark/>
          </w:tcPr>
          <w:p w14:paraId="05006A5C"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Ecoestres</w:t>
            </w:r>
          </w:p>
        </w:tc>
        <w:tc>
          <w:tcPr>
            <w:tcW w:w="4253" w:type="dxa"/>
            <w:vMerge/>
            <w:vAlign w:val="center"/>
            <w:hideMark/>
          </w:tcPr>
          <w:p w14:paraId="7BFD08EF"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7C5FADEA" w14:textId="77777777" w:rsidTr="001D01A5">
        <w:trPr>
          <w:trHeight w:val="275"/>
          <w:jc w:val="center"/>
        </w:trPr>
        <w:tc>
          <w:tcPr>
            <w:tcW w:w="3969" w:type="dxa"/>
            <w:shd w:val="clear" w:color="auto" w:fill="auto"/>
            <w:vAlign w:val="center"/>
            <w:hideMark/>
          </w:tcPr>
          <w:p w14:paraId="5C1DEACF"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Pruebas de esfuerzo</w:t>
            </w:r>
          </w:p>
        </w:tc>
        <w:tc>
          <w:tcPr>
            <w:tcW w:w="4253" w:type="dxa"/>
            <w:vMerge/>
            <w:vAlign w:val="center"/>
            <w:hideMark/>
          </w:tcPr>
          <w:p w14:paraId="02C5E144"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78FD787B" w14:textId="77777777" w:rsidTr="001D01A5">
        <w:trPr>
          <w:trHeight w:val="1320"/>
          <w:jc w:val="center"/>
        </w:trPr>
        <w:tc>
          <w:tcPr>
            <w:tcW w:w="8222" w:type="dxa"/>
            <w:gridSpan w:val="2"/>
            <w:shd w:val="clear" w:color="auto" w:fill="auto"/>
            <w:vAlign w:val="center"/>
            <w:hideMark/>
          </w:tcPr>
          <w:p w14:paraId="7ED201E9" w14:textId="77777777" w:rsidR="00977BAC" w:rsidRDefault="00977BAC" w:rsidP="008A4388">
            <w:pPr>
              <w:widowControl/>
              <w:suppressAutoHyphens w:val="0"/>
              <w:jc w:val="both"/>
              <w:rPr>
                <w:rFonts w:ascii="Arial" w:eastAsia="Times New Roman" w:hAnsi="Arial" w:cs="Arial"/>
                <w:color w:val="000000"/>
                <w:kern w:val="0"/>
                <w:sz w:val="20"/>
                <w:szCs w:val="20"/>
                <w:lang w:eastAsia="es-CR" w:bidi="ar-SA"/>
              </w:rPr>
            </w:pPr>
            <w:r w:rsidRPr="001D01A5">
              <w:rPr>
                <w:rFonts w:ascii="Arial" w:eastAsia="Times New Roman" w:hAnsi="Arial" w:cs="Arial"/>
                <w:b/>
                <w:bCs/>
                <w:color w:val="000000"/>
                <w:kern w:val="0"/>
                <w:sz w:val="20"/>
                <w:szCs w:val="20"/>
                <w:lang w:val="es-CR" w:eastAsia="es-CR" w:bidi="ar-SA"/>
              </w:rPr>
              <w:t xml:space="preserve">Notas: </w:t>
            </w:r>
            <w:r w:rsidRPr="001D01A5">
              <w:rPr>
                <w:rFonts w:ascii="Arial" w:eastAsia="Times New Roman" w:hAnsi="Arial" w:cs="Arial"/>
                <w:b/>
                <w:bCs/>
                <w:color w:val="000000"/>
                <w:kern w:val="0"/>
                <w:sz w:val="20"/>
                <w:szCs w:val="20"/>
                <w:lang w:val="es-CR" w:eastAsia="es-CR" w:bidi="ar-SA"/>
              </w:rPr>
              <w:br/>
              <w:t>1.</w:t>
            </w:r>
            <w:r w:rsidR="006A1450" w:rsidRPr="001D01A5">
              <w:rPr>
                <w:rFonts w:ascii="Arial" w:eastAsia="Times New Roman" w:hAnsi="Arial" w:cs="Arial"/>
                <w:b/>
                <w:bCs/>
                <w:color w:val="000000"/>
                <w:kern w:val="0"/>
                <w:sz w:val="20"/>
                <w:szCs w:val="20"/>
                <w:lang w:val="es-CR" w:eastAsia="es-CR" w:bidi="ar-SA"/>
              </w:rPr>
              <w:t xml:space="preserve"> </w:t>
            </w:r>
            <w:r w:rsidRPr="001D01A5">
              <w:rPr>
                <w:rFonts w:ascii="Arial" w:eastAsia="Times New Roman" w:hAnsi="Arial" w:cs="Arial"/>
                <w:color w:val="000000"/>
                <w:kern w:val="0"/>
                <w:sz w:val="20"/>
                <w:szCs w:val="20"/>
                <w:lang w:val="es-CR" w:eastAsia="es-CR" w:bidi="ar-SA"/>
              </w:rPr>
              <w:t xml:space="preserve">Para el cálculo de los incrementos de los cuatro primeros exámenes se requiere hacer un estudio de mercado, conforme quedó aprobado en sesión del Consejo Superior No. 106-18 6-12-18 Art XIX y oficio 5631-DE-18 de la Dirección Ejecutiva. </w:t>
            </w:r>
            <w:r w:rsidRPr="007E55A1">
              <w:rPr>
                <w:rFonts w:ascii="Arial" w:eastAsia="Times New Roman" w:hAnsi="Arial" w:cs="Arial"/>
                <w:color w:val="000000"/>
                <w:kern w:val="0"/>
                <w:sz w:val="20"/>
                <w:szCs w:val="20"/>
                <w:lang w:val="es-CR" w:eastAsia="es-CR" w:bidi="ar-SA"/>
              </w:rPr>
              <w:t xml:space="preserve">Conforme lo indicado por el Departamento de Medicina Legal, en correo de la Licda. Johanna Villalobos Berrios de fecha </w:t>
            </w:r>
            <w:r w:rsidR="00F03106" w:rsidRPr="007E55A1">
              <w:rPr>
                <w:rFonts w:ascii="Arial" w:eastAsia="Times New Roman" w:hAnsi="Arial" w:cs="Arial"/>
                <w:color w:val="000000"/>
                <w:kern w:val="0"/>
                <w:sz w:val="20"/>
                <w:szCs w:val="20"/>
                <w:lang w:val="es-CR" w:eastAsia="es-CR" w:bidi="ar-SA"/>
              </w:rPr>
              <w:t>12</w:t>
            </w:r>
            <w:r w:rsidRPr="007E55A1">
              <w:rPr>
                <w:rFonts w:ascii="Arial" w:eastAsia="Times New Roman" w:hAnsi="Arial" w:cs="Arial"/>
                <w:color w:val="000000"/>
                <w:kern w:val="0"/>
                <w:sz w:val="20"/>
                <w:szCs w:val="20"/>
                <w:lang w:val="es-CR" w:eastAsia="es-CR" w:bidi="ar-SA"/>
              </w:rPr>
              <w:t>-</w:t>
            </w:r>
            <w:r w:rsidR="00F03106" w:rsidRPr="007E55A1">
              <w:rPr>
                <w:rFonts w:ascii="Arial" w:eastAsia="Times New Roman" w:hAnsi="Arial" w:cs="Arial"/>
                <w:color w:val="000000"/>
                <w:kern w:val="0"/>
                <w:sz w:val="20"/>
                <w:szCs w:val="20"/>
                <w:lang w:val="es-CR" w:eastAsia="es-CR" w:bidi="ar-SA"/>
              </w:rPr>
              <w:t>11</w:t>
            </w:r>
            <w:r w:rsidRPr="007E55A1">
              <w:rPr>
                <w:rFonts w:ascii="Arial" w:eastAsia="Times New Roman" w:hAnsi="Arial" w:cs="Arial"/>
                <w:color w:val="000000"/>
                <w:kern w:val="0"/>
                <w:sz w:val="20"/>
                <w:szCs w:val="20"/>
                <w:lang w:val="es-CR" w:eastAsia="es-CR" w:bidi="ar-SA"/>
              </w:rPr>
              <w:t xml:space="preserve">-2024, </w:t>
            </w:r>
            <w:r w:rsidR="00F03106" w:rsidRPr="007E55A1">
              <w:rPr>
                <w:rFonts w:ascii="Arial" w:eastAsia="Times New Roman" w:hAnsi="Arial" w:cs="Arial"/>
                <w:color w:val="000000"/>
                <w:kern w:val="0"/>
                <w:sz w:val="20"/>
                <w:szCs w:val="20"/>
                <w:lang w:eastAsia="es-CR" w:bidi="ar-SA"/>
              </w:rPr>
              <w:t>los porcentajes conocidos y autorizados por el Consejo Superior en su sesión N. 106-18 del 06 de diciembre de 2018 se han mantenido a lo largo de los años</w:t>
            </w:r>
            <w:r w:rsidR="00F03106" w:rsidRPr="007E55A1">
              <w:rPr>
                <w:rFonts w:ascii="Arial" w:eastAsia="Times New Roman" w:hAnsi="Arial" w:cs="Arial"/>
                <w:color w:val="000000"/>
                <w:kern w:val="0"/>
                <w:sz w:val="20"/>
                <w:szCs w:val="20"/>
                <w:lang w:eastAsia="es-CR" w:bidi="ar-SA"/>
              </w:rPr>
              <w:t>; por lo tanto, s</w:t>
            </w:r>
            <w:r w:rsidR="007E55A1" w:rsidRPr="007E55A1">
              <w:rPr>
                <w:rFonts w:ascii="Arial" w:eastAsia="Times New Roman" w:hAnsi="Arial" w:cs="Arial"/>
                <w:color w:val="000000"/>
                <w:kern w:val="0"/>
                <w:sz w:val="20"/>
                <w:szCs w:val="20"/>
                <w:lang w:eastAsia="es-CR" w:bidi="ar-SA"/>
              </w:rPr>
              <w:t xml:space="preserve">on razonables y se remienda aplicar únicamente el </w:t>
            </w:r>
            <w:r w:rsidRPr="007E55A1">
              <w:rPr>
                <w:rFonts w:ascii="Arial" w:eastAsia="Times New Roman" w:hAnsi="Arial" w:cs="Arial"/>
                <w:color w:val="000000"/>
                <w:kern w:val="0"/>
                <w:sz w:val="20"/>
                <w:szCs w:val="20"/>
                <w:lang w:eastAsia="es-CR" w:bidi="ar-SA"/>
              </w:rPr>
              <w:t>IPC.</w:t>
            </w:r>
            <w:r w:rsidR="000C6DF0" w:rsidRPr="007E55A1">
              <w:rPr>
                <w:rFonts w:ascii="Arial" w:eastAsia="Times New Roman" w:hAnsi="Arial" w:cs="Arial"/>
                <w:color w:val="000000"/>
                <w:kern w:val="0"/>
                <w:sz w:val="20"/>
                <w:szCs w:val="20"/>
                <w:lang w:eastAsia="es-CR" w:bidi="ar-SA"/>
              </w:rPr>
              <w:t xml:space="preserve"> No obstante, </w:t>
            </w:r>
            <w:r w:rsidR="007E55A1" w:rsidRPr="007E55A1">
              <w:rPr>
                <w:rFonts w:ascii="Arial" w:eastAsia="Times New Roman" w:hAnsi="Arial" w:cs="Arial"/>
                <w:color w:val="000000"/>
                <w:kern w:val="0"/>
                <w:sz w:val="20"/>
                <w:szCs w:val="20"/>
                <w:lang w:eastAsia="es-CR" w:bidi="ar-SA"/>
              </w:rPr>
              <w:t xml:space="preserve">se mantienen los montos del 2024, </w:t>
            </w:r>
            <w:r w:rsidR="000C6DF0" w:rsidRPr="007E55A1">
              <w:rPr>
                <w:rFonts w:ascii="Arial" w:eastAsia="Times New Roman" w:hAnsi="Arial" w:cs="Arial"/>
                <w:color w:val="000000"/>
                <w:kern w:val="0"/>
                <w:sz w:val="20"/>
                <w:szCs w:val="20"/>
                <w:lang w:eastAsia="es-CR" w:bidi="ar-SA"/>
              </w:rPr>
              <w:t xml:space="preserve">según </w:t>
            </w:r>
            <w:r w:rsidR="007E55A1" w:rsidRPr="007E55A1">
              <w:rPr>
                <w:rFonts w:ascii="Arial" w:eastAsia="Times New Roman" w:hAnsi="Arial" w:cs="Arial"/>
                <w:color w:val="000000"/>
                <w:kern w:val="0"/>
                <w:sz w:val="20"/>
                <w:szCs w:val="20"/>
                <w:lang w:eastAsia="es-CR" w:bidi="ar-SA"/>
              </w:rPr>
              <w:t xml:space="preserve">aprobado por el Consejo Superior en sesión N° </w:t>
            </w:r>
            <w:r w:rsidR="007E55A1" w:rsidRPr="007E55A1">
              <w:rPr>
                <w:rFonts w:ascii="Arial" w:eastAsia="Times New Roman" w:hAnsi="Arial" w:cs="Arial"/>
                <w:color w:val="000000"/>
                <w:kern w:val="0"/>
                <w:sz w:val="20"/>
                <w:szCs w:val="20"/>
                <w:lang w:eastAsia="es-CR" w:bidi="ar-SA"/>
              </w:rPr>
              <w:t>02-2025 celebrada el 09 de febrero de 2025</w:t>
            </w:r>
            <w:r w:rsidR="007E55A1" w:rsidRPr="007E55A1">
              <w:rPr>
                <w:rFonts w:ascii="Arial" w:eastAsia="Times New Roman" w:hAnsi="Arial" w:cs="Arial"/>
                <w:color w:val="000000"/>
                <w:kern w:val="0"/>
                <w:sz w:val="20"/>
                <w:szCs w:val="20"/>
                <w:lang w:eastAsia="es-CR" w:bidi="ar-SA"/>
              </w:rPr>
              <w:t>.</w:t>
            </w:r>
          </w:p>
          <w:p w14:paraId="7D9FDD65" w14:textId="07E0E560" w:rsidR="007E55A1" w:rsidRPr="00F03106" w:rsidRDefault="007E55A1" w:rsidP="008A4388">
            <w:pPr>
              <w:widowControl/>
              <w:suppressAutoHyphens w:val="0"/>
              <w:jc w:val="both"/>
              <w:rPr>
                <w:rFonts w:ascii="Arial" w:eastAsia="Times New Roman" w:hAnsi="Arial" w:cs="Arial"/>
                <w:color w:val="000000"/>
                <w:kern w:val="0"/>
                <w:sz w:val="20"/>
                <w:szCs w:val="20"/>
                <w:highlight w:val="yellow"/>
                <w:lang w:val="es-CR" w:eastAsia="es-CR" w:bidi="ar-SA"/>
              </w:rPr>
            </w:pPr>
          </w:p>
        </w:tc>
      </w:tr>
      <w:tr w:rsidR="00977BAC" w:rsidRPr="00977BAC" w14:paraId="4489B240" w14:textId="77777777" w:rsidTr="001D01A5">
        <w:trPr>
          <w:trHeight w:val="876"/>
          <w:jc w:val="center"/>
        </w:trPr>
        <w:tc>
          <w:tcPr>
            <w:tcW w:w="8222" w:type="dxa"/>
            <w:gridSpan w:val="2"/>
            <w:shd w:val="clear" w:color="auto" w:fill="auto"/>
            <w:vAlign w:val="center"/>
            <w:hideMark/>
          </w:tcPr>
          <w:p w14:paraId="2F03EC36" w14:textId="77777777" w:rsidR="00977BAC" w:rsidRPr="001D01A5"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2.</w:t>
            </w:r>
            <w:r w:rsidRPr="001D01A5">
              <w:rPr>
                <w:rFonts w:ascii="Arial" w:eastAsia="Times New Roman" w:hAnsi="Arial" w:cs="Arial"/>
                <w:color w:val="000000"/>
                <w:kern w:val="0"/>
                <w:sz w:val="20"/>
                <w:szCs w:val="20"/>
                <w:lang w:val="es-CR" w:eastAsia="es-CR" w:bidi="ar-SA"/>
              </w:rPr>
              <w:t xml:space="preserve"> Se aplica el 13% del IVA, por tratarse de honorarios que se pagan a los profesionales médicos como auxiliares de la administración de justicia, por lo tanto, no se aplica la tarifa reducida establecida en el Artículo 11 inciso 1.b. de la Ley 9635 de Fortalecimiento de las Finanzas Públicas.</w:t>
            </w:r>
          </w:p>
        </w:tc>
      </w:tr>
    </w:tbl>
    <w:p w14:paraId="60B10772" w14:textId="4C69A4B7" w:rsidR="00062D00" w:rsidRDefault="00062D00" w:rsidP="006A0034">
      <w:pPr>
        <w:rPr>
          <w:rFonts w:ascii="Arial" w:hAnsi="Arial" w:cs="Arial"/>
          <w:sz w:val="22"/>
          <w:szCs w:val="22"/>
          <w:highlight w:val="yellow"/>
          <w:lang w:val="es-CR"/>
        </w:rPr>
      </w:pPr>
    </w:p>
    <w:p w14:paraId="6DC8D393" w14:textId="51EC71AF" w:rsidR="005D5814" w:rsidRPr="009C590C" w:rsidRDefault="00062D00" w:rsidP="009C590C">
      <w:pPr>
        <w:widowControl/>
        <w:suppressAutoHyphens w:val="0"/>
        <w:rPr>
          <w:rFonts w:ascii="Arial" w:hAnsi="Arial" w:cs="Arial"/>
          <w:sz w:val="22"/>
          <w:szCs w:val="22"/>
          <w:lang w:val="es-CR"/>
        </w:rPr>
      </w:pPr>
      <w:r w:rsidRPr="0076116F">
        <w:rPr>
          <w:rFonts w:ascii="Arial" w:hAnsi="Arial" w:cs="Arial"/>
          <w:sz w:val="22"/>
          <w:szCs w:val="22"/>
          <w:lang w:val="es-CR"/>
        </w:rPr>
        <w:br w:type="page"/>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3827"/>
      </w:tblGrid>
      <w:tr w:rsidR="00977BAC" w:rsidRPr="00977BAC" w14:paraId="3337D802" w14:textId="77777777" w:rsidTr="00400D8A">
        <w:trPr>
          <w:trHeight w:val="204"/>
          <w:jc w:val="center"/>
        </w:trPr>
        <w:tc>
          <w:tcPr>
            <w:tcW w:w="8080" w:type="dxa"/>
            <w:gridSpan w:val="2"/>
            <w:tcBorders>
              <w:top w:val="nil"/>
              <w:left w:val="nil"/>
              <w:bottom w:val="nil"/>
              <w:right w:val="nil"/>
            </w:tcBorders>
            <w:shd w:val="clear" w:color="auto" w:fill="auto"/>
            <w:noWrap/>
            <w:vAlign w:val="center"/>
            <w:hideMark/>
          </w:tcPr>
          <w:p w14:paraId="21411B29" w14:textId="77777777" w:rsidR="00977BAC"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7</w:t>
            </w:r>
          </w:p>
          <w:p w14:paraId="2CF0F6C6" w14:textId="46F43279" w:rsidR="00D27CBA" w:rsidRPr="00062D00"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77AAE2B6" w14:textId="77777777" w:rsidTr="00400D8A">
        <w:trPr>
          <w:trHeight w:val="455"/>
          <w:jc w:val="center"/>
        </w:trPr>
        <w:tc>
          <w:tcPr>
            <w:tcW w:w="8080" w:type="dxa"/>
            <w:gridSpan w:val="2"/>
            <w:tcBorders>
              <w:top w:val="nil"/>
              <w:left w:val="nil"/>
              <w:bottom w:val="nil"/>
              <w:right w:val="nil"/>
            </w:tcBorders>
            <w:shd w:val="clear" w:color="auto" w:fill="auto"/>
            <w:vAlign w:val="center"/>
            <w:hideMark/>
          </w:tcPr>
          <w:p w14:paraId="0066828C" w14:textId="3A835C5E"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 xml:space="preserve">Tarifas de Honorarios para Actuarios Matemáticos, Traductores e Intérpretes en Idiomas Dialectos Indígenas y de Lenguaje de Señas Costarricense  </w:t>
            </w:r>
          </w:p>
        </w:tc>
      </w:tr>
      <w:tr w:rsidR="00977BAC" w:rsidRPr="00977BAC" w14:paraId="30157F0F" w14:textId="77777777" w:rsidTr="00400D8A">
        <w:trPr>
          <w:trHeight w:val="64"/>
          <w:jc w:val="center"/>
        </w:trPr>
        <w:tc>
          <w:tcPr>
            <w:tcW w:w="8080" w:type="dxa"/>
            <w:gridSpan w:val="2"/>
            <w:tcBorders>
              <w:top w:val="nil"/>
              <w:left w:val="nil"/>
              <w:bottom w:val="nil"/>
              <w:right w:val="nil"/>
            </w:tcBorders>
            <w:shd w:val="clear" w:color="auto" w:fill="auto"/>
            <w:noWrap/>
            <w:vAlign w:val="center"/>
            <w:hideMark/>
          </w:tcPr>
          <w:p w14:paraId="71C8669D" w14:textId="51618DA0"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B51B24">
              <w:rPr>
                <w:rFonts w:ascii="Arial" w:eastAsia="Times New Roman" w:hAnsi="Arial" w:cs="Arial"/>
                <w:b/>
                <w:bCs/>
                <w:color w:val="000000"/>
                <w:kern w:val="0"/>
                <w:sz w:val="20"/>
                <w:szCs w:val="20"/>
                <w:lang w:val="es-CR" w:eastAsia="es-CR" w:bidi="ar-SA"/>
              </w:rPr>
              <w:t>5</w:t>
            </w:r>
          </w:p>
        </w:tc>
      </w:tr>
      <w:tr w:rsidR="00C91830" w:rsidRPr="00977BAC" w14:paraId="77C96589" w14:textId="77777777" w:rsidTr="00400D8A">
        <w:trPr>
          <w:trHeight w:val="204"/>
          <w:jc w:val="center"/>
        </w:trPr>
        <w:tc>
          <w:tcPr>
            <w:tcW w:w="4253" w:type="dxa"/>
            <w:tcBorders>
              <w:top w:val="nil"/>
              <w:left w:val="nil"/>
              <w:bottom w:val="single" w:sz="4" w:space="0" w:color="auto"/>
              <w:right w:val="nil"/>
            </w:tcBorders>
            <w:shd w:val="clear" w:color="auto" w:fill="auto"/>
            <w:noWrap/>
            <w:vAlign w:val="center"/>
            <w:hideMark/>
          </w:tcPr>
          <w:p w14:paraId="43B83D30" w14:textId="77777777" w:rsidR="00C91830" w:rsidRPr="00977BAC" w:rsidRDefault="00C91830"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827" w:type="dxa"/>
            <w:tcBorders>
              <w:top w:val="nil"/>
              <w:left w:val="nil"/>
              <w:bottom w:val="single" w:sz="4" w:space="0" w:color="auto"/>
              <w:right w:val="nil"/>
            </w:tcBorders>
            <w:shd w:val="clear" w:color="auto" w:fill="auto"/>
            <w:noWrap/>
            <w:vAlign w:val="center"/>
            <w:hideMark/>
          </w:tcPr>
          <w:p w14:paraId="0E103302" w14:textId="77777777" w:rsidR="00C91830" w:rsidRPr="00977BAC" w:rsidRDefault="00C91830" w:rsidP="00977BAC">
            <w:pPr>
              <w:widowControl/>
              <w:suppressAutoHyphens w:val="0"/>
              <w:jc w:val="center"/>
              <w:rPr>
                <w:rFonts w:ascii="Arial" w:eastAsia="Times New Roman" w:hAnsi="Arial" w:cs="Arial"/>
                <w:kern w:val="0"/>
                <w:sz w:val="18"/>
                <w:szCs w:val="18"/>
                <w:lang w:val="es-CR" w:eastAsia="es-CR" w:bidi="ar-SA"/>
              </w:rPr>
            </w:pPr>
          </w:p>
        </w:tc>
      </w:tr>
      <w:tr w:rsidR="00C91830" w:rsidRPr="00977BAC" w14:paraId="2073EAEC" w14:textId="77777777" w:rsidTr="00400D8A">
        <w:trPr>
          <w:trHeight w:val="948"/>
          <w:jc w:val="center"/>
        </w:trPr>
        <w:tc>
          <w:tcPr>
            <w:tcW w:w="4253" w:type="dxa"/>
            <w:tcBorders>
              <w:top w:val="single" w:sz="4" w:space="0" w:color="auto"/>
            </w:tcBorders>
            <w:shd w:val="clear" w:color="000000" w:fill="D9D9D9"/>
            <w:vAlign w:val="center"/>
            <w:hideMark/>
          </w:tcPr>
          <w:p w14:paraId="04494065" w14:textId="77777777" w:rsidR="00C91830" w:rsidRPr="00400D8A" w:rsidRDefault="00C91830" w:rsidP="00977BAC">
            <w:pPr>
              <w:widowControl/>
              <w:suppressAutoHyphens w:val="0"/>
              <w:jc w:val="center"/>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Detalle</w:t>
            </w:r>
          </w:p>
        </w:tc>
        <w:tc>
          <w:tcPr>
            <w:tcW w:w="3827" w:type="dxa"/>
            <w:tcBorders>
              <w:top w:val="single" w:sz="4" w:space="0" w:color="auto"/>
            </w:tcBorders>
            <w:shd w:val="clear" w:color="000000" w:fill="D9D9D9"/>
            <w:vAlign w:val="center"/>
            <w:hideMark/>
          </w:tcPr>
          <w:p w14:paraId="09380D7B" w14:textId="0C981147" w:rsidR="00C91830" w:rsidRPr="00400D8A"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B51B24">
              <w:rPr>
                <w:rFonts w:ascii="Arial" w:eastAsia="Times New Roman" w:hAnsi="Arial" w:cs="Arial"/>
                <w:b/>
                <w:bCs/>
                <w:color w:val="000000"/>
                <w:kern w:val="0"/>
                <w:sz w:val="20"/>
                <w:szCs w:val="20"/>
                <w:lang w:val="es-CR" w:eastAsia="es-CR" w:bidi="ar-SA"/>
              </w:rPr>
              <w:t>5</w:t>
            </w:r>
          </w:p>
        </w:tc>
      </w:tr>
      <w:tr w:rsidR="00C91830" w:rsidRPr="00977BAC" w14:paraId="6CDFDCEB" w14:textId="77777777" w:rsidTr="00400D8A">
        <w:trPr>
          <w:trHeight w:val="612"/>
          <w:jc w:val="center"/>
        </w:trPr>
        <w:tc>
          <w:tcPr>
            <w:tcW w:w="4253" w:type="dxa"/>
            <w:shd w:val="clear" w:color="auto" w:fill="auto"/>
            <w:vAlign w:val="center"/>
            <w:hideMark/>
          </w:tcPr>
          <w:p w14:paraId="1A081E01" w14:textId="77777777" w:rsidR="00C91830" w:rsidRPr="00400D8A" w:rsidRDefault="00C91830" w:rsidP="00977BAC">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Actuarios Matemáticos daño moral y daño material (al que también se le denomina daño económico o daño patrimonial).</w:t>
            </w:r>
          </w:p>
        </w:tc>
        <w:tc>
          <w:tcPr>
            <w:tcW w:w="3827" w:type="dxa"/>
            <w:shd w:val="clear" w:color="auto" w:fill="auto"/>
            <w:vAlign w:val="center"/>
            <w:hideMark/>
          </w:tcPr>
          <w:p w14:paraId="4473BDAB" w14:textId="77777777" w:rsidR="00C91830" w:rsidRPr="00400D8A" w:rsidRDefault="00C91830" w:rsidP="00977BAC">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₡48 800,00</w:t>
            </w:r>
          </w:p>
        </w:tc>
      </w:tr>
      <w:tr w:rsidR="00C91830" w:rsidRPr="00977BAC" w14:paraId="23856AFC" w14:textId="77777777" w:rsidTr="00400D8A">
        <w:trPr>
          <w:trHeight w:val="408"/>
          <w:jc w:val="center"/>
        </w:trPr>
        <w:tc>
          <w:tcPr>
            <w:tcW w:w="4253" w:type="dxa"/>
            <w:shd w:val="clear" w:color="auto" w:fill="auto"/>
            <w:vAlign w:val="center"/>
            <w:hideMark/>
          </w:tcPr>
          <w:p w14:paraId="632B0886" w14:textId="77777777" w:rsidR="00C91830" w:rsidRPr="00400D8A" w:rsidRDefault="00C91830" w:rsidP="00977BAC">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Peritos intérpretes (por cada hora de traducción)</w:t>
            </w:r>
          </w:p>
        </w:tc>
        <w:tc>
          <w:tcPr>
            <w:tcW w:w="3827" w:type="dxa"/>
            <w:shd w:val="clear" w:color="auto" w:fill="auto"/>
            <w:vAlign w:val="center"/>
            <w:hideMark/>
          </w:tcPr>
          <w:p w14:paraId="04F2DEEA" w14:textId="77777777" w:rsidR="00C91830" w:rsidRPr="00400D8A" w:rsidRDefault="00C91830" w:rsidP="00977BAC">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₡20 500,00</w:t>
            </w:r>
          </w:p>
        </w:tc>
      </w:tr>
      <w:tr w:rsidR="00C91830" w:rsidRPr="00977BAC" w14:paraId="10117214" w14:textId="77777777" w:rsidTr="00400D8A">
        <w:trPr>
          <w:trHeight w:val="408"/>
          <w:jc w:val="center"/>
        </w:trPr>
        <w:tc>
          <w:tcPr>
            <w:tcW w:w="4253" w:type="dxa"/>
            <w:shd w:val="clear" w:color="auto" w:fill="auto"/>
            <w:vAlign w:val="center"/>
            <w:hideMark/>
          </w:tcPr>
          <w:p w14:paraId="50660D7A" w14:textId="77777777" w:rsidR="00C91830" w:rsidRPr="00400D8A" w:rsidRDefault="00C91830" w:rsidP="00977BAC">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Traducción escrita (por cada plana</w:t>
            </w:r>
            <w:r w:rsidRPr="00400D8A">
              <w:rPr>
                <w:rFonts w:ascii="Arial" w:eastAsia="Times New Roman" w:hAnsi="Arial" w:cs="Arial"/>
                <w:b/>
                <w:bCs/>
                <w:color w:val="000000"/>
                <w:kern w:val="0"/>
                <w:sz w:val="20"/>
                <w:szCs w:val="20"/>
                <w:lang w:val="es-CR" w:eastAsia="es-CR" w:bidi="ar-SA"/>
              </w:rPr>
              <w:t>*</w:t>
            </w:r>
            <w:r w:rsidRPr="00400D8A">
              <w:rPr>
                <w:rFonts w:ascii="Arial" w:eastAsia="Times New Roman" w:hAnsi="Arial" w:cs="Arial"/>
                <w:color w:val="000000"/>
                <w:kern w:val="0"/>
                <w:sz w:val="20"/>
                <w:szCs w:val="20"/>
                <w:lang w:val="es-CR" w:eastAsia="es-CR" w:bidi="ar-SA"/>
              </w:rPr>
              <w:t xml:space="preserve"> por traducir) </w:t>
            </w:r>
          </w:p>
        </w:tc>
        <w:tc>
          <w:tcPr>
            <w:tcW w:w="3827" w:type="dxa"/>
            <w:shd w:val="clear" w:color="auto" w:fill="auto"/>
            <w:vAlign w:val="center"/>
            <w:hideMark/>
          </w:tcPr>
          <w:p w14:paraId="761FE98B" w14:textId="77777777" w:rsidR="00C91830" w:rsidRPr="00400D8A" w:rsidRDefault="00C91830" w:rsidP="00977BAC">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₡7 100,00</w:t>
            </w:r>
          </w:p>
        </w:tc>
      </w:tr>
      <w:tr w:rsidR="00977BAC" w:rsidRPr="00977BAC" w14:paraId="4FF4C467" w14:textId="77777777" w:rsidTr="00400D8A">
        <w:trPr>
          <w:trHeight w:val="204"/>
          <w:jc w:val="center"/>
        </w:trPr>
        <w:tc>
          <w:tcPr>
            <w:tcW w:w="8080" w:type="dxa"/>
            <w:gridSpan w:val="2"/>
            <w:shd w:val="clear" w:color="auto" w:fill="auto"/>
            <w:vAlign w:val="center"/>
            <w:hideMark/>
          </w:tcPr>
          <w:p w14:paraId="085214CD" w14:textId="77777777" w:rsidR="00977BAC" w:rsidRPr="00400D8A" w:rsidRDefault="00977BAC" w:rsidP="00977BAC">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Notas:</w:t>
            </w:r>
          </w:p>
        </w:tc>
      </w:tr>
      <w:tr w:rsidR="00977BAC" w:rsidRPr="00977BAC" w14:paraId="613D05D1" w14:textId="77777777" w:rsidTr="00400D8A">
        <w:trPr>
          <w:trHeight w:val="396"/>
          <w:jc w:val="center"/>
        </w:trPr>
        <w:tc>
          <w:tcPr>
            <w:tcW w:w="8080" w:type="dxa"/>
            <w:gridSpan w:val="2"/>
            <w:shd w:val="clear" w:color="auto" w:fill="auto"/>
            <w:vAlign w:val="center"/>
            <w:hideMark/>
          </w:tcPr>
          <w:p w14:paraId="7C1F8BA4" w14:textId="77777777" w:rsidR="00977BAC" w:rsidRPr="00400D8A" w:rsidRDefault="00977BAC" w:rsidP="008A4388">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1. *</w:t>
            </w:r>
            <w:r w:rsidRPr="00400D8A">
              <w:rPr>
                <w:rFonts w:ascii="Arial" w:eastAsia="Times New Roman" w:hAnsi="Arial" w:cs="Arial"/>
                <w:color w:val="000000"/>
                <w:kern w:val="0"/>
                <w:sz w:val="20"/>
                <w:szCs w:val="20"/>
                <w:lang w:val="es-CR" w:eastAsia="es-CR" w:bidi="ar-SA"/>
              </w:rPr>
              <w:t>Entiéndase "</w:t>
            </w:r>
            <w:r w:rsidRPr="00400D8A">
              <w:rPr>
                <w:rFonts w:ascii="Arial" w:eastAsia="Times New Roman" w:hAnsi="Arial" w:cs="Arial"/>
                <w:b/>
                <w:bCs/>
                <w:color w:val="000000"/>
                <w:kern w:val="0"/>
                <w:sz w:val="20"/>
                <w:szCs w:val="20"/>
                <w:lang w:val="es-CR" w:eastAsia="es-CR" w:bidi="ar-SA"/>
              </w:rPr>
              <w:t>plana</w:t>
            </w:r>
            <w:r w:rsidRPr="00400D8A">
              <w:rPr>
                <w:rFonts w:ascii="Arial" w:eastAsia="Times New Roman" w:hAnsi="Arial" w:cs="Arial"/>
                <w:color w:val="000000"/>
                <w:kern w:val="0"/>
                <w:sz w:val="20"/>
                <w:szCs w:val="20"/>
                <w:lang w:val="es-CR" w:eastAsia="es-CR" w:bidi="ar-SA"/>
              </w:rPr>
              <w:t>" como una de las dos caras de una hoja.  La hoja se forma de anverso y reverso, dos páginas, dos caras o bien de dos planas.</w:t>
            </w:r>
          </w:p>
        </w:tc>
      </w:tr>
      <w:tr w:rsidR="00977BAC" w:rsidRPr="00977BAC" w14:paraId="2B4E2490" w14:textId="77777777" w:rsidTr="00400D8A">
        <w:trPr>
          <w:trHeight w:val="612"/>
          <w:jc w:val="center"/>
        </w:trPr>
        <w:tc>
          <w:tcPr>
            <w:tcW w:w="8080" w:type="dxa"/>
            <w:gridSpan w:val="2"/>
            <w:shd w:val="clear" w:color="auto" w:fill="auto"/>
            <w:vAlign w:val="center"/>
            <w:hideMark/>
          </w:tcPr>
          <w:p w14:paraId="7D150AD9" w14:textId="77777777" w:rsidR="00977BAC" w:rsidRPr="00400D8A"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2. Los montos indicados para traducción e interpretación son para aquellos procesos designados por gratuidad ver Circular 246-2021 Secretaría General de la Corte, denominada “Reiteración de la circular número 256-2014, denominada Lineamientos para el seguimiento de los nombramientos y pago de honorarios, de las personas auxiliares de la justicia”.</w:t>
            </w:r>
          </w:p>
        </w:tc>
      </w:tr>
      <w:tr w:rsidR="00977BAC" w:rsidRPr="00977BAC" w14:paraId="56596904" w14:textId="77777777" w:rsidTr="00400D8A">
        <w:trPr>
          <w:trHeight w:val="840"/>
          <w:jc w:val="center"/>
        </w:trPr>
        <w:tc>
          <w:tcPr>
            <w:tcW w:w="8080" w:type="dxa"/>
            <w:gridSpan w:val="2"/>
            <w:shd w:val="clear" w:color="auto" w:fill="auto"/>
            <w:vAlign w:val="center"/>
            <w:hideMark/>
          </w:tcPr>
          <w:p w14:paraId="45548404" w14:textId="4ACE64A9" w:rsidR="00977BAC" w:rsidRPr="00400D8A" w:rsidRDefault="00817AC4" w:rsidP="008A4388">
            <w:pPr>
              <w:widowControl/>
              <w:suppressAutoHyphens w:val="0"/>
              <w:jc w:val="both"/>
              <w:rPr>
                <w:rFonts w:ascii="Arial" w:eastAsia="Times New Roman" w:hAnsi="Arial" w:cs="Arial"/>
                <w:b/>
                <w:bCs/>
                <w:color w:val="000000"/>
                <w:kern w:val="0"/>
                <w:sz w:val="20"/>
                <w:szCs w:val="20"/>
                <w:lang w:val="es-CR" w:eastAsia="es-CR" w:bidi="ar-SA"/>
              </w:rPr>
            </w:pPr>
            <w:r>
              <w:rPr>
                <w:rFonts w:ascii="Arial" w:eastAsia="Times New Roman" w:hAnsi="Arial" w:cs="Arial"/>
                <w:b/>
                <w:bCs/>
                <w:color w:val="000000"/>
                <w:kern w:val="0"/>
                <w:sz w:val="20"/>
                <w:szCs w:val="20"/>
                <w:lang w:val="es-CR" w:eastAsia="es-CR" w:bidi="ar-SA"/>
              </w:rPr>
              <w:t>3</w:t>
            </w:r>
            <w:r w:rsidR="00977BAC" w:rsidRPr="00400D8A">
              <w:rPr>
                <w:rFonts w:ascii="Arial" w:eastAsia="Times New Roman" w:hAnsi="Arial" w:cs="Arial"/>
                <w:b/>
                <w:bCs/>
                <w:color w:val="000000"/>
                <w:kern w:val="0"/>
                <w:sz w:val="20"/>
                <w:szCs w:val="20"/>
                <w:lang w:val="es-CR" w:eastAsia="es-CR" w:bidi="ar-SA"/>
              </w:rPr>
              <w:t xml:space="preserve">.  </w:t>
            </w:r>
            <w:r w:rsidR="00977BAC" w:rsidRPr="00400D8A">
              <w:rPr>
                <w:rFonts w:ascii="Arial" w:eastAsia="Times New Roman" w:hAnsi="Arial" w:cs="Arial"/>
                <w:color w:val="000000"/>
                <w:kern w:val="0"/>
                <w:sz w:val="20"/>
                <w:szCs w:val="20"/>
                <w:lang w:val="es-CR" w:eastAsia="es-CR" w:bidi="ar-SA"/>
              </w:rPr>
              <w:t xml:space="preserve">A esta tabla No. 7, debe aplicarse lo dispuesto en la circular 86-2019 del 28 de junio del 2019, emitida por esta Dirección Ejecutiva, donde se establece </w:t>
            </w:r>
            <w:r w:rsidR="00977BAC" w:rsidRPr="00400D8A">
              <w:rPr>
                <w:rFonts w:ascii="Arial" w:eastAsia="Times New Roman" w:hAnsi="Arial" w:cs="Arial"/>
                <w:b/>
                <w:bCs/>
                <w:color w:val="000000"/>
                <w:kern w:val="0"/>
                <w:sz w:val="20"/>
                <w:szCs w:val="20"/>
                <w:lang w:val="es-CR" w:eastAsia="es-CR" w:bidi="ar-SA"/>
              </w:rPr>
              <w:t>que a los montos producto de los honorarios se les debe incluir el 13%</w:t>
            </w:r>
            <w:r w:rsidR="00977BAC" w:rsidRPr="00400D8A">
              <w:rPr>
                <w:rFonts w:ascii="Arial" w:eastAsia="Times New Roman" w:hAnsi="Arial" w:cs="Arial"/>
                <w:color w:val="000000"/>
                <w:kern w:val="0"/>
                <w:sz w:val="20"/>
                <w:szCs w:val="20"/>
                <w:lang w:val="es-CR" w:eastAsia="es-CR" w:bidi="ar-SA"/>
              </w:rPr>
              <w:t xml:space="preserve"> del IVA. Para el caso de interpretaciones en LESCO, este servicio está </w:t>
            </w:r>
            <w:r w:rsidR="006A1450" w:rsidRPr="00400D8A">
              <w:rPr>
                <w:rFonts w:ascii="Arial" w:eastAsia="Times New Roman" w:hAnsi="Arial" w:cs="Arial"/>
                <w:color w:val="000000"/>
                <w:kern w:val="0"/>
                <w:sz w:val="20"/>
                <w:szCs w:val="20"/>
                <w:lang w:val="es-CR" w:eastAsia="es-CR" w:bidi="ar-SA"/>
              </w:rPr>
              <w:t>exento</w:t>
            </w:r>
            <w:r w:rsidR="00977BAC" w:rsidRPr="00400D8A">
              <w:rPr>
                <w:rFonts w:ascii="Arial" w:eastAsia="Times New Roman" w:hAnsi="Arial" w:cs="Arial"/>
                <w:color w:val="000000"/>
                <w:kern w:val="0"/>
                <w:sz w:val="20"/>
                <w:szCs w:val="20"/>
                <w:lang w:val="es-CR" w:eastAsia="es-CR" w:bidi="ar-SA"/>
              </w:rPr>
              <w:t xml:space="preserve"> del pago del IVA, conforme se comunicó en la circular No. 118-2020 de la Dirección Ejecutiva. </w:t>
            </w:r>
          </w:p>
        </w:tc>
      </w:tr>
      <w:tr w:rsidR="00977BAC" w:rsidRPr="00977BAC" w14:paraId="13918940" w14:textId="77777777" w:rsidTr="00400D8A">
        <w:trPr>
          <w:trHeight w:val="1992"/>
          <w:jc w:val="center"/>
        </w:trPr>
        <w:tc>
          <w:tcPr>
            <w:tcW w:w="8080" w:type="dxa"/>
            <w:gridSpan w:val="2"/>
            <w:shd w:val="clear" w:color="auto" w:fill="auto"/>
            <w:vAlign w:val="center"/>
            <w:hideMark/>
          </w:tcPr>
          <w:p w14:paraId="5CCA0C57" w14:textId="5A68CDA2" w:rsidR="006A1450" w:rsidRPr="00400D8A" w:rsidRDefault="00817AC4" w:rsidP="008A4388">
            <w:pPr>
              <w:widowControl/>
              <w:suppressAutoHyphens w:val="0"/>
              <w:jc w:val="both"/>
              <w:rPr>
                <w:rFonts w:ascii="Arial" w:eastAsia="Times New Roman" w:hAnsi="Arial" w:cs="Arial"/>
                <w:color w:val="000000"/>
                <w:kern w:val="0"/>
                <w:sz w:val="20"/>
                <w:szCs w:val="20"/>
                <w:lang w:val="es-CR" w:eastAsia="es-CR" w:bidi="ar-SA"/>
              </w:rPr>
            </w:pPr>
            <w:r>
              <w:rPr>
                <w:rFonts w:ascii="Arial" w:eastAsia="Times New Roman" w:hAnsi="Arial" w:cs="Arial"/>
                <w:b/>
                <w:bCs/>
                <w:color w:val="000000"/>
                <w:kern w:val="0"/>
                <w:sz w:val="20"/>
                <w:szCs w:val="20"/>
                <w:lang w:val="es-CR" w:eastAsia="es-CR" w:bidi="ar-SA"/>
              </w:rPr>
              <w:t>4</w:t>
            </w:r>
            <w:r w:rsidR="00977BAC" w:rsidRPr="00400D8A">
              <w:rPr>
                <w:rFonts w:ascii="Arial" w:eastAsia="Times New Roman" w:hAnsi="Arial" w:cs="Arial"/>
                <w:b/>
                <w:bCs/>
                <w:color w:val="000000"/>
                <w:kern w:val="0"/>
                <w:sz w:val="20"/>
                <w:szCs w:val="20"/>
                <w:lang w:val="es-CR" w:eastAsia="es-CR" w:bidi="ar-SA"/>
              </w:rPr>
              <w:t xml:space="preserve">. </w:t>
            </w:r>
            <w:r w:rsidR="00977BAC" w:rsidRPr="00400D8A">
              <w:rPr>
                <w:rFonts w:ascii="Arial" w:eastAsia="Times New Roman" w:hAnsi="Arial" w:cs="Arial"/>
                <w:color w:val="000000"/>
                <w:kern w:val="0"/>
                <w:sz w:val="20"/>
                <w:szCs w:val="20"/>
                <w:lang w:val="es-CR" w:eastAsia="es-CR" w:bidi="ar-SA"/>
              </w:rPr>
              <w:t xml:space="preserve">Los honorarios establecidos para los Actuarios Matemáticos, cuando corresponda al Poder Judicial asumir el pago en las materias reguladas por el “Principio de Gratuidad”, donde corresponde a las Administraciones Regionales, Administración del Ministerio Público o Administración de la Defensa Pública realizar la autorización de gastos, se fijarán en apego a lo señalado en la “Tarifas de Honorarios para Actuarios Matemáticos, Traductores e Intérpretes en Idiomas Dialectos Indígenas y de Lenguaje de Señas Costarricense” en el </w:t>
            </w:r>
            <w:r w:rsidR="00977BAC" w:rsidRPr="00400D8A">
              <w:rPr>
                <w:rFonts w:ascii="Arial" w:eastAsia="Times New Roman" w:hAnsi="Arial" w:cs="Arial"/>
                <w:b/>
                <w:bCs/>
                <w:color w:val="000000"/>
                <w:kern w:val="0"/>
                <w:sz w:val="20"/>
                <w:szCs w:val="20"/>
                <w:lang w:val="es-CR" w:eastAsia="es-CR" w:bidi="ar-SA"/>
              </w:rPr>
              <w:t>Cuadro No 7</w:t>
            </w:r>
            <w:r w:rsidR="00977BAC" w:rsidRPr="00400D8A">
              <w:rPr>
                <w:rFonts w:ascii="Arial" w:eastAsia="Times New Roman" w:hAnsi="Arial" w:cs="Arial"/>
                <w:color w:val="000000"/>
                <w:kern w:val="0"/>
                <w:sz w:val="20"/>
                <w:szCs w:val="20"/>
                <w:lang w:val="es-CR" w:eastAsia="es-CR" w:bidi="ar-SA"/>
              </w:rPr>
              <w:t>.</w:t>
            </w:r>
          </w:p>
          <w:p w14:paraId="3F1E96F2" w14:textId="1168D3F2" w:rsidR="00977BAC" w:rsidRPr="00400D8A" w:rsidRDefault="00977BAC" w:rsidP="008A4388">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br/>
              <w:t xml:space="preserve">En los casos que no aplica este principio y la parte del proceso judicial deba cubrir el pago de los honorarios, la Autoridad Judicial debe utilizar el cálculo de los honorarios según lo señalado en el </w:t>
            </w:r>
            <w:r w:rsidRPr="00400D8A">
              <w:rPr>
                <w:rFonts w:ascii="Arial" w:eastAsia="Times New Roman" w:hAnsi="Arial" w:cs="Arial"/>
                <w:b/>
                <w:bCs/>
                <w:color w:val="000000"/>
                <w:kern w:val="0"/>
                <w:sz w:val="20"/>
                <w:szCs w:val="20"/>
                <w:lang w:val="es-CR" w:eastAsia="es-CR" w:bidi="ar-SA"/>
              </w:rPr>
              <w:t>Cuadro No 1</w:t>
            </w:r>
            <w:r w:rsidRPr="00400D8A">
              <w:rPr>
                <w:rFonts w:ascii="Arial" w:eastAsia="Times New Roman" w:hAnsi="Arial" w:cs="Arial"/>
                <w:color w:val="000000"/>
                <w:kern w:val="0"/>
                <w:sz w:val="20"/>
                <w:szCs w:val="20"/>
                <w:lang w:val="es-CR" w:eastAsia="es-CR" w:bidi="ar-SA"/>
              </w:rPr>
              <w:t>. (referencia circular de la Dirección Ejecutiva No. 147-2019 del 16-12-219)</w:t>
            </w:r>
          </w:p>
        </w:tc>
      </w:tr>
    </w:tbl>
    <w:p w14:paraId="7D7B4F39" w14:textId="0E313879" w:rsidR="006A0034" w:rsidRPr="002148F6" w:rsidRDefault="006A0034" w:rsidP="00212AB0">
      <w:pPr>
        <w:rPr>
          <w:rFonts w:ascii="Arial" w:hAnsi="Arial" w:cs="Arial"/>
          <w:sz w:val="22"/>
          <w:szCs w:val="22"/>
          <w:highlight w:val="yellow"/>
          <w:lang w:val="es-CR"/>
        </w:rPr>
      </w:pPr>
    </w:p>
    <w:p w14:paraId="671401FC" w14:textId="66923680" w:rsidR="005D5814" w:rsidRPr="009C590C" w:rsidRDefault="00062D00" w:rsidP="009C590C">
      <w:pPr>
        <w:widowControl/>
        <w:suppressAutoHyphens w:val="0"/>
        <w:rPr>
          <w:rFonts w:ascii="Arial" w:hAnsi="Arial" w:cs="Arial"/>
          <w:sz w:val="22"/>
          <w:szCs w:val="22"/>
          <w:lang w:val="es-CR"/>
        </w:rPr>
      </w:pPr>
      <w:r w:rsidRPr="008A4388">
        <w:rPr>
          <w:rFonts w:ascii="Arial" w:hAnsi="Arial" w:cs="Arial"/>
          <w:sz w:val="22"/>
          <w:szCs w:val="22"/>
          <w:lang w:val="es-CR"/>
        </w:rPr>
        <w:br w:type="page"/>
      </w:r>
    </w:p>
    <w:tbl>
      <w:tblPr>
        <w:tblW w:w="7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3503"/>
      </w:tblGrid>
      <w:tr w:rsidR="00977BAC" w:rsidRPr="00977BAC" w14:paraId="1FDF1CD7" w14:textId="77777777" w:rsidTr="00D27CBA">
        <w:trPr>
          <w:trHeight w:val="174"/>
          <w:jc w:val="center"/>
        </w:trPr>
        <w:tc>
          <w:tcPr>
            <w:tcW w:w="7756" w:type="dxa"/>
            <w:gridSpan w:val="2"/>
            <w:tcBorders>
              <w:top w:val="nil"/>
              <w:left w:val="nil"/>
              <w:bottom w:val="nil"/>
              <w:right w:val="nil"/>
            </w:tcBorders>
            <w:shd w:val="clear" w:color="auto" w:fill="auto"/>
            <w:vAlign w:val="center"/>
            <w:hideMark/>
          </w:tcPr>
          <w:p w14:paraId="0F081993" w14:textId="1E4812C9" w:rsidR="00977BAC"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8</w:t>
            </w:r>
          </w:p>
          <w:p w14:paraId="4E056D21" w14:textId="77777777" w:rsidR="00D27CBA"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p w14:paraId="736FB77D" w14:textId="59BBA725" w:rsidR="00D27CBA" w:rsidRPr="00062D00"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48EFECA0" w14:textId="77777777" w:rsidTr="00400D8A">
        <w:trPr>
          <w:trHeight w:val="540"/>
          <w:jc w:val="center"/>
        </w:trPr>
        <w:tc>
          <w:tcPr>
            <w:tcW w:w="7756" w:type="dxa"/>
            <w:gridSpan w:val="2"/>
            <w:tcBorders>
              <w:top w:val="nil"/>
              <w:left w:val="nil"/>
              <w:bottom w:val="nil"/>
              <w:right w:val="nil"/>
            </w:tcBorders>
            <w:shd w:val="clear" w:color="auto" w:fill="auto"/>
            <w:vAlign w:val="center"/>
            <w:hideMark/>
          </w:tcPr>
          <w:p w14:paraId="4D622345" w14:textId="686F98F0"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ayuda para testigos, imputados y ofendidos de escasos recursos económicos</w:t>
            </w:r>
          </w:p>
        </w:tc>
      </w:tr>
      <w:tr w:rsidR="00977BAC" w:rsidRPr="00977BAC" w14:paraId="69D3F924" w14:textId="77777777" w:rsidTr="00400D8A">
        <w:trPr>
          <w:trHeight w:val="204"/>
          <w:jc w:val="center"/>
        </w:trPr>
        <w:tc>
          <w:tcPr>
            <w:tcW w:w="7756" w:type="dxa"/>
            <w:gridSpan w:val="2"/>
            <w:tcBorders>
              <w:top w:val="nil"/>
              <w:left w:val="nil"/>
              <w:bottom w:val="nil"/>
              <w:right w:val="nil"/>
            </w:tcBorders>
            <w:shd w:val="clear" w:color="auto" w:fill="auto"/>
            <w:vAlign w:val="center"/>
            <w:hideMark/>
          </w:tcPr>
          <w:p w14:paraId="375598CE" w14:textId="117C9C95"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202</w:t>
            </w:r>
            <w:r w:rsidR="00B51B24">
              <w:rPr>
                <w:rFonts w:ascii="Arial" w:eastAsia="Times New Roman" w:hAnsi="Arial" w:cs="Arial"/>
                <w:b/>
                <w:bCs/>
                <w:color w:val="000000"/>
                <w:kern w:val="0"/>
                <w:sz w:val="20"/>
                <w:szCs w:val="20"/>
                <w:lang w:val="es-CR" w:eastAsia="es-CR" w:bidi="ar-SA"/>
              </w:rPr>
              <w:t>5</w:t>
            </w:r>
          </w:p>
        </w:tc>
      </w:tr>
      <w:tr w:rsidR="00C91830" w:rsidRPr="00977BAC" w14:paraId="730A5997" w14:textId="77777777" w:rsidTr="00400D8A">
        <w:trPr>
          <w:trHeight w:val="204"/>
          <w:jc w:val="center"/>
        </w:trPr>
        <w:tc>
          <w:tcPr>
            <w:tcW w:w="4253" w:type="dxa"/>
            <w:tcBorders>
              <w:top w:val="nil"/>
              <w:left w:val="nil"/>
              <w:bottom w:val="single" w:sz="4" w:space="0" w:color="auto"/>
              <w:right w:val="nil"/>
            </w:tcBorders>
            <w:shd w:val="clear" w:color="auto" w:fill="auto"/>
            <w:noWrap/>
            <w:vAlign w:val="center"/>
            <w:hideMark/>
          </w:tcPr>
          <w:p w14:paraId="0409BFE9" w14:textId="77777777" w:rsidR="00C91830" w:rsidRPr="00977BAC" w:rsidRDefault="00C91830"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503" w:type="dxa"/>
            <w:tcBorders>
              <w:top w:val="nil"/>
              <w:left w:val="nil"/>
              <w:bottom w:val="single" w:sz="4" w:space="0" w:color="auto"/>
              <w:right w:val="nil"/>
            </w:tcBorders>
            <w:shd w:val="clear" w:color="auto" w:fill="auto"/>
            <w:noWrap/>
            <w:vAlign w:val="bottom"/>
            <w:hideMark/>
          </w:tcPr>
          <w:p w14:paraId="0513FB5B" w14:textId="77777777" w:rsidR="00C91830" w:rsidRPr="00977BAC" w:rsidRDefault="00C91830" w:rsidP="00977BAC">
            <w:pPr>
              <w:widowControl/>
              <w:suppressAutoHyphens w:val="0"/>
              <w:jc w:val="center"/>
              <w:rPr>
                <w:rFonts w:ascii="Arial" w:eastAsia="Times New Roman" w:hAnsi="Arial" w:cs="Arial"/>
                <w:kern w:val="0"/>
                <w:sz w:val="18"/>
                <w:szCs w:val="18"/>
                <w:lang w:val="es-CR" w:eastAsia="es-CR" w:bidi="ar-SA"/>
              </w:rPr>
            </w:pPr>
          </w:p>
        </w:tc>
      </w:tr>
      <w:tr w:rsidR="00C91830" w:rsidRPr="00977BAC" w14:paraId="46468CC9" w14:textId="77777777" w:rsidTr="00400D8A">
        <w:trPr>
          <w:trHeight w:val="408"/>
          <w:jc w:val="center"/>
        </w:trPr>
        <w:tc>
          <w:tcPr>
            <w:tcW w:w="4253" w:type="dxa"/>
            <w:vMerge w:val="restart"/>
            <w:tcBorders>
              <w:top w:val="single" w:sz="4" w:space="0" w:color="auto"/>
            </w:tcBorders>
            <w:shd w:val="clear" w:color="000000" w:fill="D9D9D9"/>
            <w:vAlign w:val="center"/>
            <w:hideMark/>
          </w:tcPr>
          <w:p w14:paraId="6F1BEA97" w14:textId="77777777" w:rsidR="00C91830" w:rsidRPr="00400D8A" w:rsidRDefault="00C91830" w:rsidP="00977BAC">
            <w:pPr>
              <w:widowControl/>
              <w:suppressAutoHyphens w:val="0"/>
              <w:jc w:val="center"/>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Detalle</w:t>
            </w:r>
          </w:p>
        </w:tc>
        <w:tc>
          <w:tcPr>
            <w:tcW w:w="3503" w:type="dxa"/>
            <w:vMerge w:val="restart"/>
            <w:tcBorders>
              <w:top w:val="single" w:sz="4" w:space="0" w:color="auto"/>
            </w:tcBorders>
            <w:shd w:val="clear" w:color="000000" w:fill="D9D9D9"/>
            <w:vAlign w:val="center"/>
            <w:hideMark/>
          </w:tcPr>
          <w:p w14:paraId="1D03A30F" w14:textId="001C1301" w:rsidR="00C91830" w:rsidRPr="00400D8A" w:rsidRDefault="009B1F73" w:rsidP="00977BAC">
            <w:pPr>
              <w:widowControl/>
              <w:suppressAutoHyphens w:val="0"/>
              <w:jc w:val="center"/>
              <w:rPr>
                <w:rFonts w:ascii="Arial" w:eastAsia="Times New Roman" w:hAnsi="Arial" w:cs="Arial"/>
                <w:b/>
                <w:bCs/>
                <w:color w:val="000000"/>
                <w:kern w:val="0"/>
                <w:sz w:val="20"/>
                <w:szCs w:val="20"/>
                <w:lang w:val="es-CR" w:eastAsia="es-CR" w:bidi="ar-SA"/>
              </w:rPr>
            </w:pPr>
            <w:r w:rsidRPr="009B1F73">
              <w:rPr>
                <w:rFonts w:ascii="Arial" w:eastAsia="Times New Roman" w:hAnsi="Arial" w:cs="Arial"/>
                <w:b/>
                <w:bCs/>
                <w:color w:val="000000"/>
                <w:kern w:val="0"/>
                <w:sz w:val="20"/>
                <w:szCs w:val="20"/>
                <w:lang w:val="es-CR" w:eastAsia="es-CR" w:bidi="ar-SA"/>
              </w:rPr>
              <w:t>Honorarios por aplicar para el 202</w:t>
            </w:r>
            <w:r w:rsidR="00796095">
              <w:rPr>
                <w:rFonts w:ascii="Arial" w:eastAsia="Times New Roman" w:hAnsi="Arial" w:cs="Arial"/>
                <w:b/>
                <w:bCs/>
                <w:color w:val="000000"/>
                <w:kern w:val="0"/>
                <w:sz w:val="20"/>
                <w:szCs w:val="20"/>
                <w:lang w:val="es-CR" w:eastAsia="es-CR" w:bidi="ar-SA"/>
              </w:rPr>
              <w:t>5</w:t>
            </w:r>
          </w:p>
        </w:tc>
      </w:tr>
      <w:tr w:rsidR="00C91830" w:rsidRPr="00977BAC" w14:paraId="0B2FA5C9" w14:textId="77777777" w:rsidTr="00400D8A">
        <w:trPr>
          <w:trHeight w:val="276"/>
          <w:jc w:val="center"/>
        </w:trPr>
        <w:tc>
          <w:tcPr>
            <w:tcW w:w="4253" w:type="dxa"/>
            <w:vMerge/>
            <w:vAlign w:val="center"/>
            <w:hideMark/>
          </w:tcPr>
          <w:p w14:paraId="1B93C726" w14:textId="77777777" w:rsidR="00C91830" w:rsidRPr="00400D8A" w:rsidRDefault="00C91830" w:rsidP="00977BAC">
            <w:pPr>
              <w:widowControl/>
              <w:suppressAutoHyphens w:val="0"/>
              <w:rPr>
                <w:rFonts w:ascii="Arial" w:eastAsia="Times New Roman" w:hAnsi="Arial" w:cs="Arial"/>
                <w:b/>
                <w:bCs/>
                <w:color w:val="000000"/>
                <w:kern w:val="0"/>
                <w:sz w:val="20"/>
                <w:szCs w:val="20"/>
                <w:lang w:val="es-CR" w:eastAsia="es-CR" w:bidi="ar-SA"/>
              </w:rPr>
            </w:pPr>
          </w:p>
        </w:tc>
        <w:tc>
          <w:tcPr>
            <w:tcW w:w="3503" w:type="dxa"/>
            <w:vMerge/>
            <w:vAlign w:val="center"/>
            <w:hideMark/>
          </w:tcPr>
          <w:p w14:paraId="0F4BC543" w14:textId="77777777" w:rsidR="00C91830" w:rsidRPr="00400D8A" w:rsidRDefault="00C91830" w:rsidP="00977BAC">
            <w:pPr>
              <w:widowControl/>
              <w:suppressAutoHyphens w:val="0"/>
              <w:rPr>
                <w:rFonts w:ascii="Arial" w:eastAsia="Times New Roman" w:hAnsi="Arial" w:cs="Arial"/>
                <w:b/>
                <w:bCs/>
                <w:color w:val="000000"/>
                <w:kern w:val="0"/>
                <w:sz w:val="20"/>
                <w:szCs w:val="20"/>
                <w:lang w:val="es-CR" w:eastAsia="es-CR" w:bidi="ar-SA"/>
              </w:rPr>
            </w:pPr>
          </w:p>
        </w:tc>
      </w:tr>
      <w:tr w:rsidR="00B861E4" w:rsidRPr="00977BAC" w14:paraId="1004B91A" w14:textId="77777777" w:rsidTr="00400D8A">
        <w:trPr>
          <w:trHeight w:val="204"/>
          <w:jc w:val="center"/>
        </w:trPr>
        <w:tc>
          <w:tcPr>
            <w:tcW w:w="4253" w:type="dxa"/>
            <w:shd w:val="clear" w:color="auto" w:fill="auto"/>
            <w:vAlign w:val="center"/>
            <w:hideMark/>
          </w:tcPr>
          <w:p w14:paraId="3DF7C0CC"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 xml:space="preserve">Desayuno </w:t>
            </w:r>
          </w:p>
        </w:tc>
        <w:tc>
          <w:tcPr>
            <w:tcW w:w="3503" w:type="dxa"/>
            <w:shd w:val="clear" w:color="auto" w:fill="auto"/>
            <w:vAlign w:val="center"/>
            <w:hideMark/>
          </w:tcPr>
          <w:p w14:paraId="64AC3576" w14:textId="79169BAD"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₡3 100,00</w:t>
            </w:r>
          </w:p>
        </w:tc>
      </w:tr>
      <w:tr w:rsidR="00B861E4" w:rsidRPr="00977BAC" w14:paraId="4DF870A6" w14:textId="77777777" w:rsidTr="00400D8A">
        <w:trPr>
          <w:trHeight w:val="204"/>
          <w:jc w:val="center"/>
        </w:trPr>
        <w:tc>
          <w:tcPr>
            <w:tcW w:w="4253" w:type="dxa"/>
            <w:shd w:val="clear" w:color="auto" w:fill="auto"/>
            <w:vAlign w:val="center"/>
            <w:hideMark/>
          </w:tcPr>
          <w:p w14:paraId="203DCCF3"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 xml:space="preserve">Almuerzo </w:t>
            </w:r>
          </w:p>
        </w:tc>
        <w:tc>
          <w:tcPr>
            <w:tcW w:w="3503" w:type="dxa"/>
            <w:shd w:val="clear" w:color="auto" w:fill="auto"/>
            <w:vAlign w:val="center"/>
            <w:hideMark/>
          </w:tcPr>
          <w:p w14:paraId="7DEC4A16" w14:textId="23F4DA0F"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₡4 300,00</w:t>
            </w:r>
          </w:p>
        </w:tc>
      </w:tr>
      <w:tr w:rsidR="00B861E4" w:rsidRPr="00977BAC" w14:paraId="6AF0E1A2" w14:textId="77777777" w:rsidTr="00400D8A">
        <w:trPr>
          <w:trHeight w:val="204"/>
          <w:jc w:val="center"/>
        </w:trPr>
        <w:tc>
          <w:tcPr>
            <w:tcW w:w="4253" w:type="dxa"/>
            <w:shd w:val="clear" w:color="auto" w:fill="auto"/>
            <w:vAlign w:val="center"/>
            <w:hideMark/>
          </w:tcPr>
          <w:p w14:paraId="4F066293"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Cena</w:t>
            </w:r>
          </w:p>
        </w:tc>
        <w:tc>
          <w:tcPr>
            <w:tcW w:w="3503" w:type="dxa"/>
            <w:shd w:val="clear" w:color="auto" w:fill="auto"/>
            <w:vAlign w:val="center"/>
            <w:hideMark/>
          </w:tcPr>
          <w:p w14:paraId="43008C2D" w14:textId="5289B26B"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₡4 300,00</w:t>
            </w:r>
          </w:p>
        </w:tc>
      </w:tr>
      <w:tr w:rsidR="00B861E4" w:rsidRPr="00977BAC" w14:paraId="5931C4ED" w14:textId="77777777" w:rsidTr="00400D8A">
        <w:trPr>
          <w:trHeight w:val="204"/>
          <w:jc w:val="center"/>
        </w:trPr>
        <w:tc>
          <w:tcPr>
            <w:tcW w:w="4253" w:type="dxa"/>
            <w:shd w:val="clear" w:color="auto" w:fill="auto"/>
            <w:vAlign w:val="center"/>
            <w:hideMark/>
          </w:tcPr>
          <w:p w14:paraId="360CFFB5"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Alojamiento</w:t>
            </w:r>
            <w:r w:rsidRPr="00400D8A">
              <w:rPr>
                <w:rFonts w:ascii="Arial" w:eastAsia="Times New Roman" w:hAnsi="Arial" w:cs="Arial"/>
                <w:b/>
                <w:bCs/>
                <w:color w:val="000000"/>
                <w:kern w:val="0"/>
                <w:sz w:val="20"/>
                <w:szCs w:val="20"/>
                <w:lang w:val="es-CR" w:eastAsia="es-CR" w:bidi="ar-SA"/>
              </w:rPr>
              <w:t xml:space="preserve"> *</w:t>
            </w:r>
          </w:p>
        </w:tc>
        <w:tc>
          <w:tcPr>
            <w:tcW w:w="3503" w:type="dxa"/>
            <w:shd w:val="clear" w:color="auto" w:fill="auto"/>
            <w:vAlign w:val="center"/>
            <w:hideMark/>
          </w:tcPr>
          <w:p w14:paraId="2BBAA656" w14:textId="02CA3304"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₡21 800,00</w:t>
            </w:r>
          </w:p>
        </w:tc>
      </w:tr>
      <w:tr w:rsidR="00977BAC" w:rsidRPr="00977BAC" w14:paraId="2F5C8790" w14:textId="77777777" w:rsidTr="00400D8A">
        <w:trPr>
          <w:trHeight w:val="204"/>
          <w:jc w:val="center"/>
        </w:trPr>
        <w:tc>
          <w:tcPr>
            <w:tcW w:w="7756" w:type="dxa"/>
            <w:gridSpan w:val="2"/>
            <w:shd w:val="clear" w:color="auto" w:fill="auto"/>
            <w:vAlign w:val="center"/>
            <w:hideMark/>
          </w:tcPr>
          <w:p w14:paraId="655CACC2" w14:textId="40FD8F55" w:rsidR="00977BAC" w:rsidRPr="00400D8A" w:rsidRDefault="00977BAC" w:rsidP="00977BAC">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 xml:space="preserve">Nota: </w:t>
            </w:r>
          </w:p>
        </w:tc>
      </w:tr>
      <w:tr w:rsidR="00977BAC" w:rsidRPr="00977BAC" w14:paraId="0F5CE0B4" w14:textId="77777777" w:rsidTr="00400D8A">
        <w:trPr>
          <w:trHeight w:val="1032"/>
          <w:jc w:val="center"/>
        </w:trPr>
        <w:tc>
          <w:tcPr>
            <w:tcW w:w="7756" w:type="dxa"/>
            <w:gridSpan w:val="2"/>
            <w:shd w:val="clear" w:color="auto" w:fill="auto"/>
            <w:hideMark/>
          </w:tcPr>
          <w:p w14:paraId="1A8C31BD" w14:textId="3415FD96" w:rsidR="00977BAC" w:rsidRPr="00400D8A" w:rsidRDefault="00B861E4" w:rsidP="008A4388">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 Monto máximo por alojamiento:</w:t>
            </w:r>
            <w:r w:rsidRPr="00400D8A">
              <w:rPr>
                <w:rFonts w:ascii="Arial" w:eastAsia="Times New Roman" w:hAnsi="Arial" w:cs="Arial"/>
                <w:color w:val="000000"/>
                <w:kern w:val="0"/>
                <w:sz w:val="20"/>
                <w:szCs w:val="20"/>
                <w:lang w:val="es-CR" w:eastAsia="es-CR" w:bidi="ar-SA"/>
              </w:rPr>
              <w:t xml:space="preserve"> La tarifa para alojamiento varía según la zona, por lo que se debe revisar con la tarifa vigente y aprobada por la Contraloría General de la República, si corresponde a una tarifa más baja, debe ser esa la que se brinde de ayuda y en los casos que supere los </w:t>
            </w:r>
            <w:r w:rsidRPr="00400D8A">
              <w:rPr>
                <w:rFonts w:ascii="Arial" w:eastAsia="Times New Roman" w:hAnsi="Arial" w:cs="Arial"/>
                <w:b/>
                <w:bCs/>
                <w:color w:val="000000"/>
                <w:kern w:val="0"/>
                <w:sz w:val="20"/>
                <w:szCs w:val="20"/>
                <w:lang w:val="es-CR" w:eastAsia="es-CR" w:bidi="ar-SA"/>
              </w:rPr>
              <w:t>¢21.</w:t>
            </w:r>
            <w:r>
              <w:rPr>
                <w:rFonts w:ascii="Arial" w:eastAsia="Times New Roman" w:hAnsi="Arial" w:cs="Arial"/>
                <w:b/>
                <w:bCs/>
                <w:color w:val="000000"/>
                <w:kern w:val="0"/>
                <w:sz w:val="20"/>
                <w:szCs w:val="20"/>
                <w:lang w:val="es-CR" w:eastAsia="es-CR" w:bidi="ar-SA"/>
              </w:rPr>
              <w:t>800</w:t>
            </w:r>
            <w:r w:rsidRPr="00400D8A">
              <w:rPr>
                <w:rFonts w:ascii="Arial" w:eastAsia="Times New Roman" w:hAnsi="Arial" w:cs="Arial"/>
                <w:b/>
                <w:bCs/>
                <w:color w:val="000000"/>
                <w:kern w:val="0"/>
                <w:sz w:val="20"/>
                <w:szCs w:val="20"/>
                <w:lang w:val="es-CR" w:eastAsia="es-CR" w:bidi="ar-SA"/>
              </w:rPr>
              <w:t>,00</w:t>
            </w:r>
            <w:r w:rsidRPr="00400D8A">
              <w:rPr>
                <w:rFonts w:ascii="Arial" w:eastAsia="Times New Roman" w:hAnsi="Arial" w:cs="Arial"/>
                <w:color w:val="000000"/>
                <w:kern w:val="0"/>
                <w:sz w:val="20"/>
                <w:szCs w:val="20"/>
                <w:lang w:val="es-CR" w:eastAsia="es-CR" w:bidi="ar-SA"/>
              </w:rPr>
              <w:t>, este será el tope máximo que brindar como ayuda económica.</w:t>
            </w:r>
          </w:p>
        </w:tc>
      </w:tr>
    </w:tbl>
    <w:p w14:paraId="27CA1653" w14:textId="77777777" w:rsidR="006A0034" w:rsidRPr="002148F6" w:rsidRDefault="006A0034" w:rsidP="006A1450">
      <w:pPr>
        <w:ind w:right="-801"/>
        <w:jc w:val="both"/>
        <w:rPr>
          <w:rFonts w:ascii="Arial" w:hAnsi="Arial" w:cs="Arial"/>
          <w:sz w:val="22"/>
          <w:szCs w:val="22"/>
          <w:lang w:val="es-CR"/>
        </w:rPr>
      </w:pPr>
    </w:p>
    <w:p w14:paraId="0ED95CB1" w14:textId="77777777" w:rsidR="007A6634" w:rsidRPr="002148F6" w:rsidRDefault="007A6634" w:rsidP="007A6634">
      <w:pPr>
        <w:ind w:left="-142" w:right="-801"/>
        <w:jc w:val="both"/>
        <w:rPr>
          <w:rFonts w:ascii="Arial" w:hAnsi="Arial" w:cs="Arial"/>
          <w:sz w:val="22"/>
          <w:szCs w:val="22"/>
          <w:lang w:val="es-CR"/>
        </w:rPr>
      </w:pPr>
    </w:p>
    <w:p w14:paraId="5389C45C" w14:textId="448AAEDB" w:rsidR="003F15A2" w:rsidRDefault="00A7485A" w:rsidP="007A6634">
      <w:pPr>
        <w:ind w:left="-142" w:right="-801"/>
        <w:jc w:val="both"/>
        <w:rPr>
          <w:rFonts w:ascii="Arial" w:hAnsi="Arial" w:cs="Arial"/>
          <w:sz w:val="18"/>
          <w:szCs w:val="18"/>
        </w:rPr>
      </w:pPr>
      <w:r w:rsidRPr="00A7485A">
        <w:rPr>
          <w:rFonts w:ascii="Arial" w:hAnsi="Arial" w:cs="Arial"/>
          <w:sz w:val="18"/>
          <w:szCs w:val="18"/>
        </w:rPr>
        <w:t xml:space="preserve">AERJ/ MAV/ </w:t>
      </w:r>
      <w:r w:rsidR="00E03084">
        <w:rPr>
          <w:rFonts w:ascii="Arial" w:hAnsi="Arial" w:cs="Arial"/>
          <w:sz w:val="18"/>
          <w:szCs w:val="18"/>
        </w:rPr>
        <w:t>NGB</w:t>
      </w:r>
      <w:r w:rsidR="00957C2A">
        <w:rPr>
          <w:rFonts w:ascii="Arial" w:hAnsi="Arial" w:cs="Arial"/>
          <w:sz w:val="18"/>
          <w:szCs w:val="18"/>
        </w:rPr>
        <w:t>/ Ref. 332-2025.</w:t>
      </w:r>
    </w:p>
    <w:p w14:paraId="1D042392" w14:textId="77777777" w:rsidR="00764C70" w:rsidRPr="00A7485A" w:rsidRDefault="00764C70" w:rsidP="007A6634">
      <w:pPr>
        <w:ind w:left="-142" w:right="-801"/>
        <w:jc w:val="both"/>
        <w:rPr>
          <w:rFonts w:ascii="Arial" w:hAnsi="Arial" w:cs="Arial"/>
          <w:sz w:val="18"/>
          <w:szCs w:val="18"/>
        </w:rPr>
      </w:pPr>
    </w:p>
    <w:sectPr w:rsidR="00764C70" w:rsidRPr="00A7485A" w:rsidSect="00ED7899">
      <w:pgSz w:w="12240" w:h="15840"/>
      <w:pgMar w:top="993" w:right="1701"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ECAA" w14:textId="77777777" w:rsidR="007E5B0C" w:rsidRDefault="007E5B0C" w:rsidP="002C503D">
      <w:r>
        <w:separator/>
      </w:r>
    </w:p>
  </w:endnote>
  <w:endnote w:type="continuationSeparator" w:id="0">
    <w:p w14:paraId="27B41F94" w14:textId="77777777" w:rsidR="007E5B0C" w:rsidRDefault="007E5B0C"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EB48" w14:textId="77777777" w:rsidR="007E5B0C" w:rsidRDefault="007E5B0C" w:rsidP="002C503D">
      <w:r>
        <w:separator/>
      </w:r>
    </w:p>
  </w:footnote>
  <w:footnote w:type="continuationSeparator" w:id="0">
    <w:p w14:paraId="67793A7E" w14:textId="77777777" w:rsidR="007E5B0C" w:rsidRDefault="007E5B0C" w:rsidP="002C5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0CE6304"/>
    <w:lvl w:ilvl="0">
      <w:numFmt w:val="bullet"/>
      <w:lvlText w:val="*"/>
      <w:lvlJc w:val="left"/>
    </w:lvl>
  </w:abstractNum>
  <w:abstractNum w:abstractNumId="1" w15:restartNumberingAfterBreak="0">
    <w:nsid w:val="00000002"/>
    <w:multiLevelType w:val="multilevel"/>
    <w:tmpl w:val="4FCE294C"/>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0240DC"/>
    <w:multiLevelType w:val="hybridMultilevel"/>
    <w:tmpl w:val="62BAF78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45E1805"/>
    <w:multiLevelType w:val="hybridMultilevel"/>
    <w:tmpl w:val="D8941E1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1C27B8"/>
    <w:multiLevelType w:val="hybridMultilevel"/>
    <w:tmpl w:val="EFA882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2B760F99"/>
    <w:multiLevelType w:val="hybridMultilevel"/>
    <w:tmpl w:val="2CB69372"/>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8"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0" w15:restartNumberingAfterBreak="0">
    <w:nsid w:val="310F5997"/>
    <w:multiLevelType w:val="hybridMultilevel"/>
    <w:tmpl w:val="6D6E79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AEF1495"/>
    <w:multiLevelType w:val="hybridMultilevel"/>
    <w:tmpl w:val="005295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DA77DD1"/>
    <w:multiLevelType w:val="multilevel"/>
    <w:tmpl w:val="C26C3D74"/>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BAD6331"/>
    <w:multiLevelType w:val="hybridMultilevel"/>
    <w:tmpl w:val="46FA4F0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CE778CE"/>
    <w:multiLevelType w:val="hybridMultilevel"/>
    <w:tmpl w:val="8A0C9480"/>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ED9332C"/>
    <w:multiLevelType w:val="hybridMultilevel"/>
    <w:tmpl w:val="08748A9C"/>
    <w:lvl w:ilvl="0" w:tplc="747ADD00">
      <w:start w:val="2"/>
      <w:numFmt w:val="decimal"/>
      <w:lvlText w:val="%1."/>
      <w:lvlJc w:val="left"/>
      <w:pPr>
        <w:ind w:left="720" w:hanging="360"/>
      </w:pPr>
      <w:rPr>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549D62B3"/>
    <w:multiLevelType w:val="hybridMultilevel"/>
    <w:tmpl w:val="28BE57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0" w15:restartNumberingAfterBreak="0">
    <w:nsid w:val="5BB91B3B"/>
    <w:multiLevelType w:val="hybridMultilevel"/>
    <w:tmpl w:val="9F761FA4"/>
    <w:lvl w:ilvl="0" w:tplc="140A0001">
      <w:start w:val="1"/>
      <w:numFmt w:val="bullet"/>
      <w:lvlText w:val=""/>
      <w:lvlJc w:val="left"/>
      <w:pPr>
        <w:ind w:left="1980" w:hanging="360"/>
      </w:pPr>
      <w:rPr>
        <w:rFonts w:ascii="Symbol" w:hAnsi="Symbol" w:hint="default"/>
      </w:rPr>
    </w:lvl>
    <w:lvl w:ilvl="1" w:tplc="140A0003" w:tentative="1">
      <w:start w:val="1"/>
      <w:numFmt w:val="bullet"/>
      <w:lvlText w:val="o"/>
      <w:lvlJc w:val="left"/>
      <w:pPr>
        <w:ind w:left="2700" w:hanging="360"/>
      </w:pPr>
      <w:rPr>
        <w:rFonts w:ascii="Courier New" w:hAnsi="Courier New" w:cs="Courier New" w:hint="default"/>
      </w:rPr>
    </w:lvl>
    <w:lvl w:ilvl="2" w:tplc="140A0005" w:tentative="1">
      <w:start w:val="1"/>
      <w:numFmt w:val="bullet"/>
      <w:lvlText w:val=""/>
      <w:lvlJc w:val="left"/>
      <w:pPr>
        <w:ind w:left="3420" w:hanging="360"/>
      </w:pPr>
      <w:rPr>
        <w:rFonts w:ascii="Wingdings" w:hAnsi="Wingdings" w:hint="default"/>
      </w:rPr>
    </w:lvl>
    <w:lvl w:ilvl="3" w:tplc="140A0001" w:tentative="1">
      <w:start w:val="1"/>
      <w:numFmt w:val="bullet"/>
      <w:lvlText w:val=""/>
      <w:lvlJc w:val="left"/>
      <w:pPr>
        <w:ind w:left="4140" w:hanging="360"/>
      </w:pPr>
      <w:rPr>
        <w:rFonts w:ascii="Symbol" w:hAnsi="Symbol" w:hint="default"/>
      </w:rPr>
    </w:lvl>
    <w:lvl w:ilvl="4" w:tplc="140A0003" w:tentative="1">
      <w:start w:val="1"/>
      <w:numFmt w:val="bullet"/>
      <w:lvlText w:val="o"/>
      <w:lvlJc w:val="left"/>
      <w:pPr>
        <w:ind w:left="4860" w:hanging="360"/>
      </w:pPr>
      <w:rPr>
        <w:rFonts w:ascii="Courier New" w:hAnsi="Courier New" w:cs="Courier New" w:hint="default"/>
      </w:rPr>
    </w:lvl>
    <w:lvl w:ilvl="5" w:tplc="140A0005" w:tentative="1">
      <w:start w:val="1"/>
      <w:numFmt w:val="bullet"/>
      <w:lvlText w:val=""/>
      <w:lvlJc w:val="left"/>
      <w:pPr>
        <w:ind w:left="5580" w:hanging="360"/>
      </w:pPr>
      <w:rPr>
        <w:rFonts w:ascii="Wingdings" w:hAnsi="Wingdings" w:hint="default"/>
      </w:rPr>
    </w:lvl>
    <w:lvl w:ilvl="6" w:tplc="140A0001" w:tentative="1">
      <w:start w:val="1"/>
      <w:numFmt w:val="bullet"/>
      <w:lvlText w:val=""/>
      <w:lvlJc w:val="left"/>
      <w:pPr>
        <w:ind w:left="6300" w:hanging="360"/>
      </w:pPr>
      <w:rPr>
        <w:rFonts w:ascii="Symbol" w:hAnsi="Symbol" w:hint="default"/>
      </w:rPr>
    </w:lvl>
    <w:lvl w:ilvl="7" w:tplc="140A0003" w:tentative="1">
      <w:start w:val="1"/>
      <w:numFmt w:val="bullet"/>
      <w:lvlText w:val="o"/>
      <w:lvlJc w:val="left"/>
      <w:pPr>
        <w:ind w:left="7020" w:hanging="360"/>
      </w:pPr>
      <w:rPr>
        <w:rFonts w:ascii="Courier New" w:hAnsi="Courier New" w:cs="Courier New" w:hint="default"/>
      </w:rPr>
    </w:lvl>
    <w:lvl w:ilvl="8" w:tplc="140A0005" w:tentative="1">
      <w:start w:val="1"/>
      <w:numFmt w:val="bullet"/>
      <w:lvlText w:val=""/>
      <w:lvlJc w:val="left"/>
      <w:pPr>
        <w:ind w:left="7740" w:hanging="360"/>
      </w:pPr>
      <w:rPr>
        <w:rFonts w:ascii="Wingdings" w:hAnsi="Wingdings" w:hint="default"/>
      </w:rPr>
    </w:lvl>
  </w:abstractNum>
  <w:abstractNum w:abstractNumId="21" w15:restartNumberingAfterBreak="0">
    <w:nsid w:val="5EAC373B"/>
    <w:multiLevelType w:val="hybridMultilevel"/>
    <w:tmpl w:val="22B82E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6A4715D"/>
    <w:multiLevelType w:val="hybridMultilevel"/>
    <w:tmpl w:val="7938EF74"/>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A98278A"/>
    <w:multiLevelType w:val="hybridMultilevel"/>
    <w:tmpl w:val="623058D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B1D042E"/>
    <w:multiLevelType w:val="multilevel"/>
    <w:tmpl w:val="15BAE3A0"/>
    <w:lvl w:ilvl="0">
      <w:start w:val="1"/>
      <w:numFmt w:val="decimal"/>
      <w:lvlText w:val="%1."/>
      <w:lvlJc w:val="left"/>
      <w:pPr>
        <w:tabs>
          <w:tab w:val="num" w:pos="375"/>
        </w:tabs>
        <w:ind w:left="375" w:hanging="375"/>
      </w:pPr>
      <w:rPr>
        <w:rFonts w:ascii="Arial" w:hAnsi="Arial" w:cs="Arial" w:hint="default"/>
        <w:b/>
        <w:color w:val="auto"/>
        <w:sz w:val="28"/>
        <w:szCs w:val="26"/>
        <w:u w:val="singl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C374F0A"/>
    <w:multiLevelType w:val="hybridMultilevel"/>
    <w:tmpl w:val="261ED3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127275E"/>
    <w:multiLevelType w:val="hybridMultilevel"/>
    <w:tmpl w:val="36665A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3B95A9D"/>
    <w:multiLevelType w:val="hybridMultilevel"/>
    <w:tmpl w:val="21B8F2E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93C5886"/>
    <w:multiLevelType w:val="hybridMultilevel"/>
    <w:tmpl w:val="16FE554E"/>
    <w:lvl w:ilvl="0" w:tplc="FF16836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CD132F3"/>
    <w:multiLevelType w:val="hybridMultilevel"/>
    <w:tmpl w:val="B76A0FE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81384256">
    <w:abstractNumId w:val="11"/>
  </w:num>
  <w:num w:numId="2" w16cid:durableId="345402200">
    <w:abstractNumId w:val="13"/>
  </w:num>
  <w:num w:numId="3" w16cid:durableId="1971322958">
    <w:abstractNumId w:val="8"/>
  </w:num>
  <w:num w:numId="4" w16cid:durableId="979771425">
    <w:abstractNumId w:val="6"/>
  </w:num>
  <w:num w:numId="5" w16cid:durableId="703794747">
    <w:abstractNumId w:val="19"/>
  </w:num>
  <w:num w:numId="6" w16cid:durableId="922300257">
    <w:abstractNumId w:val="9"/>
  </w:num>
  <w:num w:numId="7" w16cid:durableId="734165404">
    <w:abstractNumId w:val="2"/>
  </w:num>
  <w:num w:numId="8" w16cid:durableId="2034530198">
    <w:abstractNumId w:val="15"/>
  </w:num>
  <w:num w:numId="9" w16cid:durableId="394398256">
    <w:abstractNumId w:val="5"/>
  </w:num>
  <w:num w:numId="10" w16cid:durableId="1939215175">
    <w:abstractNumId w:val="4"/>
  </w:num>
  <w:num w:numId="11" w16cid:durableId="1014844154">
    <w:abstractNumId w:val="1"/>
  </w:num>
  <w:num w:numId="12" w16cid:durableId="1676300282">
    <w:abstractNumId w:val="3"/>
  </w:num>
  <w:num w:numId="13" w16cid:durableId="770707030">
    <w:abstractNumId w:val="25"/>
  </w:num>
  <w:num w:numId="14" w16cid:durableId="2003895304">
    <w:abstractNumId w:val="26"/>
  </w:num>
  <w:num w:numId="15" w16cid:durableId="346568341">
    <w:abstractNumId w:val="0"/>
    <w:lvlOverride w:ilvl="0">
      <w:lvl w:ilvl="0">
        <w:numFmt w:val="bullet"/>
        <w:lvlText w:val=""/>
        <w:legacy w:legacy="1" w:legacySpace="0" w:legacyIndent="360"/>
        <w:lvlJc w:val="left"/>
        <w:rPr>
          <w:rFonts w:ascii="Symbol" w:hAnsi="Symbol" w:hint="default"/>
        </w:rPr>
      </w:lvl>
    </w:lvlOverride>
  </w:num>
  <w:num w:numId="16" w16cid:durableId="1580291366">
    <w:abstractNumId w:val="23"/>
  </w:num>
  <w:num w:numId="17" w16cid:durableId="1721512310">
    <w:abstractNumId w:val="24"/>
  </w:num>
  <w:num w:numId="18" w16cid:durableId="1605528121">
    <w:abstractNumId w:val="28"/>
  </w:num>
  <w:num w:numId="19" w16cid:durableId="585648667">
    <w:abstractNumId w:val="29"/>
  </w:num>
  <w:num w:numId="20" w16cid:durableId="839154811">
    <w:abstractNumId w:val="10"/>
  </w:num>
  <w:num w:numId="21" w16cid:durableId="1791312570">
    <w:abstractNumId w:val="27"/>
  </w:num>
  <w:num w:numId="22" w16cid:durableId="247081390">
    <w:abstractNumId w:val="14"/>
  </w:num>
  <w:num w:numId="23" w16cid:durableId="89419868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3391445">
    <w:abstractNumId w:val="20"/>
  </w:num>
  <w:num w:numId="25" w16cid:durableId="1011487875">
    <w:abstractNumId w:val="7"/>
  </w:num>
  <w:num w:numId="26" w16cid:durableId="570771964">
    <w:abstractNumId w:val="18"/>
  </w:num>
  <w:num w:numId="27" w16cid:durableId="1341468690">
    <w:abstractNumId w:val="22"/>
  </w:num>
  <w:num w:numId="28" w16cid:durableId="1430933288">
    <w:abstractNumId w:val="16"/>
  </w:num>
  <w:num w:numId="29" w16cid:durableId="896166776">
    <w:abstractNumId w:val="21"/>
  </w:num>
  <w:num w:numId="30" w16cid:durableId="920531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06957"/>
    <w:rsid w:val="00006986"/>
    <w:rsid w:val="000134A3"/>
    <w:rsid w:val="00020E10"/>
    <w:rsid w:val="00021B76"/>
    <w:rsid w:val="000328E7"/>
    <w:rsid w:val="00040AD7"/>
    <w:rsid w:val="000410E0"/>
    <w:rsid w:val="000526C5"/>
    <w:rsid w:val="00052DD8"/>
    <w:rsid w:val="00053399"/>
    <w:rsid w:val="000549D9"/>
    <w:rsid w:val="000562CB"/>
    <w:rsid w:val="00062D00"/>
    <w:rsid w:val="000635DF"/>
    <w:rsid w:val="000676E9"/>
    <w:rsid w:val="00067F3B"/>
    <w:rsid w:val="0007112D"/>
    <w:rsid w:val="00084B83"/>
    <w:rsid w:val="00086B3E"/>
    <w:rsid w:val="00087A62"/>
    <w:rsid w:val="000955CF"/>
    <w:rsid w:val="000A16F1"/>
    <w:rsid w:val="000A3954"/>
    <w:rsid w:val="000C3DE2"/>
    <w:rsid w:val="000C6DF0"/>
    <w:rsid w:val="000D0AED"/>
    <w:rsid w:val="000D610E"/>
    <w:rsid w:val="000E0537"/>
    <w:rsid w:val="000E22E0"/>
    <w:rsid w:val="000E4035"/>
    <w:rsid w:val="000E758A"/>
    <w:rsid w:val="000F3AFC"/>
    <w:rsid w:val="000F626D"/>
    <w:rsid w:val="000F72B6"/>
    <w:rsid w:val="00114B04"/>
    <w:rsid w:val="001219F6"/>
    <w:rsid w:val="00125F70"/>
    <w:rsid w:val="00133A79"/>
    <w:rsid w:val="00134874"/>
    <w:rsid w:val="00143576"/>
    <w:rsid w:val="00147A38"/>
    <w:rsid w:val="00162F85"/>
    <w:rsid w:val="001710B5"/>
    <w:rsid w:val="00177266"/>
    <w:rsid w:val="001775D1"/>
    <w:rsid w:val="00180B1D"/>
    <w:rsid w:val="001819E2"/>
    <w:rsid w:val="001834E3"/>
    <w:rsid w:val="0018504A"/>
    <w:rsid w:val="00186206"/>
    <w:rsid w:val="001862A9"/>
    <w:rsid w:val="00186448"/>
    <w:rsid w:val="00193BC6"/>
    <w:rsid w:val="00194EDA"/>
    <w:rsid w:val="0019799A"/>
    <w:rsid w:val="001A067B"/>
    <w:rsid w:val="001A0842"/>
    <w:rsid w:val="001A566C"/>
    <w:rsid w:val="001B3732"/>
    <w:rsid w:val="001B3888"/>
    <w:rsid w:val="001B71F4"/>
    <w:rsid w:val="001C4E98"/>
    <w:rsid w:val="001C778C"/>
    <w:rsid w:val="001C783D"/>
    <w:rsid w:val="001D01A5"/>
    <w:rsid w:val="001D1EEC"/>
    <w:rsid w:val="001D4B6E"/>
    <w:rsid w:val="001E04DD"/>
    <w:rsid w:val="001E3795"/>
    <w:rsid w:val="001E3CAC"/>
    <w:rsid w:val="001E46F4"/>
    <w:rsid w:val="001F7C48"/>
    <w:rsid w:val="00212AB0"/>
    <w:rsid w:val="002148F6"/>
    <w:rsid w:val="00223A4E"/>
    <w:rsid w:val="002306C9"/>
    <w:rsid w:val="00230DC9"/>
    <w:rsid w:val="00245DD7"/>
    <w:rsid w:val="0025455D"/>
    <w:rsid w:val="002550D0"/>
    <w:rsid w:val="00272572"/>
    <w:rsid w:val="002736A4"/>
    <w:rsid w:val="002739EE"/>
    <w:rsid w:val="00281EB6"/>
    <w:rsid w:val="002879B5"/>
    <w:rsid w:val="00295B63"/>
    <w:rsid w:val="0029644B"/>
    <w:rsid w:val="00297A4F"/>
    <w:rsid w:val="002A352A"/>
    <w:rsid w:val="002A5C4C"/>
    <w:rsid w:val="002B1A39"/>
    <w:rsid w:val="002B5BFC"/>
    <w:rsid w:val="002C46C7"/>
    <w:rsid w:val="002C503D"/>
    <w:rsid w:val="002D1FDF"/>
    <w:rsid w:val="002D4E82"/>
    <w:rsid w:val="002E4499"/>
    <w:rsid w:val="002E466F"/>
    <w:rsid w:val="002E54B4"/>
    <w:rsid w:val="0030135F"/>
    <w:rsid w:val="00304052"/>
    <w:rsid w:val="0031130E"/>
    <w:rsid w:val="00313613"/>
    <w:rsid w:val="003151C9"/>
    <w:rsid w:val="003245CF"/>
    <w:rsid w:val="003248BE"/>
    <w:rsid w:val="00324DA6"/>
    <w:rsid w:val="003367E1"/>
    <w:rsid w:val="00346A18"/>
    <w:rsid w:val="003554F5"/>
    <w:rsid w:val="00362E51"/>
    <w:rsid w:val="00363AAF"/>
    <w:rsid w:val="00367448"/>
    <w:rsid w:val="00371620"/>
    <w:rsid w:val="00374D5F"/>
    <w:rsid w:val="00381AA3"/>
    <w:rsid w:val="00383478"/>
    <w:rsid w:val="003877FA"/>
    <w:rsid w:val="00387FCD"/>
    <w:rsid w:val="003915B0"/>
    <w:rsid w:val="00392281"/>
    <w:rsid w:val="003A4496"/>
    <w:rsid w:val="003A4F5F"/>
    <w:rsid w:val="003A4F73"/>
    <w:rsid w:val="003B3D54"/>
    <w:rsid w:val="003B6893"/>
    <w:rsid w:val="003B6ED1"/>
    <w:rsid w:val="003C21E1"/>
    <w:rsid w:val="003E457C"/>
    <w:rsid w:val="003F15A2"/>
    <w:rsid w:val="003F573C"/>
    <w:rsid w:val="003F62AF"/>
    <w:rsid w:val="003F7303"/>
    <w:rsid w:val="00400D8A"/>
    <w:rsid w:val="0040257A"/>
    <w:rsid w:val="0041039D"/>
    <w:rsid w:val="004104F8"/>
    <w:rsid w:val="00417BB7"/>
    <w:rsid w:val="00420614"/>
    <w:rsid w:val="004232AB"/>
    <w:rsid w:val="0043517F"/>
    <w:rsid w:val="00436F78"/>
    <w:rsid w:val="004375CC"/>
    <w:rsid w:val="00437C5B"/>
    <w:rsid w:val="00450D66"/>
    <w:rsid w:val="004526DC"/>
    <w:rsid w:val="00452829"/>
    <w:rsid w:val="00460696"/>
    <w:rsid w:val="0046626E"/>
    <w:rsid w:val="00470C47"/>
    <w:rsid w:val="00472F43"/>
    <w:rsid w:val="004738E1"/>
    <w:rsid w:val="00473D5A"/>
    <w:rsid w:val="004801CC"/>
    <w:rsid w:val="004821DD"/>
    <w:rsid w:val="00482ADB"/>
    <w:rsid w:val="00486480"/>
    <w:rsid w:val="00491D63"/>
    <w:rsid w:val="004A02CE"/>
    <w:rsid w:val="004A263F"/>
    <w:rsid w:val="004B1151"/>
    <w:rsid w:val="004B2234"/>
    <w:rsid w:val="004B2D28"/>
    <w:rsid w:val="004B474E"/>
    <w:rsid w:val="004C454E"/>
    <w:rsid w:val="004C65CB"/>
    <w:rsid w:val="004C671F"/>
    <w:rsid w:val="004E0081"/>
    <w:rsid w:val="004E04B1"/>
    <w:rsid w:val="004E4B60"/>
    <w:rsid w:val="004F53EA"/>
    <w:rsid w:val="00505DF1"/>
    <w:rsid w:val="0050741C"/>
    <w:rsid w:val="00512E84"/>
    <w:rsid w:val="0052140F"/>
    <w:rsid w:val="0052324E"/>
    <w:rsid w:val="00526FFD"/>
    <w:rsid w:val="0053342D"/>
    <w:rsid w:val="00537A61"/>
    <w:rsid w:val="00537D80"/>
    <w:rsid w:val="00543DCE"/>
    <w:rsid w:val="00550B95"/>
    <w:rsid w:val="005624CA"/>
    <w:rsid w:val="00566562"/>
    <w:rsid w:val="00566ADC"/>
    <w:rsid w:val="005845EF"/>
    <w:rsid w:val="00591B6E"/>
    <w:rsid w:val="005930E8"/>
    <w:rsid w:val="005954BB"/>
    <w:rsid w:val="005978D8"/>
    <w:rsid w:val="005A27EE"/>
    <w:rsid w:val="005A67BA"/>
    <w:rsid w:val="005B2C4E"/>
    <w:rsid w:val="005D0357"/>
    <w:rsid w:val="005D3180"/>
    <w:rsid w:val="005D418F"/>
    <w:rsid w:val="005D443E"/>
    <w:rsid w:val="005D5814"/>
    <w:rsid w:val="005D6189"/>
    <w:rsid w:val="0060090B"/>
    <w:rsid w:val="00603A71"/>
    <w:rsid w:val="00607F46"/>
    <w:rsid w:val="00621C93"/>
    <w:rsid w:val="0063072E"/>
    <w:rsid w:val="00633648"/>
    <w:rsid w:val="0065687E"/>
    <w:rsid w:val="006605EE"/>
    <w:rsid w:val="00661B14"/>
    <w:rsid w:val="00661D05"/>
    <w:rsid w:val="0066267E"/>
    <w:rsid w:val="00665B21"/>
    <w:rsid w:val="006724C4"/>
    <w:rsid w:val="0067577A"/>
    <w:rsid w:val="006829E1"/>
    <w:rsid w:val="00684523"/>
    <w:rsid w:val="00692A85"/>
    <w:rsid w:val="00693391"/>
    <w:rsid w:val="00696741"/>
    <w:rsid w:val="00697EC9"/>
    <w:rsid w:val="006A0034"/>
    <w:rsid w:val="006A1450"/>
    <w:rsid w:val="006A5324"/>
    <w:rsid w:val="006A7E21"/>
    <w:rsid w:val="006B1C19"/>
    <w:rsid w:val="006B3B32"/>
    <w:rsid w:val="006B7A14"/>
    <w:rsid w:val="006C7C2D"/>
    <w:rsid w:val="006D5F02"/>
    <w:rsid w:val="006E4214"/>
    <w:rsid w:val="006E622C"/>
    <w:rsid w:val="006E6DC7"/>
    <w:rsid w:val="006F1777"/>
    <w:rsid w:val="006F45F0"/>
    <w:rsid w:val="00704BD2"/>
    <w:rsid w:val="0071032D"/>
    <w:rsid w:val="0071085E"/>
    <w:rsid w:val="00712CAB"/>
    <w:rsid w:val="007136EB"/>
    <w:rsid w:val="00715FAA"/>
    <w:rsid w:val="00721C5B"/>
    <w:rsid w:val="00722066"/>
    <w:rsid w:val="007274F5"/>
    <w:rsid w:val="00731DEC"/>
    <w:rsid w:val="0073561A"/>
    <w:rsid w:val="00735FCD"/>
    <w:rsid w:val="00744D67"/>
    <w:rsid w:val="00746BB1"/>
    <w:rsid w:val="00747A10"/>
    <w:rsid w:val="00747BC8"/>
    <w:rsid w:val="00751893"/>
    <w:rsid w:val="00755467"/>
    <w:rsid w:val="0076116F"/>
    <w:rsid w:val="00764C70"/>
    <w:rsid w:val="00775121"/>
    <w:rsid w:val="007769DB"/>
    <w:rsid w:val="00785C56"/>
    <w:rsid w:val="0078791C"/>
    <w:rsid w:val="00792B6A"/>
    <w:rsid w:val="00795DFA"/>
    <w:rsid w:val="00796095"/>
    <w:rsid w:val="007A03C6"/>
    <w:rsid w:val="007A6634"/>
    <w:rsid w:val="007B03B9"/>
    <w:rsid w:val="007C0D43"/>
    <w:rsid w:val="007C6D0D"/>
    <w:rsid w:val="007D19C3"/>
    <w:rsid w:val="007D575B"/>
    <w:rsid w:val="007D640E"/>
    <w:rsid w:val="007E55A1"/>
    <w:rsid w:val="007E5B0C"/>
    <w:rsid w:val="007F085A"/>
    <w:rsid w:val="007F5CEB"/>
    <w:rsid w:val="007F65CB"/>
    <w:rsid w:val="007F7642"/>
    <w:rsid w:val="00805B21"/>
    <w:rsid w:val="00817AC4"/>
    <w:rsid w:val="00817E73"/>
    <w:rsid w:val="00821BA7"/>
    <w:rsid w:val="00826E09"/>
    <w:rsid w:val="00835005"/>
    <w:rsid w:val="008404B8"/>
    <w:rsid w:val="0084071F"/>
    <w:rsid w:val="008512E9"/>
    <w:rsid w:val="00857F74"/>
    <w:rsid w:val="00863A55"/>
    <w:rsid w:val="00872178"/>
    <w:rsid w:val="008833D2"/>
    <w:rsid w:val="00885D81"/>
    <w:rsid w:val="008901CA"/>
    <w:rsid w:val="008966D3"/>
    <w:rsid w:val="008A4388"/>
    <w:rsid w:val="008B096F"/>
    <w:rsid w:val="008B7195"/>
    <w:rsid w:val="008B788B"/>
    <w:rsid w:val="008C7267"/>
    <w:rsid w:val="008D0A4A"/>
    <w:rsid w:val="008E662B"/>
    <w:rsid w:val="008F000D"/>
    <w:rsid w:val="00907DC5"/>
    <w:rsid w:val="009259B9"/>
    <w:rsid w:val="009278E8"/>
    <w:rsid w:val="00927D5F"/>
    <w:rsid w:val="00932842"/>
    <w:rsid w:val="00936E3E"/>
    <w:rsid w:val="0094103A"/>
    <w:rsid w:val="00943FC1"/>
    <w:rsid w:val="00952EC0"/>
    <w:rsid w:val="0095489B"/>
    <w:rsid w:val="00955CD5"/>
    <w:rsid w:val="00957C2A"/>
    <w:rsid w:val="00963C88"/>
    <w:rsid w:val="009665B6"/>
    <w:rsid w:val="00974EF8"/>
    <w:rsid w:val="00977BAC"/>
    <w:rsid w:val="00984C16"/>
    <w:rsid w:val="009951E6"/>
    <w:rsid w:val="0099687E"/>
    <w:rsid w:val="00996A7F"/>
    <w:rsid w:val="0099735B"/>
    <w:rsid w:val="009A0692"/>
    <w:rsid w:val="009B13C1"/>
    <w:rsid w:val="009B1F73"/>
    <w:rsid w:val="009B609F"/>
    <w:rsid w:val="009B7977"/>
    <w:rsid w:val="009C11A2"/>
    <w:rsid w:val="009C590C"/>
    <w:rsid w:val="009C6E76"/>
    <w:rsid w:val="009C77C7"/>
    <w:rsid w:val="009D21FC"/>
    <w:rsid w:val="009D2EF8"/>
    <w:rsid w:val="009D43E6"/>
    <w:rsid w:val="009D50CF"/>
    <w:rsid w:val="009E0515"/>
    <w:rsid w:val="009E1306"/>
    <w:rsid w:val="009E2521"/>
    <w:rsid w:val="009E4776"/>
    <w:rsid w:val="009F2482"/>
    <w:rsid w:val="009F692F"/>
    <w:rsid w:val="00A07B61"/>
    <w:rsid w:val="00A12E93"/>
    <w:rsid w:val="00A162B0"/>
    <w:rsid w:val="00A16863"/>
    <w:rsid w:val="00A359C5"/>
    <w:rsid w:val="00A44DC5"/>
    <w:rsid w:val="00A46EC2"/>
    <w:rsid w:val="00A55632"/>
    <w:rsid w:val="00A605DB"/>
    <w:rsid w:val="00A633D5"/>
    <w:rsid w:val="00A6442F"/>
    <w:rsid w:val="00A73C65"/>
    <w:rsid w:val="00A7485A"/>
    <w:rsid w:val="00A7650E"/>
    <w:rsid w:val="00A81808"/>
    <w:rsid w:val="00A83B6B"/>
    <w:rsid w:val="00A975CD"/>
    <w:rsid w:val="00AA56D4"/>
    <w:rsid w:val="00AB0BA2"/>
    <w:rsid w:val="00AB1001"/>
    <w:rsid w:val="00AB2488"/>
    <w:rsid w:val="00AC304E"/>
    <w:rsid w:val="00AC6BB5"/>
    <w:rsid w:val="00AD0A1E"/>
    <w:rsid w:val="00AD1248"/>
    <w:rsid w:val="00AD4837"/>
    <w:rsid w:val="00AE066D"/>
    <w:rsid w:val="00AE484C"/>
    <w:rsid w:val="00AF2AAC"/>
    <w:rsid w:val="00AF4569"/>
    <w:rsid w:val="00B07878"/>
    <w:rsid w:val="00B10BD0"/>
    <w:rsid w:val="00B149D6"/>
    <w:rsid w:val="00B24D1B"/>
    <w:rsid w:val="00B25022"/>
    <w:rsid w:val="00B30AF5"/>
    <w:rsid w:val="00B33108"/>
    <w:rsid w:val="00B343E4"/>
    <w:rsid w:val="00B35B1F"/>
    <w:rsid w:val="00B40F1A"/>
    <w:rsid w:val="00B43D92"/>
    <w:rsid w:val="00B47F1F"/>
    <w:rsid w:val="00B51B24"/>
    <w:rsid w:val="00B62723"/>
    <w:rsid w:val="00B64882"/>
    <w:rsid w:val="00B80CAD"/>
    <w:rsid w:val="00B8165B"/>
    <w:rsid w:val="00B861E4"/>
    <w:rsid w:val="00B86AC6"/>
    <w:rsid w:val="00B9069A"/>
    <w:rsid w:val="00B97C58"/>
    <w:rsid w:val="00BA2981"/>
    <w:rsid w:val="00BA7BEA"/>
    <w:rsid w:val="00BB2A88"/>
    <w:rsid w:val="00BB618B"/>
    <w:rsid w:val="00BB6A0C"/>
    <w:rsid w:val="00BC01B0"/>
    <w:rsid w:val="00BC084B"/>
    <w:rsid w:val="00BC102A"/>
    <w:rsid w:val="00BC5B65"/>
    <w:rsid w:val="00BC7429"/>
    <w:rsid w:val="00BD038B"/>
    <w:rsid w:val="00BD37B5"/>
    <w:rsid w:val="00BE19D1"/>
    <w:rsid w:val="00C02B1C"/>
    <w:rsid w:val="00C03B1E"/>
    <w:rsid w:val="00C241D2"/>
    <w:rsid w:val="00C27700"/>
    <w:rsid w:val="00C31F69"/>
    <w:rsid w:val="00C35208"/>
    <w:rsid w:val="00C35C3F"/>
    <w:rsid w:val="00C41A23"/>
    <w:rsid w:val="00C43995"/>
    <w:rsid w:val="00C44EC4"/>
    <w:rsid w:val="00C53221"/>
    <w:rsid w:val="00C54650"/>
    <w:rsid w:val="00C648D1"/>
    <w:rsid w:val="00C75E1B"/>
    <w:rsid w:val="00C91830"/>
    <w:rsid w:val="00C9396B"/>
    <w:rsid w:val="00C96137"/>
    <w:rsid w:val="00CA2401"/>
    <w:rsid w:val="00CB0119"/>
    <w:rsid w:val="00CB5C86"/>
    <w:rsid w:val="00CC2321"/>
    <w:rsid w:val="00CC2B77"/>
    <w:rsid w:val="00CD2C51"/>
    <w:rsid w:val="00CE3339"/>
    <w:rsid w:val="00CE6482"/>
    <w:rsid w:val="00CF08E0"/>
    <w:rsid w:val="00D001DC"/>
    <w:rsid w:val="00D0079D"/>
    <w:rsid w:val="00D050DD"/>
    <w:rsid w:val="00D17507"/>
    <w:rsid w:val="00D25AC6"/>
    <w:rsid w:val="00D27CBA"/>
    <w:rsid w:val="00D30C77"/>
    <w:rsid w:val="00D40787"/>
    <w:rsid w:val="00D42E19"/>
    <w:rsid w:val="00D4583E"/>
    <w:rsid w:val="00D45A8D"/>
    <w:rsid w:val="00D533F0"/>
    <w:rsid w:val="00D53678"/>
    <w:rsid w:val="00D55EBF"/>
    <w:rsid w:val="00D57EED"/>
    <w:rsid w:val="00D65030"/>
    <w:rsid w:val="00D71B08"/>
    <w:rsid w:val="00D8219B"/>
    <w:rsid w:val="00D82539"/>
    <w:rsid w:val="00D84757"/>
    <w:rsid w:val="00D912FD"/>
    <w:rsid w:val="00D934A1"/>
    <w:rsid w:val="00DA14BA"/>
    <w:rsid w:val="00DA616B"/>
    <w:rsid w:val="00DC3D81"/>
    <w:rsid w:val="00DD1C90"/>
    <w:rsid w:val="00DD3578"/>
    <w:rsid w:val="00DD7E82"/>
    <w:rsid w:val="00DE3F37"/>
    <w:rsid w:val="00DE6B5A"/>
    <w:rsid w:val="00DE7604"/>
    <w:rsid w:val="00DF20BA"/>
    <w:rsid w:val="00DF5B7F"/>
    <w:rsid w:val="00DF6FC5"/>
    <w:rsid w:val="00DF7FA1"/>
    <w:rsid w:val="00E03084"/>
    <w:rsid w:val="00E073D0"/>
    <w:rsid w:val="00E108DE"/>
    <w:rsid w:val="00E118BA"/>
    <w:rsid w:val="00E14E82"/>
    <w:rsid w:val="00E23D86"/>
    <w:rsid w:val="00E2536C"/>
    <w:rsid w:val="00E306A3"/>
    <w:rsid w:val="00E368F2"/>
    <w:rsid w:val="00E36D84"/>
    <w:rsid w:val="00E37E81"/>
    <w:rsid w:val="00E67C9A"/>
    <w:rsid w:val="00E70723"/>
    <w:rsid w:val="00E7317A"/>
    <w:rsid w:val="00E7683A"/>
    <w:rsid w:val="00E83695"/>
    <w:rsid w:val="00E87287"/>
    <w:rsid w:val="00E91D7B"/>
    <w:rsid w:val="00E91FCF"/>
    <w:rsid w:val="00E9387B"/>
    <w:rsid w:val="00EA2ECA"/>
    <w:rsid w:val="00EA55BA"/>
    <w:rsid w:val="00EB0D49"/>
    <w:rsid w:val="00EC6171"/>
    <w:rsid w:val="00EC6F86"/>
    <w:rsid w:val="00ED086F"/>
    <w:rsid w:val="00ED1783"/>
    <w:rsid w:val="00ED7899"/>
    <w:rsid w:val="00ED78D9"/>
    <w:rsid w:val="00EE57F8"/>
    <w:rsid w:val="00EE7EC7"/>
    <w:rsid w:val="00EF0BF9"/>
    <w:rsid w:val="00EF393E"/>
    <w:rsid w:val="00F021D9"/>
    <w:rsid w:val="00F03106"/>
    <w:rsid w:val="00F04C98"/>
    <w:rsid w:val="00F062DB"/>
    <w:rsid w:val="00F126DD"/>
    <w:rsid w:val="00F15823"/>
    <w:rsid w:val="00F16D9D"/>
    <w:rsid w:val="00F25039"/>
    <w:rsid w:val="00F25EE5"/>
    <w:rsid w:val="00F26258"/>
    <w:rsid w:val="00F35787"/>
    <w:rsid w:val="00F50C65"/>
    <w:rsid w:val="00F52B71"/>
    <w:rsid w:val="00F60366"/>
    <w:rsid w:val="00F74BEE"/>
    <w:rsid w:val="00F81022"/>
    <w:rsid w:val="00F81E5B"/>
    <w:rsid w:val="00F8395E"/>
    <w:rsid w:val="00F92B4C"/>
    <w:rsid w:val="00FA434D"/>
    <w:rsid w:val="00FB3012"/>
    <w:rsid w:val="00FB3385"/>
    <w:rsid w:val="00FB7ABC"/>
    <w:rsid w:val="00FC1C62"/>
    <w:rsid w:val="00FC494B"/>
    <w:rsid w:val="00FC7F72"/>
    <w:rsid w:val="00FD11CE"/>
    <w:rsid w:val="00FD4E0B"/>
    <w:rsid w:val="00FD656B"/>
    <w:rsid w:val="00FE1BB7"/>
    <w:rsid w:val="00FE1FBF"/>
    <w:rsid w:val="00FF25BA"/>
    <w:rsid w:val="00FF75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0"/>
    </o:shapedefaults>
    <o:shapelayout v:ext="edit">
      <o:idmap v:ext="edit" data="1"/>
    </o:shapelayout>
  </w:shapeDefaults>
  <w:doNotEmbedSmartTags/>
  <w:decimalSymbol w:val=","/>
  <w:listSeparator w:val=";"/>
  <w14:docId w14:val="6D829959"/>
  <w15:docId w15:val="{BEEE1ECB-3963-438D-82B9-E344465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rsid w:val="00C43995"/>
    <w:pPr>
      <w:spacing w:after="120"/>
    </w:p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basedOn w:val="Normal"/>
    <w:uiPriority w:val="34"/>
    <w:qFormat/>
    <w:rsid w:val="000E22E0"/>
    <w:pPr>
      <w:ind w:left="708"/>
    </w:pPr>
    <w:rPr>
      <w:szCs w:val="21"/>
    </w:rPr>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uiPriority w:val="99"/>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2C503D"/>
    <w:rPr>
      <w:lang w:val="es-ES" w:eastAsia="es-ES"/>
    </w:rPr>
  </w:style>
  <w:style w:type="character" w:styleId="Refdenotaalpie">
    <w:name w:val="footnote reference"/>
    <w:uiPriority w:val="99"/>
    <w:rsid w:val="002C503D"/>
    <w:rPr>
      <w:vertAlign w:val="superscript"/>
    </w:rPr>
  </w:style>
  <w:style w:type="character" w:customStyle="1" w:styleId="Ancladenotaalpie">
    <w:name w:val="Ancla de nota al pie"/>
    <w:basedOn w:val="Fuentedeprrafopredeter"/>
    <w:rsid w:val="003877FA"/>
    <w:rPr>
      <w:vertAlign w:val="superscript"/>
    </w:rPr>
  </w:style>
  <w:style w:type="character" w:customStyle="1" w:styleId="Smbolodenotaalpie">
    <w:name w:val="Símbolo de nota al pie"/>
    <w:basedOn w:val="Fuentedeprrafopredeter"/>
    <w:rsid w:val="003877FA"/>
    <w:rPr>
      <w:vertAlign w:val="superscript"/>
    </w:rPr>
  </w:style>
  <w:style w:type="character" w:customStyle="1" w:styleId="Caracteresdenotaalpie">
    <w:name w:val="Caracteres de nota al pie"/>
    <w:rsid w:val="00863A55"/>
    <w:rPr>
      <w:vertAlign w:val="superscript"/>
    </w:rPr>
  </w:style>
  <w:style w:type="paragraph" w:styleId="Textocomentario">
    <w:name w:val="annotation text"/>
    <w:basedOn w:val="Normal"/>
    <w:link w:val="TextocomentarioCar"/>
    <w:uiPriority w:val="99"/>
    <w:semiHidden/>
    <w:rsid w:val="00805B21"/>
    <w:pPr>
      <w:widowControl/>
    </w:pPr>
    <w:rPr>
      <w:rFonts w:eastAsia="Times New Roman" w:cs="Times New Roman"/>
      <w:kern w:val="0"/>
      <w:sz w:val="20"/>
      <w:szCs w:val="20"/>
      <w:lang w:val="es-CR" w:eastAsia="ar-SA" w:bidi="ar-SA"/>
    </w:rPr>
  </w:style>
  <w:style w:type="character" w:customStyle="1" w:styleId="TextocomentarioCar">
    <w:name w:val="Texto comentario Car"/>
    <w:basedOn w:val="Fuentedeprrafopredeter"/>
    <w:link w:val="Textocomentario"/>
    <w:uiPriority w:val="99"/>
    <w:semiHidden/>
    <w:rsid w:val="00805B21"/>
    <w:rPr>
      <w:lang w:eastAsia="ar-SA"/>
    </w:rPr>
  </w:style>
  <w:style w:type="character" w:styleId="Refdecomentario">
    <w:name w:val="annotation reference"/>
    <w:uiPriority w:val="99"/>
    <w:semiHidden/>
    <w:rsid w:val="00805B21"/>
    <w:rPr>
      <w:sz w:val="16"/>
      <w:szCs w:val="16"/>
    </w:rPr>
  </w:style>
  <w:style w:type="paragraph" w:styleId="Asuntodelcomentario">
    <w:name w:val="annotation subject"/>
    <w:basedOn w:val="Textocomentario"/>
    <w:next w:val="Textocomentario"/>
    <w:link w:val="AsuntodelcomentarioCar"/>
    <w:uiPriority w:val="99"/>
    <w:semiHidden/>
    <w:unhideWhenUsed/>
    <w:rsid w:val="00052DD8"/>
    <w:pPr>
      <w:widowControl w:val="0"/>
    </w:pPr>
    <w:rPr>
      <w:rFonts w:eastAsia="SimSun" w:cs="Mangal"/>
      <w:b/>
      <w:bCs/>
      <w:kern w:val="1"/>
      <w:szCs w:val="18"/>
      <w:lang w:val="es-ES" w:eastAsia="zh-CN" w:bidi="hi-IN"/>
    </w:rPr>
  </w:style>
  <w:style w:type="character" w:customStyle="1" w:styleId="AsuntodelcomentarioCar">
    <w:name w:val="Asunto del comentario Car"/>
    <w:basedOn w:val="TextocomentarioCar"/>
    <w:link w:val="Asuntodelcomentario"/>
    <w:uiPriority w:val="99"/>
    <w:semiHidden/>
    <w:rsid w:val="00052DD8"/>
    <w:rPr>
      <w:rFonts w:eastAsia="SimSun" w:cs="Mangal"/>
      <w:b/>
      <w:bCs/>
      <w:kern w:val="1"/>
      <w:szCs w:val="18"/>
      <w:lang w:val="es-ES" w:eastAsia="zh-CN" w:bidi="hi-IN"/>
    </w:rPr>
  </w:style>
  <w:style w:type="table" w:styleId="Tablaconcuadrcula">
    <w:name w:val="Table Grid"/>
    <w:basedOn w:val="Tablanormal"/>
    <w:rsid w:val="009C77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3B1E"/>
    <w:rPr>
      <w:rFonts w:eastAsia="SimSun" w:cs="Mangal"/>
      <w:kern w:val="1"/>
      <w:sz w:val="24"/>
      <w:szCs w:val="21"/>
      <w:lang w:val="es-ES" w:eastAsia="zh-CN" w:bidi="hi-IN"/>
    </w:rPr>
  </w:style>
  <w:style w:type="paragraph" w:customStyle="1" w:styleId="Default">
    <w:name w:val="Default"/>
    <w:rsid w:val="00747A10"/>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9259">
      <w:bodyDiv w:val="1"/>
      <w:marLeft w:val="0"/>
      <w:marRight w:val="0"/>
      <w:marTop w:val="0"/>
      <w:marBottom w:val="0"/>
      <w:divBdr>
        <w:top w:val="none" w:sz="0" w:space="0" w:color="auto"/>
        <w:left w:val="none" w:sz="0" w:space="0" w:color="auto"/>
        <w:bottom w:val="none" w:sz="0" w:space="0" w:color="auto"/>
        <w:right w:val="none" w:sz="0" w:space="0" w:color="auto"/>
      </w:divBdr>
    </w:div>
    <w:div w:id="163740766">
      <w:bodyDiv w:val="1"/>
      <w:marLeft w:val="0"/>
      <w:marRight w:val="0"/>
      <w:marTop w:val="0"/>
      <w:marBottom w:val="0"/>
      <w:divBdr>
        <w:top w:val="none" w:sz="0" w:space="0" w:color="auto"/>
        <w:left w:val="none" w:sz="0" w:space="0" w:color="auto"/>
        <w:bottom w:val="none" w:sz="0" w:space="0" w:color="auto"/>
        <w:right w:val="none" w:sz="0" w:space="0" w:color="auto"/>
      </w:divBdr>
    </w:div>
    <w:div w:id="195973432">
      <w:bodyDiv w:val="1"/>
      <w:marLeft w:val="0"/>
      <w:marRight w:val="0"/>
      <w:marTop w:val="0"/>
      <w:marBottom w:val="0"/>
      <w:divBdr>
        <w:top w:val="none" w:sz="0" w:space="0" w:color="auto"/>
        <w:left w:val="none" w:sz="0" w:space="0" w:color="auto"/>
        <w:bottom w:val="none" w:sz="0" w:space="0" w:color="auto"/>
        <w:right w:val="none" w:sz="0" w:space="0" w:color="auto"/>
      </w:divBdr>
    </w:div>
    <w:div w:id="196697890">
      <w:bodyDiv w:val="1"/>
      <w:marLeft w:val="0"/>
      <w:marRight w:val="0"/>
      <w:marTop w:val="0"/>
      <w:marBottom w:val="0"/>
      <w:divBdr>
        <w:top w:val="none" w:sz="0" w:space="0" w:color="auto"/>
        <w:left w:val="none" w:sz="0" w:space="0" w:color="auto"/>
        <w:bottom w:val="none" w:sz="0" w:space="0" w:color="auto"/>
        <w:right w:val="none" w:sz="0" w:space="0" w:color="auto"/>
      </w:divBdr>
    </w:div>
    <w:div w:id="216864027">
      <w:bodyDiv w:val="1"/>
      <w:marLeft w:val="0"/>
      <w:marRight w:val="0"/>
      <w:marTop w:val="0"/>
      <w:marBottom w:val="0"/>
      <w:divBdr>
        <w:top w:val="none" w:sz="0" w:space="0" w:color="auto"/>
        <w:left w:val="none" w:sz="0" w:space="0" w:color="auto"/>
        <w:bottom w:val="none" w:sz="0" w:space="0" w:color="auto"/>
        <w:right w:val="none" w:sz="0" w:space="0" w:color="auto"/>
      </w:divBdr>
    </w:div>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561334692">
      <w:bodyDiv w:val="1"/>
      <w:marLeft w:val="0"/>
      <w:marRight w:val="0"/>
      <w:marTop w:val="0"/>
      <w:marBottom w:val="0"/>
      <w:divBdr>
        <w:top w:val="none" w:sz="0" w:space="0" w:color="auto"/>
        <w:left w:val="none" w:sz="0" w:space="0" w:color="auto"/>
        <w:bottom w:val="none" w:sz="0" w:space="0" w:color="auto"/>
        <w:right w:val="none" w:sz="0" w:space="0" w:color="auto"/>
      </w:divBdr>
    </w:div>
    <w:div w:id="602886252">
      <w:bodyDiv w:val="1"/>
      <w:marLeft w:val="0"/>
      <w:marRight w:val="0"/>
      <w:marTop w:val="0"/>
      <w:marBottom w:val="0"/>
      <w:divBdr>
        <w:top w:val="none" w:sz="0" w:space="0" w:color="auto"/>
        <w:left w:val="none" w:sz="0" w:space="0" w:color="auto"/>
        <w:bottom w:val="none" w:sz="0" w:space="0" w:color="auto"/>
        <w:right w:val="none" w:sz="0" w:space="0" w:color="auto"/>
      </w:divBdr>
    </w:div>
    <w:div w:id="625740458">
      <w:bodyDiv w:val="1"/>
      <w:marLeft w:val="0"/>
      <w:marRight w:val="0"/>
      <w:marTop w:val="0"/>
      <w:marBottom w:val="0"/>
      <w:divBdr>
        <w:top w:val="none" w:sz="0" w:space="0" w:color="auto"/>
        <w:left w:val="none" w:sz="0" w:space="0" w:color="auto"/>
        <w:bottom w:val="none" w:sz="0" w:space="0" w:color="auto"/>
        <w:right w:val="none" w:sz="0" w:space="0" w:color="auto"/>
      </w:divBdr>
    </w:div>
    <w:div w:id="630475688">
      <w:bodyDiv w:val="1"/>
      <w:marLeft w:val="0"/>
      <w:marRight w:val="0"/>
      <w:marTop w:val="0"/>
      <w:marBottom w:val="0"/>
      <w:divBdr>
        <w:top w:val="none" w:sz="0" w:space="0" w:color="auto"/>
        <w:left w:val="none" w:sz="0" w:space="0" w:color="auto"/>
        <w:bottom w:val="none" w:sz="0" w:space="0" w:color="auto"/>
        <w:right w:val="none" w:sz="0" w:space="0" w:color="auto"/>
      </w:divBdr>
    </w:div>
    <w:div w:id="781648723">
      <w:bodyDiv w:val="1"/>
      <w:marLeft w:val="0"/>
      <w:marRight w:val="0"/>
      <w:marTop w:val="0"/>
      <w:marBottom w:val="0"/>
      <w:divBdr>
        <w:top w:val="none" w:sz="0" w:space="0" w:color="auto"/>
        <w:left w:val="none" w:sz="0" w:space="0" w:color="auto"/>
        <w:bottom w:val="none" w:sz="0" w:space="0" w:color="auto"/>
        <w:right w:val="none" w:sz="0" w:space="0" w:color="auto"/>
      </w:divBdr>
    </w:div>
    <w:div w:id="786698147">
      <w:bodyDiv w:val="1"/>
      <w:marLeft w:val="0"/>
      <w:marRight w:val="0"/>
      <w:marTop w:val="0"/>
      <w:marBottom w:val="0"/>
      <w:divBdr>
        <w:top w:val="none" w:sz="0" w:space="0" w:color="auto"/>
        <w:left w:val="none" w:sz="0" w:space="0" w:color="auto"/>
        <w:bottom w:val="none" w:sz="0" w:space="0" w:color="auto"/>
        <w:right w:val="none" w:sz="0" w:space="0" w:color="auto"/>
      </w:divBdr>
    </w:div>
    <w:div w:id="853883134">
      <w:bodyDiv w:val="1"/>
      <w:marLeft w:val="0"/>
      <w:marRight w:val="0"/>
      <w:marTop w:val="0"/>
      <w:marBottom w:val="0"/>
      <w:divBdr>
        <w:top w:val="none" w:sz="0" w:space="0" w:color="auto"/>
        <w:left w:val="none" w:sz="0" w:space="0" w:color="auto"/>
        <w:bottom w:val="none" w:sz="0" w:space="0" w:color="auto"/>
        <w:right w:val="none" w:sz="0" w:space="0" w:color="auto"/>
      </w:divBdr>
    </w:div>
    <w:div w:id="1153371259">
      <w:bodyDiv w:val="1"/>
      <w:marLeft w:val="0"/>
      <w:marRight w:val="0"/>
      <w:marTop w:val="0"/>
      <w:marBottom w:val="0"/>
      <w:divBdr>
        <w:top w:val="none" w:sz="0" w:space="0" w:color="auto"/>
        <w:left w:val="none" w:sz="0" w:space="0" w:color="auto"/>
        <w:bottom w:val="none" w:sz="0" w:space="0" w:color="auto"/>
        <w:right w:val="none" w:sz="0" w:space="0" w:color="auto"/>
      </w:divBdr>
    </w:div>
    <w:div w:id="1171792271">
      <w:bodyDiv w:val="1"/>
      <w:marLeft w:val="0"/>
      <w:marRight w:val="0"/>
      <w:marTop w:val="0"/>
      <w:marBottom w:val="0"/>
      <w:divBdr>
        <w:top w:val="none" w:sz="0" w:space="0" w:color="auto"/>
        <w:left w:val="none" w:sz="0" w:space="0" w:color="auto"/>
        <w:bottom w:val="none" w:sz="0" w:space="0" w:color="auto"/>
        <w:right w:val="none" w:sz="0" w:space="0" w:color="auto"/>
      </w:divBdr>
    </w:div>
    <w:div w:id="1224678880">
      <w:bodyDiv w:val="1"/>
      <w:marLeft w:val="0"/>
      <w:marRight w:val="0"/>
      <w:marTop w:val="0"/>
      <w:marBottom w:val="0"/>
      <w:divBdr>
        <w:top w:val="none" w:sz="0" w:space="0" w:color="auto"/>
        <w:left w:val="none" w:sz="0" w:space="0" w:color="auto"/>
        <w:bottom w:val="none" w:sz="0" w:space="0" w:color="auto"/>
        <w:right w:val="none" w:sz="0" w:space="0" w:color="auto"/>
      </w:divBdr>
    </w:div>
    <w:div w:id="1340505967">
      <w:bodyDiv w:val="1"/>
      <w:marLeft w:val="0"/>
      <w:marRight w:val="0"/>
      <w:marTop w:val="0"/>
      <w:marBottom w:val="0"/>
      <w:divBdr>
        <w:top w:val="none" w:sz="0" w:space="0" w:color="auto"/>
        <w:left w:val="none" w:sz="0" w:space="0" w:color="auto"/>
        <w:bottom w:val="none" w:sz="0" w:space="0" w:color="auto"/>
        <w:right w:val="none" w:sz="0" w:space="0" w:color="auto"/>
      </w:divBdr>
    </w:div>
    <w:div w:id="1360354844">
      <w:bodyDiv w:val="1"/>
      <w:marLeft w:val="0"/>
      <w:marRight w:val="0"/>
      <w:marTop w:val="0"/>
      <w:marBottom w:val="0"/>
      <w:divBdr>
        <w:top w:val="none" w:sz="0" w:space="0" w:color="auto"/>
        <w:left w:val="none" w:sz="0" w:space="0" w:color="auto"/>
        <w:bottom w:val="none" w:sz="0" w:space="0" w:color="auto"/>
        <w:right w:val="none" w:sz="0" w:space="0" w:color="auto"/>
      </w:divBdr>
    </w:div>
    <w:div w:id="1383168484">
      <w:bodyDiv w:val="1"/>
      <w:marLeft w:val="0"/>
      <w:marRight w:val="0"/>
      <w:marTop w:val="0"/>
      <w:marBottom w:val="0"/>
      <w:divBdr>
        <w:top w:val="none" w:sz="0" w:space="0" w:color="auto"/>
        <w:left w:val="none" w:sz="0" w:space="0" w:color="auto"/>
        <w:bottom w:val="none" w:sz="0" w:space="0" w:color="auto"/>
        <w:right w:val="none" w:sz="0" w:space="0" w:color="auto"/>
      </w:divBdr>
    </w:div>
    <w:div w:id="1506476683">
      <w:bodyDiv w:val="1"/>
      <w:marLeft w:val="0"/>
      <w:marRight w:val="0"/>
      <w:marTop w:val="0"/>
      <w:marBottom w:val="0"/>
      <w:divBdr>
        <w:top w:val="none" w:sz="0" w:space="0" w:color="auto"/>
        <w:left w:val="none" w:sz="0" w:space="0" w:color="auto"/>
        <w:bottom w:val="none" w:sz="0" w:space="0" w:color="auto"/>
        <w:right w:val="none" w:sz="0" w:space="0" w:color="auto"/>
      </w:divBdr>
    </w:div>
    <w:div w:id="1626036428">
      <w:bodyDiv w:val="1"/>
      <w:marLeft w:val="0"/>
      <w:marRight w:val="0"/>
      <w:marTop w:val="0"/>
      <w:marBottom w:val="0"/>
      <w:divBdr>
        <w:top w:val="none" w:sz="0" w:space="0" w:color="auto"/>
        <w:left w:val="none" w:sz="0" w:space="0" w:color="auto"/>
        <w:bottom w:val="none" w:sz="0" w:space="0" w:color="auto"/>
        <w:right w:val="none" w:sz="0" w:space="0" w:color="auto"/>
      </w:divBdr>
    </w:div>
    <w:div w:id="1636980563">
      <w:bodyDiv w:val="1"/>
      <w:marLeft w:val="0"/>
      <w:marRight w:val="0"/>
      <w:marTop w:val="0"/>
      <w:marBottom w:val="0"/>
      <w:divBdr>
        <w:top w:val="none" w:sz="0" w:space="0" w:color="auto"/>
        <w:left w:val="none" w:sz="0" w:space="0" w:color="auto"/>
        <w:bottom w:val="none" w:sz="0" w:space="0" w:color="auto"/>
        <w:right w:val="none" w:sz="0" w:space="0" w:color="auto"/>
      </w:divBdr>
      <w:divsChild>
        <w:div w:id="1797987846">
          <w:marLeft w:val="0"/>
          <w:marRight w:val="0"/>
          <w:marTop w:val="0"/>
          <w:marBottom w:val="0"/>
          <w:divBdr>
            <w:top w:val="none" w:sz="0" w:space="0" w:color="auto"/>
            <w:left w:val="none" w:sz="0" w:space="0" w:color="auto"/>
            <w:bottom w:val="none" w:sz="0" w:space="0" w:color="auto"/>
            <w:right w:val="none" w:sz="0" w:space="0" w:color="auto"/>
          </w:divBdr>
          <w:divsChild>
            <w:div w:id="1979452705">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872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044">
      <w:bodyDiv w:val="1"/>
      <w:marLeft w:val="0"/>
      <w:marRight w:val="0"/>
      <w:marTop w:val="0"/>
      <w:marBottom w:val="0"/>
      <w:divBdr>
        <w:top w:val="none" w:sz="0" w:space="0" w:color="auto"/>
        <w:left w:val="none" w:sz="0" w:space="0" w:color="auto"/>
        <w:bottom w:val="none" w:sz="0" w:space="0" w:color="auto"/>
        <w:right w:val="none" w:sz="0" w:space="0" w:color="auto"/>
      </w:divBdr>
    </w:div>
    <w:div w:id="1692099716">
      <w:bodyDiv w:val="1"/>
      <w:marLeft w:val="0"/>
      <w:marRight w:val="0"/>
      <w:marTop w:val="0"/>
      <w:marBottom w:val="0"/>
      <w:divBdr>
        <w:top w:val="none" w:sz="0" w:space="0" w:color="auto"/>
        <w:left w:val="none" w:sz="0" w:space="0" w:color="auto"/>
        <w:bottom w:val="none" w:sz="0" w:space="0" w:color="auto"/>
        <w:right w:val="none" w:sz="0" w:space="0" w:color="auto"/>
      </w:divBdr>
    </w:div>
    <w:div w:id="1719015925">
      <w:bodyDiv w:val="1"/>
      <w:marLeft w:val="0"/>
      <w:marRight w:val="0"/>
      <w:marTop w:val="0"/>
      <w:marBottom w:val="0"/>
      <w:divBdr>
        <w:top w:val="none" w:sz="0" w:space="0" w:color="auto"/>
        <w:left w:val="none" w:sz="0" w:space="0" w:color="auto"/>
        <w:bottom w:val="none" w:sz="0" w:space="0" w:color="auto"/>
        <w:right w:val="none" w:sz="0" w:space="0" w:color="auto"/>
      </w:divBdr>
    </w:div>
    <w:div w:id="1733766907">
      <w:bodyDiv w:val="1"/>
      <w:marLeft w:val="0"/>
      <w:marRight w:val="0"/>
      <w:marTop w:val="0"/>
      <w:marBottom w:val="0"/>
      <w:divBdr>
        <w:top w:val="none" w:sz="0" w:space="0" w:color="auto"/>
        <w:left w:val="none" w:sz="0" w:space="0" w:color="auto"/>
        <w:bottom w:val="none" w:sz="0" w:space="0" w:color="auto"/>
        <w:right w:val="none" w:sz="0" w:space="0" w:color="auto"/>
      </w:divBdr>
    </w:div>
    <w:div w:id="1754815236">
      <w:bodyDiv w:val="1"/>
      <w:marLeft w:val="0"/>
      <w:marRight w:val="0"/>
      <w:marTop w:val="0"/>
      <w:marBottom w:val="0"/>
      <w:divBdr>
        <w:top w:val="none" w:sz="0" w:space="0" w:color="auto"/>
        <w:left w:val="none" w:sz="0" w:space="0" w:color="auto"/>
        <w:bottom w:val="none" w:sz="0" w:space="0" w:color="auto"/>
        <w:right w:val="none" w:sz="0" w:space="0" w:color="auto"/>
      </w:divBdr>
    </w:div>
    <w:div w:id="1848791319">
      <w:bodyDiv w:val="1"/>
      <w:marLeft w:val="0"/>
      <w:marRight w:val="0"/>
      <w:marTop w:val="0"/>
      <w:marBottom w:val="0"/>
      <w:divBdr>
        <w:top w:val="none" w:sz="0" w:space="0" w:color="auto"/>
        <w:left w:val="none" w:sz="0" w:space="0" w:color="auto"/>
        <w:bottom w:val="none" w:sz="0" w:space="0" w:color="auto"/>
        <w:right w:val="none" w:sz="0" w:space="0" w:color="auto"/>
      </w:divBdr>
    </w:div>
    <w:div w:id="1883400928">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 w:id="1916275801">
      <w:bodyDiv w:val="1"/>
      <w:marLeft w:val="0"/>
      <w:marRight w:val="0"/>
      <w:marTop w:val="0"/>
      <w:marBottom w:val="0"/>
      <w:divBdr>
        <w:top w:val="none" w:sz="0" w:space="0" w:color="auto"/>
        <w:left w:val="none" w:sz="0" w:space="0" w:color="auto"/>
        <w:bottom w:val="none" w:sz="0" w:space="0" w:color="auto"/>
        <w:right w:val="none" w:sz="0" w:space="0" w:color="auto"/>
      </w:divBdr>
    </w:div>
    <w:div w:id="2030064932">
      <w:bodyDiv w:val="1"/>
      <w:marLeft w:val="0"/>
      <w:marRight w:val="0"/>
      <w:marTop w:val="0"/>
      <w:marBottom w:val="0"/>
      <w:divBdr>
        <w:top w:val="none" w:sz="0" w:space="0" w:color="auto"/>
        <w:left w:val="none" w:sz="0" w:space="0" w:color="auto"/>
        <w:bottom w:val="none" w:sz="0" w:space="0" w:color="auto"/>
        <w:right w:val="none" w:sz="0" w:space="0" w:color="auto"/>
      </w:divBdr>
    </w:div>
    <w:div w:id="2076276859">
      <w:bodyDiv w:val="1"/>
      <w:marLeft w:val="0"/>
      <w:marRight w:val="0"/>
      <w:marTop w:val="0"/>
      <w:marBottom w:val="0"/>
      <w:divBdr>
        <w:top w:val="none" w:sz="0" w:space="0" w:color="auto"/>
        <w:left w:val="none" w:sz="0" w:space="0" w:color="auto"/>
        <w:bottom w:val="none" w:sz="0" w:space="0" w:color="auto"/>
        <w:right w:val="none" w:sz="0" w:space="0" w:color="auto"/>
      </w:divBdr>
    </w:div>
    <w:div w:id="2100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F7526-BC38-4C94-81C3-75F2F0A6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2504</Words>
  <Characters>13777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16249</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scastro</dc:creator>
  <cp:lastModifiedBy>Maribel Araya Valverde</cp:lastModifiedBy>
  <cp:revision>7</cp:revision>
  <cp:lastPrinted>2020-01-16T21:50:00Z</cp:lastPrinted>
  <dcterms:created xsi:type="dcterms:W3CDTF">2025-01-21T22:38:00Z</dcterms:created>
  <dcterms:modified xsi:type="dcterms:W3CDTF">2025-01-22T17:18:00Z</dcterms:modified>
</cp:coreProperties>
</file>