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215E" w14:textId="77777777" w:rsidR="00734FFE" w:rsidRPr="005341D7" w:rsidRDefault="00734FFE" w:rsidP="00796137">
      <w:pPr>
        <w:spacing w:after="0" w:line="240" w:lineRule="auto"/>
        <w:jc w:val="center"/>
        <w:rPr>
          <w:rFonts w:ascii="Arial" w:hAnsi="Arial" w:cs="Arial"/>
          <w:b/>
          <w:color w:val="000000"/>
        </w:rPr>
      </w:pPr>
    </w:p>
    <w:p w14:paraId="491E10BA" w14:textId="77777777" w:rsidR="00A6448B" w:rsidRPr="005341D7" w:rsidRDefault="00734FFE" w:rsidP="00796137">
      <w:pPr>
        <w:spacing w:after="0" w:line="240" w:lineRule="auto"/>
        <w:jc w:val="center"/>
        <w:rPr>
          <w:rFonts w:ascii="Arial" w:hAnsi="Arial" w:cs="Arial"/>
          <w:b/>
          <w:color w:val="000000"/>
        </w:rPr>
      </w:pPr>
      <w:r w:rsidRPr="005341D7">
        <w:rPr>
          <w:rFonts w:ascii="Arial" w:hAnsi="Arial" w:cs="Arial"/>
          <w:b/>
          <w:color w:val="000000"/>
        </w:rPr>
        <w:t xml:space="preserve">Sesión en </w:t>
      </w:r>
      <w:r w:rsidR="00A6448B" w:rsidRPr="005341D7">
        <w:rPr>
          <w:rFonts w:ascii="Arial" w:hAnsi="Arial" w:cs="Arial"/>
          <w:b/>
          <w:color w:val="000000"/>
        </w:rPr>
        <w:t xml:space="preserve">Modalidad: virtual </w:t>
      </w:r>
    </w:p>
    <w:p w14:paraId="217499E5" w14:textId="77777777" w:rsidR="00734FFE" w:rsidRPr="005341D7" w:rsidRDefault="00734FFE" w:rsidP="00796137">
      <w:pPr>
        <w:spacing w:after="0" w:line="240" w:lineRule="auto"/>
        <w:jc w:val="both"/>
        <w:rPr>
          <w:rFonts w:ascii="Arial" w:hAnsi="Arial" w:cs="Arial"/>
          <w:color w:val="000000"/>
        </w:rPr>
      </w:pPr>
    </w:p>
    <w:p w14:paraId="2006962C" w14:textId="21BCBD7D" w:rsidR="00286833" w:rsidRPr="005341D7" w:rsidRDefault="00286833" w:rsidP="00796137">
      <w:pPr>
        <w:spacing w:after="0" w:line="240" w:lineRule="auto"/>
        <w:jc w:val="both"/>
        <w:rPr>
          <w:rFonts w:ascii="Arial" w:hAnsi="Arial" w:cs="Arial"/>
          <w:lang w:val="es-ES"/>
        </w:rPr>
      </w:pPr>
      <w:r w:rsidRPr="002433FF">
        <w:rPr>
          <w:rFonts w:ascii="Arial" w:hAnsi="Arial" w:cs="Arial"/>
          <w:lang w:val="es-ES"/>
        </w:rPr>
        <w:t xml:space="preserve">Inicia la sesión </w:t>
      </w:r>
      <w:r w:rsidRPr="00490240">
        <w:rPr>
          <w:rFonts w:ascii="Arial" w:hAnsi="Arial" w:cs="Arial"/>
          <w:lang w:val="es-ES"/>
        </w:rPr>
        <w:t xml:space="preserve">a las </w:t>
      </w:r>
      <w:r w:rsidR="00754730" w:rsidRPr="00490240">
        <w:rPr>
          <w:rFonts w:ascii="Arial" w:hAnsi="Arial" w:cs="Arial"/>
          <w:lang w:val="es-ES"/>
        </w:rPr>
        <w:t>catorce</w:t>
      </w:r>
      <w:r w:rsidRPr="00490240">
        <w:rPr>
          <w:rFonts w:ascii="Arial" w:hAnsi="Arial" w:cs="Arial"/>
          <w:lang w:val="es-ES"/>
        </w:rPr>
        <w:t xml:space="preserve"> horas</w:t>
      </w:r>
      <w:r w:rsidRPr="002433FF">
        <w:rPr>
          <w:rFonts w:ascii="Arial" w:hAnsi="Arial" w:cs="Arial"/>
          <w:lang w:val="es-ES"/>
        </w:rPr>
        <w:t xml:space="preserve"> del </w:t>
      </w:r>
      <w:r w:rsidR="00627E79">
        <w:rPr>
          <w:rFonts w:ascii="Arial" w:hAnsi="Arial" w:cs="Arial"/>
          <w:lang w:val="es-ES"/>
        </w:rPr>
        <w:t>2</w:t>
      </w:r>
      <w:r w:rsidR="00705E8D">
        <w:rPr>
          <w:rFonts w:ascii="Arial" w:hAnsi="Arial" w:cs="Arial"/>
          <w:lang w:val="es-ES"/>
        </w:rPr>
        <w:t>3</w:t>
      </w:r>
      <w:r w:rsidR="00627E79">
        <w:rPr>
          <w:rFonts w:ascii="Arial" w:hAnsi="Arial" w:cs="Arial"/>
          <w:lang w:val="es-ES"/>
        </w:rPr>
        <w:t xml:space="preserve"> de enero de 2024</w:t>
      </w:r>
      <w:r w:rsidRPr="002433FF">
        <w:rPr>
          <w:rFonts w:ascii="Arial" w:hAnsi="Arial" w:cs="Arial"/>
          <w:lang w:val="es-ES"/>
        </w:rPr>
        <w:t>,</w:t>
      </w:r>
      <w:r w:rsidRPr="005341D7">
        <w:rPr>
          <w:rFonts w:ascii="Arial" w:hAnsi="Arial" w:cs="Arial"/>
          <w:lang w:val="es-ES"/>
        </w:rPr>
        <w:t xml:space="preserve"> con la asistencia de la Máster Sandra Pizarro Gutiérrez, integrante del Consejo Superior, quien preside; </w:t>
      </w:r>
      <w:r w:rsidR="003163BF" w:rsidRPr="005341D7">
        <w:rPr>
          <w:rFonts w:ascii="Arial" w:hAnsi="Arial" w:cs="Arial"/>
          <w:lang w:val="es-ES"/>
        </w:rPr>
        <w:t>Máster Ana Eugenia Romero Jenkins,</w:t>
      </w:r>
      <w:r w:rsidRPr="005341D7">
        <w:rPr>
          <w:rFonts w:ascii="Arial" w:hAnsi="Arial" w:cs="Arial"/>
          <w:lang w:val="es-ES"/>
        </w:rPr>
        <w:t xml:space="preserve"> Direc</w:t>
      </w:r>
      <w:r w:rsidR="003163BF" w:rsidRPr="005341D7">
        <w:rPr>
          <w:rFonts w:ascii="Arial" w:hAnsi="Arial" w:cs="Arial"/>
          <w:lang w:val="es-ES"/>
        </w:rPr>
        <w:t>tora</w:t>
      </w:r>
      <w:r w:rsidRPr="005341D7">
        <w:rPr>
          <w:rFonts w:ascii="Arial" w:hAnsi="Arial" w:cs="Arial"/>
          <w:lang w:val="es-ES"/>
        </w:rPr>
        <w:t xml:space="preserve"> Ejecutiva;</w:t>
      </w:r>
      <w:r w:rsidR="00490240">
        <w:rPr>
          <w:rFonts w:ascii="Arial" w:hAnsi="Arial" w:cs="Arial"/>
          <w:lang w:val="es-ES"/>
        </w:rPr>
        <w:t xml:space="preserve"> Máster Dixon Li Morales, </w:t>
      </w:r>
      <w:r w:rsidR="00490240" w:rsidRPr="00490240">
        <w:rPr>
          <w:rFonts w:ascii="Arial" w:hAnsi="Arial" w:cs="Arial"/>
          <w:lang w:val="es-ES"/>
        </w:rPr>
        <w:t>Subdirector</w:t>
      </w:r>
      <w:r w:rsidR="00490240">
        <w:rPr>
          <w:rFonts w:ascii="Arial" w:hAnsi="Arial" w:cs="Arial"/>
          <w:lang w:val="es-ES"/>
        </w:rPr>
        <w:t xml:space="preserve"> de Planificación</w:t>
      </w:r>
      <w:r w:rsidRPr="005341D7">
        <w:rPr>
          <w:rFonts w:ascii="Arial" w:hAnsi="Arial" w:cs="Arial"/>
          <w:lang w:val="es-ES"/>
        </w:rPr>
        <w:t xml:space="preserve">; </w:t>
      </w:r>
      <w:r w:rsidR="005E3605">
        <w:rPr>
          <w:rFonts w:ascii="Arial" w:hAnsi="Arial" w:cs="Arial"/>
          <w:lang w:val="es-ES"/>
        </w:rPr>
        <w:t xml:space="preserve">Licenciada </w:t>
      </w:r>
      <w:r w:rsidR="005E3605" w:rsidRPr="00490240">
        <w:rPr>
          <w:rFonts w:ascii="Arial" w:hAnsi="Arial" w:cs="Arial"/>
          <w:lang w:val="es-ES"/>
        </w:rPr>
        <w:t>Jazmín Orozco Arias</w:t>
      </w:r>
      <w:r w:rsidR="005E3605" w:rsidRPr="00490240">
        <w:rPr>
          <w:rFonts w:ascii="Arial" w:hAnsi="Arial" w:cs="Arial"/>
          <w:lang w:val="es-ES"/>
        </w:rPr>
        <w:t xml:space="preserve"> como Suplente de la </w:t>
      </w:r>
      <w:r w:rsidR="005E3605">
        <w:rPr>
          <w:rFonts w:ascii="Arial" w:hAnsi="Arial" w:cs="Arial"/>
          <w:lang w:val="es-ES"/>
        </w:rPr>
        <w:t>Dirección</w:t>
      </w:r>
      <w:r w:rsidR="00754730" w:rsidRPr="00754730">
        <w:rPr>
          <w:rFonts w:ascii="Arial" w:hAnsi="Arial" w:cs="Arial"/>
          <w:lang w:val="es-ES"/>
        </w:rPr>
        <w:t xml:space="preserve"> </w:t>
      </w:r>
      <w:r w:rsidRPr="00754730">
        <w:rPr>
          <w:rFonts w:ascii="Arial" w:hAnsi="Arial" w:cs="Arial"/>
          <w:lang w:val="es-ES"/>
        </w:rPr>
        <w:t>de Gestión Humana</w:t>
      </w:r>
      <w:r w:rsidR="003163BF" w:rsidRPr="005341D7">
        <w:rPr>
          <w:rFonts w:ascii="Arial" w:hAnsi="Arial" w:cs="Arial"/>
          <w:lang w:val="es-ES"/>
        </w:rPr>
        <w:t xml:space="preserve">; Licenciado </w:t>
      </w:r>
      <w:r w:rsidRPr="005341D7">
        <w:rPr>
          <w:rFonts w:ascii="Arial" w:hAnsi="Arial" w:cs="Arial"/>
          <w:lang w:val="es-ES"/>
        </w:rPr>
        <w:t>Juan Carlos Cubillo Miranda, Fiscal Adjunto del Ministerio P</w:t>
      </w:r>
      <w:r w:rsidR="003163BF" w:rsidRPr="005341D7">
        <w:rPr>
          <w:rFonts w:ascii="Arial" w:hAnsi="Arial" w:cs="Arial"/>
          <w:lang w:val="es-ES"/>
        </w:rPr>
        <w:t>ú</w:t>
      </w:r>
      <w:r w:rsidRPr="005341D7">
        <w:rPr>
          <w:rFonts w:ascii="Arial" w:hAnsi="Arial" w:cs="Arial"/>
          <w:lang w:val="es-ES"/>
        </w:rPr>
        <w:t>blico</w:t>
      </w:r>
      <w:r w:rsidR="005E3605">
        <w:rPr>
          <w:rFonts w:ascii="Arial" w:hAnsi="Arial" w:cs="Arial"/>
          <w:lang w:val="es-ES"/>
        </w:rPr>
        <w:t>;</w:t>
      </w:r>
      <w:r w:rsidR="005028A1">
        <w:rPr>
          <w:rFonts w:ascii="Arial" w:hAnsi="Arial" w:cs="Arial"/>
          <w:lang w:val="es-ES"/>
        </w:rPr>
        <w:t xml:space="preserve"> Máster Jorge David Morales Ramírez, Asesor del Despacho de la Presidencia</w:t>
      </w:r>
      <w:r w:rsidR="00453C2B">
        <w:rPr>
          <w:rFonts w:ascii="Arial" w:hAnsi="Arial" w:cs="Arial"/>
          <w:lang w:val="es-ES"/>
        </w:rPr>
        <w:t xml:space="preserve">, Licenciado </w:t>
      </w:r>
      <w:r w:rsidR="00453C2B" w:rsidRPr="00453C2B">
        <w:rPr>
          <w:rFonts w:ascii="Arial" w:hAnsi="Arial" w:cs="Arial"/>
          <w:lang w:val="es-ES"/>
        </w:rPr>
        <w:t xml:space="preserve">Rodolfo Arce Hernández, Jefe de la Plataforma de Información Policial del </w:t>
      </w:r>
      <w:r w:rsidR="00627E79" w:rsidRPr="00453C2B">
        <w:rPr>
          <w:rFonts w:ascii="Arial" w:hAnsi="Arial" w:cs="Arial"/>
          <w:lang w:val="es-ES"/>
        </w:rPr>
        <w:t>OIJ</w:t>
      </w:r>
      <w:r w:rsidR="005E3605">
        <w:rPr>
          <w:rFonts w:ascii="Arial" w:hAnsi="Arial" w:cs="Arial"/>
          <w:lang w:val="es-ES"/>
        </w:rPr>
        <w:t>;</w:t>
      </w:r>
      <w:r w:rsidR="00645FDD">
        <w:rPr>
          <w:rFonts w:ascii="Arial" w:hAnsi="Arial" w:cs="Arial"/>
          <w:lang w:val="es-ES"/>
        </w:rPr>
        <w:t xml:space="preserve"> Licenciada Marcela Montero Flores, </w:t>
      </w:r>
      <w:r w:rsidR="00645FDD" w:rsidRPr="005341D7">
        <w:rPr>
          <w:rFonts w:ascii="Arial" w:hAnsi="Arial" w:cs="Arial"/>
          <w:lang w:val="es-ES"/>
        </w:rPr>
        <w:t>Jef</w:t>
      </w:r>
      <w:r w:rsidR="00645FDD">
        <w:rPr>
          <w:rFonts w:ascii="Arial" w:hAnsi="Arial" w:cs="Arial"/>
          <w:lang w:val="es-ES"/>
        </w:rPr>
        <w:t>a interina</w:t>
      </w:r>
      <w:r w:rsidR="00645FDD" w:rsidRPr="005341D7">
        <w:rPr>
          <w:rFonts w:ascii="Arial" w:hAnsi="Arial" w:cs="Arial"/>
          <w:lang w:val="es-ES"/>
        </w:rPr>
        <w:t xml:space="preserve"> del Subproceso de Normas y Estándares de la Dirección de Tecnologías de la Información y Comunicaciones</w:t>
      </w:r>
      <w:r w:rsidR="005E3605">
        <w:rPr>
          <w:rFonts w:ascii="Arial" w:hAnsi="Arial" w:cs="Arial"/>
          <w:lang w:val="es-ES"/>
        </w:rPr>
        <w:t>; Licenciada Yendry Portuguez Pizarro, como Suplente de la Defensa Pública</w:t>
      </w:r>
      <w:r w:rsidR="00627E79" w:rsidRPr="00453C2B">
        <w:rPr>
          <w:rFonts w:ascii="Arial" w:hAnsi="Arial" w:cs="Arial"/>
          <w:lang w:val="es-ES"/>
        </w:rPr>
        <w:t>.</w:t>
      </w:r>
    </w:p>
    <w:p w14:paraId="2DCA10BC" w14:textId="77777777" w:rsidR="00631608" w:rsidRDefault="00631608" w:rsidP="00796137">
      <w:pPr>
        <w:spacing w:after="0" w:line="240" w:lineRule="auto"/>
        <w:jc w:val="both"/>
        <w:rPr>
          <w:rFonts w:ascii="Arial" w:hAnsi="Arial" w:cs="Arial"/>
          <w:lang w:val="es-ES"/>
        </w:rPr>
      </w:pPr>
    </w:p>
    <w:p w14:paraId="3F9AD19A" w14:textId="1938E589" w:rsidR="00BC382C" w:rsidRDefault="00286833" w:rsidP="00796137">
      <w:pPr>
        <w:spacing w:after="0" w:line="240" w:lineRule="auto"/>
        <w:jc w:val="both"/>
        <w:rPr>
          <w:rFonts w:ascii="Arial" w:hAnsi="Arial" w:cs="Arial"/>
          <w:lang w:val="es-ES"/>
        </w:rPr>
      </w:pPr>
      <w:r w:rsidRPr="005341D7">
        <w:rPr>
          <w:rFonts w:ascii="Arial" w:hAnsi="Arial" w:cs="Arial"/>
          <w:lang w:val="es-ES"/>
        </w:rPr>
        <w:t xml:space="preserve">Además, </w:t>
      </w:r>
      <w:r w:rsidR="00490240" w:rsidRPr="005341D7">
        <w:rPr>
          <w:rFonts w:ascii="Arial" w:hAnsi="Arial" w:cs="Arial"/>
          <w:lang w:val="es-ES"/>
        </w:rPr>
        <w:t xml:space="preserve">se cuenta con la participación de la </w:t>
      </w:r>
      <w:r w:rsidR="00490240">
        <w:rPr>
          <w:rFonts w:ascii="Arial" w:hAnsi="Arial" w:cs="Arial"/>
          <w:lang w:val="es-ES"/>
        </w:rPr>
        <w:t xml:space="preserve">Licenciada Ginethe Retana Ureña, Suplente de la </w:t>
      </w:r>
      <w:r w:rsidR="00490240" w:rsidRPr="005341D7">
        <w:rPr>
          <w:rFonts w:ascii="Arial" w:hAnsi="Arial" w:cs="Arial"/>
          <w:lang w:val="es-ES"/>
        </w:rPr>
        <w:t>Dirección de Planificación</w:t>
      </w:r>
      <w:r w:rsidR="00490240">
        <w:rPr>
          <w:rFonts w:ascii="Arial" w:hAnsi="Arial" w:cs="Arial"/>
          <w:lang w:val="es-ES"/>
        </w:rPr>
        <w:t xml:space="preserve">; la </w:t>
      </w:r>
      <w:r w:rsidRPr="005341D7">
        <w:rPr>
          <w:rFonts w:ascii="Arial" w:hAnsi="Arial" w:cs="Arial"/>
          <w:lang w:val="es-ES"/>
        </w:rPr>
        <w:t>Máster Arlette Zúñiga Lizano</w:t>
      </w:r>
      <w:r w:rsidR="00490240">
        <w:rPr>
          <w:rFonts w:ascii="Arial" w:hAnsi="Arial" w:cs="Arial"/>
          <w:lang w:val="es-ES"/>
        </w:rPr>
        <w:t xml:space="preserve"> y</w:t>
      </w:r>
      <w:r w:rsidR="00754730">
        <w:rPr>
          <w:rFonts w:ascii="Arial" w:hAnsi="Arial" w:cs="Arial"/>
          <w:lang w:val="es-ES"/>
        </w:rPr>
        <w:t xml:space="preserve"> la Licenciada Katherine Hernández Molina, ambas</w:t>
      </w:r>
      <w:r w:rsidRPr="005341D7">
        <w:rPr>
          <w:rFonts w:ascii="Arial" w:hAnsi="Arial" w:cs="Arial"/>
          <w:lang w:val="es-ES"/>
        </w:rPr>
        <w:t xml:space="preserve"> Profesional</w:t>
      </w:r>
      <w:r w:rsidR="00754730">
        <w:rPr>
          <w:rFonts w:ascii="Arial" w:hAnsi="Arial" w:cs="Arial"/>
          <w:lang w:val="es-ES"/>
        </w:rPr>
        <w:t>es</w:t>
      </w:r>
      <w:r w:rsidRPr="005341D7">
        <w:rPr>
          <w:rFonts w:ascii="Arial" w:hAnsi="Arial" w:cs="Arial"/>
          <w:lang w:val="es-ES"/>
        </w:rPr>
        <w:t xml:space="preserve"> del Subproceso de Continuidad del Servicio y el Máster Melvin Obando Villalobos, </w:t>
      </w:r>
      <w:proofErr w:type="gramStart"/>
      <w:r w:rsidRPr="005341D7">
        <w:rPr>
          <w:rFonts w:ascii="Arial" w:hAnsi="Arial" w:cs="Arial"/>
          <w:lang w:val="es-ES"/>
        </w:rPr>
        <w:t>Jef</w:t>
      </w:r>
      <w:r w:rsidR="00631608">
        <w:rPr>
          <w:rFonts w:ascii="Arial" w:hAnsi="Arial" w:cs="Arial"/>
          <w:lang w:val="es-ES"/>
        </w:rPr>
        <w:t>e</w:t>
      </w:r>
      <w:proofErr w:type="gramEnd"/>
      <w:r w:rsidRPr="005341D7">
        <w:rPr>
          <w:rFonts w:ascii="Arial" w:hAnsi="Arial" w:cs="Arial"/>
          <w:lang w:val="es-ES"/>
        </w:rPr>
        <w:t xml:space="preserve"> del Subproceso de Gestión de la Continuidad del Servicio de la Dirección Ejecutiva.</w:t>
      </w:r>
      <w:r w:rsidR="00490240">
        <w:rPr>
          <w:rFonts w:ascii="Arial" w:hAnsi="Arial" w:cs="Arial"/>
          <w:lang w:val="es-ES"/>
        </w:rPr>
        <w:t xml:space="preserve"> </w:t>
      </w:r>
    </w:p>
    <w:p w14:paraId="1ADCB4F4" w14:textId="77777777" w:rsidR="00942B71" w:rsidRPr="005341D7" w:rsidRDefault="00942B71" w:rsidP="00796137">
      <w:pPr>
        <w:spacing w:after="0" w:line="240" w:lineRule="auto"/>
        <w:jc w:val="both"/>
        <w:rPr>
          <w:rFonts w:ascii="Arial" w:hAnsi="Arial" w:cs="Arial"/>
          <w:lang w:val="es-ES"/>
        </w:rPr>
      </w:pPr>
    </w:p>
    <w:p w14:paraId="4F6EBF73" w14:textId="77777777" w:rsidR="00FD54D2" w:rsidRPr="005341D7" w:rsidRDefault="00FD54D2" w:rsidP="00796137">
      <w:pPr>
        <w:spacing w:after="0" w:line="240" w:lineRule="auto"/>
        <w:jc w:val="both"/>
        <w:rPr>
          <w:rFonts w:ascii="Arial" w:hAnsi="Arial" w:cs="Arial"/>
          <w:b/>
          <w:color w:val="2F5496"/>
        </w:rPr>
      </w:pPr>
    </w:p>
    <w:p w14:paraId="3167C6A1" w14:textId="77777777" w:rsidR="00BC382C" w:rsidRPr="005341D7" w:rsidRDefault="00BC382C" w:rsidP="00796137">
      <w:pPr>
        <w:spacing w:after="0" w:line="240" w:lineRule="auto"/>
        <w:jc w:val="center"/>
        <w:rPr>
          <w:rFonts w:ascii="Arial" w:hAnsi="Arial" w:cs="Arial"/>
          <w:b/>
          <w:color w:val="2F5496"/>
        </w:rPr>
      </w:pPr>
      <w:r w:rsidRPr="005341D7">
        <w:rPr>
          <w:rFonts w:ascii="Arial" w:hAnsi="Arial" w:cs="Arial"/>
          <w:b/>
          <w:color w:val="2F5496"/>
        </w:rPr>
        <w:t>ARTÍCULO</w:t>
      </w:r>
      <w:r w:rsidR="000D530C" w:rsidRPr="005341D7">
        <w:rPr>
          <w:rFonts w:ascii="Arial" w:hAnsi="Arial" w:cs="Arial"/>
          <w:b/>
          <w:color w:val="2F5496"/>
        </w:rPr>
        <w:t xml:space="preserve"> I</w:t>
      </w:r>
    </w:p>
    <w:p w14:paraId="753BE57A" w14:textId="77777777" w:rsidR="00D51017" w:rsidRPr="005341D7" w:rsidRDefault="00D51017" w:rsidP="00796137">
      <w:pPr>
        <w:spacing w:after="0" w:line="240" w:lineRule="auto"/>
        <w:jc w:val="both"/>
        <w:rPr>
          <w:rFonts w:ascii="Arial" w:hAnsi="Arial" w:cs="Arial"/>
          <w:b/>
          <w:color w:val="2F5496"/>
        </w:rPr>
      </w:pPr>
    </w:p>
    <w:p w14:paraId="7F03F10D" w14:textId="262FD188" w:rsidR="005341D7" w:rsidRPr="00F9702C" w:rsidRDefault="00453C2B" w:rsidP="00796137">
      <w:pPr>
        <w:spacing w:after="0" w:line="240" w:lineRule="auto"/>
        <w:jc w:val="both"/>
        <w:rPr>
          <w:rFonts w:ascii="Arial" w:hAnsi="Arial" w:cs="Arial"/>
          <w:b/>
          <w:bCs/>
        </w:rPr>
      </w:pPr>
      <w:r w:rsidRPr="00F9702C">
        <w:rPr>
          <w:rFonts w:ascii="Arial" w:hAnsi="Arial" w:cs="Arial"/>
          <w:b/>
          <w:bCs/>
        </w:rPr>
        <w:t xml:space="preserve">Presentación de resultados </w:t>
      </w:r>
      <w:r w:rsidR="00FB66BE">
        <w:rPr>
          <w:rFonts w:ascii="Arial" w:hAnsi="Arial" w:cs="Arial"/>
          <w:b/>
          <w:bCs/>
        </w:rPr>
        <w:t>del I</w:t>
      </w:r>
      <w:r w:rsidRPr="00F9702C">
        <w:rPr>
          <w:rFonts w:ascii="Arial" w:hAnsi="Arial" w:cs="Arial"/>
          <w:b/>
          <w:bCs/>
        </w:rPr>
        <w:t>nforme del Análisis de Impacto al Servicio (SIA 2023)</w:t>
      </w:r>
    </w:p>
    <w:p w14:paraId="539157C5" w14:textId="09E100DA" w:rsidR="00453C2B" w:rsidRPr="00453C2B" w:rsidRDefault="00453C2B" w:rsidP="00796137">
      <w:pPr>
        <w:spacing w:after="0" w:line="240" w:lineRule="auto"/>
        <w:jc w:val="both"/>
        <w:rPr>
          <w:rFonts w:ascii="Arial" w:hAnsi="Arial" w:cs="Arial"/>
          <w:lang w:val="es-ES"/>
        </w:rPr>
      </w:pPr>
    </w:p>
    <w:p w14:paraId="17EA6E55" w14:textId="2CFA0F4F" w:rsidR="00453C2B" w:rsidRPr="00FB66BE" w:rsidRDefault="00FB66BE" w:rsidP="00796137">
      <w:pPr>
        <w:spacing w:after="0" w:line="240" w:lineRule="auto"/>
        <w:jc w:val="both"/>
        <w:rPr>
          <w:rFonts w:ascii="Arial" w:hAnsi="Arial" w:cs="Arial"/>
        </w:rPr>
      </w:pPr>
      <w:r>
        <w:rPr>
          <w:rFonts w:ascii="Arial" w:hAnsi="Arial" w:cs="Arial"/>
        </w:rPr>
        <w:t>L</w:t>
      </w:r>
      <w:r w:rsidRPr="00FB66BE">
        <w:rPr>
          <w:rFonts w:ascii="Arial" w:hAnsi="Arial" w:cs="Arial"/>
        </w:rPr>
        <w:t xml:space="preserve">a normativa que rige el tema de continuidad del </w:t>
      </w:r>
      <w:r>
        <w:rPr>
          <w:rFonts w:ascii="Arial" w:hAnsi="Arial" w:cs="Arial"/>
        </w:rPr>
        <w:t xml:space="preserve">servicio determina </w:t>
      </w:r>
      <w:r w:rsidRPr="00FB66BE">
        <w:rPr>
          <w:rFonts w:ascii="Arial" w:hAnsi="Arial" w:cs="Arial"/>
        </w:rPr>
        <w:t xml:space="preserve">que las organizaciones deben </w:t>
      </w:r>
      <w:r w:rsidRPr="00FB66BE">
        <w:rPr>
          <w:rFonts w:ascii="Arial" w:hAnsi="Arial" w:cs="Arial"/>
          <w:i/>
          <w:iCs/>
        </w:rPr>
        <w:t>“revisar el análisis de impacto en el servicio y la evaluación de riesgos a intervalos planificados y cuando haya cambios significativos dentro de la organización o el contexto en que opera”</w:t>
      </w:r>
      <w:r>
        <w:rPr>
          <w:rFonts w:ascii="Arial" w:hAnsi="Arial" w:cs="Arial"/>
          <w:i/>
          <w:iCs/>
        </w:rPr>
        <w:t>.</w:t>
      </w:r>
    </w:p>
    <w:p w14:paraId="0FBA2573" w14:textId="102A2783" w:rsidR="00FB66BE" w:rsidRDefault="00FB66BE" w:rsidP="00796137">
      <w:pPr>
        <w:spacing w:after="0" w:line="240" w:lineRule="auto"/>
        <w:jc w:val="both"/>
        <w:rPr>
          <w:rFonts w:ascii="Arial" w:hAnsi="Arial" w:cs="Arial"/>
          <w:b/>
          <w:color w:val="2F5496"/>
        </w:rPr>
      </w:pPr>
    </w:p>
    <w:p w14:paraId="3C3A8FF3" w14:textId="13862853" w:rsidR="00FB66BE" w:rsidRDefault="00FB66BE" w:rsidP="00796137">
      <w:pPr>
        <w:spacing w:after="0" w:line="240" w:lineRule="auto"/>
        <w:jc w:val="both"/>
        <w:rPr>
          <w:rFonts w:ascii="Arial" w:hAnsi="Arial" w:cs="Arial"/>
        </w:rPr>
      </w:pPr>
      <w:r w:rsidRPr="00FB66BE">
        <w:rPr>
          <w:rFonts w:ascii="Arial" w:hAnsi="Arial" w:cs="Arial"/>
        </w:rPr>
        <w:t>El Análisis de Impacto al Servicio (denominado SIA, por sus siglas en inglés) prioriza los diversos componentes de la organización para que la entrega de productos y servicios pueda reanudarse en un plazo de tiempo predeterminado para la satisfacción de las partes interesadas después de un incidente disruptivo, bajo condiciones degradadas. Incluye, además, la identificación de las actividades y recursos mínimos indispensables para la recuperación de los procesos identificados como críticos. Asimismo, el ejercicio permite identificar los rangos de tolerancia ante la pérdida de la información necesaria para la ejecución de las actividades mínimas indispensables identificadas para cada proceso.</w:t>
      </w:r>
    </w:p>
    <w:p w14:paraId="5AE0CEA6" w14:textId="7D64A86B" w:rsidR="00FB66BE" w:rsidRDefault="00FB66BE" w:rsidP="00796137">
      <w:pPr>
        <w:spacing w:after="0" w:line="240" w:lineRule="auto"/>
        <w:jc w:val="both"/>
        <w:rPr>
          <w:rFonts w:ascii="Arial" w:hAnsi="Arial" w:cs="Arial"/>
        </w:rPr>
      </w:pPr>
    </w:p>
    <w:p w14:paraId="6749A037" w14:textId="49C9E864" w:rsidR="00FB66BE" w:rsidRDefault="00FB66BE" w:rsidP="00796137">
      <w:pPr>
        <w:spacing w:after="0" w:line="240" w:lineRule="auto"/>
        <w:jc w:val="both"/>
        <w:rPr>
          <w:rFonts w:ascii="Arial" w:hAnsi="Arial" w:cs="Arial"/>
        </w:rPr>
      </w:pPr>
      <w:r w:rsidRPr="00FB66BE">
        <w:rPr>
          <w:rFonts w:ascii="Arial" w:hAnsi="Arial" w:cs="Arial"/>
        </w:rPr>
        <w:t xml:space="preserve">Adicionalmente, el SIA ofrece una serie de beneficios para la institución, por ejemplo: priorizar los procesos con base en el conocimiento y criterio experto de las personas involucradas en las actividades que realiza la </w:t>
      </w:r>
      <w:r>
        <w:rPr>
          <w:rFonts w:ascii="Arial" w:hAnsi="Arial" w:cs="Arial"/>
        </w:rPr>
        <w:t>organización</w:t>
      </w:r>
      <w:r w:rsidRPr="00FB66BE">
        <w:rPr>
          <w:rFonts w:ascii="Arial" w:hAnsi="Arial" w:cs="Arial"/>
        </w:rPr>
        <w:t>. El análisis generado también provee información que puede ser utilizada para otras necesidades, distintas a las relacionadas con la continuidad de servicio, tales como:</w:t>
      </w:r>
    </w:p>
    <w:p w14:paraId="342FF2AE" w14:textId="77777777" w:rsidR="00FB66BE" w:rsidRPr="00FB66BE" w:rsidRDefault="00FB66BE" w:rsidP="00796137">
      <w:pPr>
        <w:spacing w:after="0" w:line="240" w:lineRule="auto"/>
        <w:jc w:val="both"/>
        <w:rPr>
          <w:rFonts w:ascii="Arial" w:hAnsi="Arial" w:cs="Arial"/>
        </w:rPr>
      </w:pPr>
    </w:p>
    <w:p w14:paraId="0E945173" w14:textId="61E52EE0" w:rsidR="00FB66BE" w:rsidRPr="00FB66BE" w:rsidRDefault="00FB66BE" w:rsidP="00796137">
      <w:pPr>
        <w:spacing w:after="0" w:line="240" w:lineRule="auto"/>
        <w:ind w:left="567" w:hanging="283"/>
        <w:jc w:val="both"/>
        <w:rPr>
          <w:rFonts w:ascii="Arial" w:hAnsi="Arial" w:cs="Arial"/>
        </w:rPr>
      </w:pPr>
      <w:r w:rsidRPr="00FB66BE">
        <w:rPr>
          <w:rFonts w:ascii="Arial" w:hAnsi="Arial" w:cs="Arial"/>
        </w:rPr>
        <w:lastRenderedPageBreak/>
        <w:t>•</w:t>
      </w:r>
      <w:r w:rsidRPr="00FB66BE">
        <w:rPr>
          <w:rFonts w:ascii="Arial" w:hAnsi="Arial" w:cs="Arial"/>
        </w:rPr>
        <w:tab/>
        <w:t>Definición de una línea base de procesos y sistemas críticos, la cual puede utilizarse en otros proyectos y actividades propias de la institución</w:t>
      </w:r>
      <w:r>
        <w:rPr>
          <w:rFonts w:ascii="Arial" w:hAnsi="Arial" w:cs="Arial"/>
        </w:rPr>
        <w:t>,</w:t>
      </w:r>
      <w:r w:rsidRPr="00FB66BE">
        <w:rPr>
          <w:rFonts w:ascii="Arial" w:hAnsi="Arial" w:cs="Arial"/>
        </w:rPr>
        <w:t xml:space="preserve"> como Auditoría y/o Planificación.</w:t>
      </w:r>
    </w:p>
    <w:p w14:paraId="199E0337" w14:textId="2C5103AA" w:rsidR="00FB66BE" w:rsidRDefault="00FB66BE" w:rsidP="00796137">
      <w:pPr>
        <w:spacing w:after="0" w:line="240" w:lineRule="auto"/>
        <w:ind w:left="567" w:hanging="283"/>
        <w:jc w:val="both"/>
        <w:rPr>
          <w:rFonts w:ascii="Arial" w:hAnsi="Arial" w:cs="Arial"/>
        </w:rPr>
      </w:pPr>
      <w:r w:rsidRPr="00FB66BE">
        <w:rPr>
          <w:rFonts w:ascii="Arial" w:hAnsi="Arial" w:cs="Arial"/>
        </w:rPr>
        <w:t>•</w:t>
      </w:r>
      <w:r w:rsidRPr="00FB66BE">
        <w:rPr>
          <w:rFonts w:ascii="Arial" w:hAnsi="Arial" w:cs="Arial"/>
        </w:rPr>
        <w:tab/>
        <w:t>Una priorización de procesos que puede ser un insumo para la Alta Dirección en la toma de decisiones de proyectos de interés institucional, como las referentes a tecnologías de información.</w:t>
      </w:r>
    </w:p>
    <w:p w14:paraId="7BFB5822" w14:textId="7470F846" w:rsidR="00FB66BE" w:rsidRDefault="00FB66BE" w:rsidP="00796137">
      <w:pPr>
        <w:spacing w:after="0" w:line="240" w:lineRule="auto"/>
        <w:jc w:val="both"/>
        <w:rPr>
          <w:rFonts w:ascii="Arial" w:hAnsi="Arial" w:cs="Arial"/>
        </w:rPr>
      </w:pPr>
    </w:p>
    <w:p w14:paraId="2CF1933C" w14:textId="796849F6" w:rsidR="00FB66BE" w:rsidRPr="00FB66BE" w:rsidRDefault="00FB66BE" w:rsidP="00796137">
      <w:pPr>
        <w:spacing w:after="0" w:line="240" w:lineRule="auto"/>
        <w:jc w:val="both"/>
        <w:rPr>
          <w:rFonts w:ascii="Arial" w:hAnsi="Arial" w:cs="Arial"/>
        </w:rPr>
      </w:pPr>
      <w:r w:rsidRPr="00FB66BE">
        <w:rPr>
          <w:rFonts w:ascii="Arial" w:hAnsi="Arial" w:cs="Arial"/>
        </w:rPr>
        <w:t>El informe del SIA del Poder Judicial tiene como objetivo mostrar los resultados del proceso de análisis realizado en el periodo 2023 sobre la priorización de los procesos institucionales en función del nivel de criticidad y la urgencia para su recuperación.</w:t>
      </w:r>
    </w:p>
    <w:p w14:paraId="044E580C" w14:textId="37F1CF15" w:rsidR="00FB66BE" w:rsidRDefault="00FB66BE" w:rsidP="00796137">
      <w:pPr>
        <w:spacing w:after="0" w:line="240" w:lineRule="auto"/>
        <w:jc w:val="both"/>
        <w:rPr>
          <w:rFonts w:ascii="Arial" w:hAnsi="Arial" w:cs="Arial"/>
          <w:b/>
          <w:color w:val="2F5496"/>
        </w:rPr>
      </w:pPr>
    </w:p>
    <w:p w14:paraId="1E969C5A" w14:textId="50A6C07A" w:rsidR="00FB66BE" w:rsidRDefault="00FB66BE" w:rsidP="00796137">
      <w:pPr>
        <w:spacing w:after="0" w:line="240" w:lineRule="auto"/>
        <w:jc w:val="both"/>
        <w:rPr>
          <w:rFonts w:ascii="Arial" w:hAnsi="Arial" w:cs="Arial"/>
        </w:rPr>
      </w:pPr>
      <w:r>
        <w:rPr>
          <w:rFonts w:ascii="Arial" w:hAnsi="Arial" w:cs="Arial"/>
        </w:rPr>
        <w:t xml:space="preserve">A manera de resumen, se exponen los principales resultados obtenidos en el </w:t>
      </w:r>
      <w:r w:rsidRPr="00FB66BE">
        <w:rPr>
          <w:rFonts w:ascii="Arial" w:hAnsi="Arial" w:cs="Arial"/>
          <w:i/>
          <w:iCs/>
        </w:rPr>
        <w:t>“Informe de Actualización del Análisis de Impacto al Servicio del Poder Judicial”</w:t>
      </w:r>
      <w:r>
        <w:rPr>
          <w:rFonts w:ascii="Arial" w:hAnsi="Arial" w:cs="Arial"/>
        </w:rPr>
        <w:t>.</w:t>
      </w:r>
    </w:p>
    <w:p w14:paraId="12F8EA56" w14:textId="77777777" w:rsidR="00FB66BE" w:rsidRDefault="00FB66BE" w:rsidP="00796137">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FB66BE" w14:paraId="18A71EEF" w14:textId="77777777" w:rsidTr="0021430A">
        <w:tc>
          <w:tcPr>
            <w:tcW w:w="4414" w:type="dxa"/>
          </w:tcPr>
          <w:p w14:paraId="72429D36" w14:textId="77777777" w:rsidR="00FB66BE" w:rsidRDefault="00FB66BE" w:rsidP="00796137">
            <w:pPr>
              <w:spacing w:after="0" w:line="240" w:lineRule="auto"/>
              <w:jc w:val="center"/>
              <w:rPr>
                <w:rFonts w:ascii="Arial" w:hAnsi="Arial" w:cs="Arial"/>
              </w:rPr>
            </w:pPr>
            <w:r>
              <w:rPr>
                <w:rFonts w:ascii="Arial" w:hAnsi="Arial" w:cs="Arial"/>
              </w:rPr>
              <w:t>Presentación resumen del informe</w:t>
            </w:r>
          </w:p>
        </w:tc>
        <w:tc>
          <w:tcPr>
            <w:tcW w:w="4414" w:type="dxa"/>
          </w:tcPr>
          <w:p w14:paraId="009614C3" w14:textId="77777777" w:rsidR="00FB66BE" w:rsidRDefault="00FB66BE" w:rsidP="00796137">
            <w:pPr>
              <w:spacing w:after="0" w:line="240" w:lineRule="auto"/>
              <w:jc w:val="center"/>
              <w:rPr>
                <w:rFonts w:ascii="Arial" w:hAnsi="Arial" w:cs="Arial"/>
              </w:rPr>
            </w:pPr>
            <w:r>
              <w:rPr>
                <w:rFonts w:ascii="Arial" w:hAnsi="Arial" w:cs="Arial"/>
              </w:rPr>
              <w:t>Documento del informe</w:t>
            </w:r>
          </w:p>
        </w:tc>
      </w:tr>
      <w:tr w:rsidR="00FB66BE" w14:paraId="3465D5C5" w14:textId="77777777" w:rsidTr="0021430A">
        <w:tc>
          <w:tcPr>
            <w:tcW w:w="4414" w:type="dxa"/>
          </w:tcPr>
          <w:p w14:paraId="12840254" w14:textId="7DF88301" w:rsidR="00FB66BE" w:rsidRDefault="00754730" w:rsidP="00796137">
            <w:pPr>
              <w:spacing w:after="0" w:line="240" w:lineRule="auto"/>
              <w:jc w:val="center"/>
              <w:rPr>
                <w:rFonts w:ascii="Arial" w:hAnsi="Arial" w:cs="Arial"/>
              </w:rPr>
            </w:pPr>
            <w:r>
              <w:rPr>
                <w:rFonts w:ascii="Calibri" w:eastAsia="Calibri" w:hAnsi="Calibri"/>
              </w:rPr>
              <w:object w:dxaOrig="1508" w:dyaOrig="984" w14:anchorId="530EE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05pt" o:ole="">
                  <v:imagedata r:id="rId8" o:title=""/>
                </v:shape>
                <o:OLEObject Type="Embed" ProgID="PowerPoint.Show.12" ShapeID="_x0000_i1025" DrawAspect="Icon" ObjectID="_1767530405" r:id="rId9"/>
              </w:object>
            </w:r>
          </w:p>
        </w:tc>
        <w:tc>
          <w:tcPr>
            <w:tcW w:w="4414" w:type="dxa"/>
          </w:tcPr>
          <w:p w14:paraId="6D5A185F" w14:textId="57A705E0" w:rsidR="00FB66BE" w:rsidRDefault="0004358D" w:rsidP="00796137">
            <w:pPr>
              <w:spacing w:after="0" w:line="240" w:lineRule="auto"/>
              <w:jc w:val="center"/>
              <w:rPr>
                <w:rFonts w:ascii="Arial" w:hAnsi="Arial" w:cs="Arial"/>
              </w:rPr>
            </w:pPr>
            <w:r>
              <w:rPr>
                <w:rFonts w:ascii="Calibri" w:eastAsia="Calibri" w:hAnsi="Calibri"/>
              </w:rPr>
              <w:object w:dxaOrig="1508" w:dyaOrig="984" w14:anchorId="5B43EB4E">
                <v:shape id="_x0000_i1026" type="#_x0000_t75" style="width:75.55pt;height:49.05pt" o:ole="">
                  <v:imagedata r:id="rId10" o:title=""/>
                </v:shape>
                <o:OLEObject Type="Embed" ProgID="Word.Document.12" ShapeID="_x0000_i1026" DrawAspect="Icon" ObjectID="_1767530406" r:id="rId11">
                  <o:FieldCodes>\s</o:FieldCodes>
                </o:OLEObject>
              </w:object>
            </w:r>
          </w:p>
        </w:tc>
      </w:tr>
    </w:tbl>
    <w:p w14:paraId="52A2225C" w14:textId="310CF312" w:rsidR="00FB66BE" w:rsidRDefault="00FB66BE" w:rsidP="00796137">
      <w:pPr>
        <w:spacing w:after="0" w:line="240" w:lineRule="auto"/>
        <w:jc w:val="both"/>
        <w:rPr>
          <w:rFonts w:ascii="Arial" w:hAnsi="Arial" w:cs="Arial"/>
          <w:b/>
          <w:color w:val="2F5496"/>
        </w:rPr>
      </w:pPr>
    </w:p>
    <w:p w14:paraId="58D5D699" w14:textId="77777777" w:rsidR="00FB66BE" w:rsidRPr="005341D7" w:rsidRDefault="00FB66BE" w:rsidP="00796137">
      <w:pPr>
        <w:spacing w:after="0" w:line="240" w:lineRule="auto"/>
        <w:jc w:val="both"/>
        <w:rPr>
          <w:rFonts w:ascii="Arial" w:hAnsi="Arial" w:cs="Arial"/>
          <w:b/>
          <w:color w:val="2F5496"/>
        </w:rPr>
      </w:pPr>
    </w:p>
    <w:p w14:paraId="172D7B93" w14:textId="4908DABD" w:rsidR="00D46487" w:rsidRPr="005341D7" w:rsidRDefault="00D46487" w:rsidP="00796137">
      <w:pPr>
        <w:spacing w:after="0" w:line="240" w:lineRule="auto"/>
        <w:jc w:val="both"/>
        <w:rPr>
          <w:rFonts w:ascii="Arial" w:eastAsia="Times New Roman" w:hAnsi="Arial" w:cs="Arial"/>
          <w:b/>
          <w:bCs/>
          <w:lang w:eastAsia="es-ES"/>
        </w:rPr>
      </w:pPr>
      <w:r w:rsidRPr="00E7406D">
        <w:rPr>
          <w:rFonts w:ascii="Arial" w:eastAsia="Times New Roman" w:hAnsi="Arial" w:cs="Arial"/>
          <w:b/>
          <w:bCs/>
          <w:lang w:eastAsia="es-ES"/>
        </w:rPr>
        <w:t xml:space="preserve">Se acuerda: </w:t>
      </w:r>
      <w:r w:rsidR="00FB66BE" w:rsidRPr="00E7406D">
        <w:rPr>
          <w:rFonts w:ascii="Arial" w:eastAsia="Times New Roman" w:hAnsi="Arial" w:cs="Arial"/>
          <w:b/>
          <w:bCs/>
          <w:lang w:eastAsia="es-ES"/>
        </w:rPr>
        <w:t>1)</w:t>
      </w:r>
      <w:r w:rsidR="00FB66BE" w:rsidRPr="00E7406D">
        <w:rPr>
          <w:rFonts w:ascii="Arial" w:eastAsia="Times New Roman" w:hAnsi="Arial" w:cs="Arial"/>
          <w:lang w:eastAsia="es-ES"/>
        </w:rPr>
        <w:t xml:space="preserve"> Aprobar el contenido del informe de </w:t>
      </w:r>
      <w:r w:rsidR="00FB66BE" w:rsidRPr="00E7406D">
        <w:rPr>
          <w:rFonts w:ascii="Arial" w:eastAsia="Times New Roman" w:hAnsi="Arial" w:cs="Arial"/>
          <w:i/>
          <w:iCs/>
          <w:lang w:eastAsia="es-ES"/>
        </w:rPr>
        <w:t>“</w:t>
      </w:r>
      <w:r w:rsidR="00C30339" w:rsidRPr="00E7406D">
        <w:rPr>
          <w:rFonts w:ascii="Arial" w:hAnsi="Arial" w:cs="Arial"/>
          <w:i/>
          <w:iCs/>
        </w:rPr>
        <w:t>Actualización del Análisis de Impacto al Servicio del Poder Judicial</w:t>
      </w:r>
      <w:r w:rsidR="00FB66BE" w:rsidRPr="00E7406D">
        <w:rPr>
          <w:rFonts w:ascii="Arial" w:eastAsia="Times New Roman" w:hAnsi="Arial" w:cs="Arial"/>
          <w:i/>
          <w:iCs/>
          <w:lang w:eastAsia="es-ES"/>
        </w:rPr>
        <w:t>”</w:t>
      </w:r>
      <w:r w:rsidR="00FB66BE" w:rsidRPr="00E7406D">
        <w:rPr>
          <w:rFonts w:ascii="Arial" w:eastAsia="Times New Roman" w:hAnsi="Arial" w:cs="Arial"/>
          <w:lang w:eastAsia="es-ES"/>
        </w:rPr>
        <w:t xml:space="preserve"> elaborado por el Subproceso de Gestión de Continuidad del Servicio, así como sus recomendaciones. </w:t>
      </w:r>
      <w:r w:rsidR="00FB66BE" w:rsidRPr="00E7406D">
        <w:rPr>
          <w:rFonts w:ascii="Arial" w:eastAsia="Times New Roman" w:hAnsi="Arial" w:cs="Arial"/>
          <w:b/>
          <w:bCs/>
          <w:lang w:eastAsia="es-ES"/>
        </w:rPr>
        <w:t>2)</w:t>
      </w:r>
      <w:r w:rsidR="00FB66BE" w:rsidRPr="00E7406D">
        <w:rPr>
          <w:rFonts w:ascii="Arial" w:eastAsia="Times New Roman" w:hAnsi="Arial" w:cs="Arial"/>
          <w:lang w:eastAsia="es-ES"/>
        </w:rPr>
        <w:t xml:space="preserve"> El Subproceso deberá trasladar dicho informe al Consejo Superior, para conocimiento y aprobación de ese órgano.  </w:t>
      </w:r>
      <w:r w:rsidRPr="005341D7">
        <w:rPr>
          <w:rFonts w:ascii="Arial" w:eastAsia="Times New Roman" w:hAnsi="Arial" w:cs="Arial"/>
          <w:b/>
          <w:bCs/>
          <w:lang w:eastAsia="es-ES"/>
        </w:rPr>
        <w:t xml:space="preserve">ACUERDO FIRME. </w:t>
      </w:r>
    </w:p>
    <w:p w14:paraId="070C3EFD" w14:textId="77777777" w:rsidR="00D46487" w:rsidRPr="005341D7" w:rsidRDefault="00D46487" w:rsidP="00796137">
      <w:pPr>
        <w:spacing w:after="0" w:line="240" w:lineRule="auto"/>
        <w:jc w:val="both"/>
        <w:rPr>
          <w:rFonts w:ascii="Arial" w:hAnsi="Arial" w:cs="Arial"/>
          <w:b/>
          <w:bCs/>
        </w:rPr>
      </w:pPr>
    </w:p>
    <w:p w14:paraId="798FCFDF" w14:textId="77777777" w:rsidR="00862926" w:rsidRPr="005341D7" w:rsidRDefault="00862926" w:rsidP="00796137">
      <w:pPr>
        <w:spacing w:after="0" w:line="240" w:lineRule="auto"/>
        <w:jc w:val="both"/>
        <w:rPr>
          <w:rFonts w:ascii="Arial" w:eastAsia="Times New Roman" w:hAnsi="Arial" w:cs="Arial"/>
          <w:b/>
          <w:bCs/>
          <w:lang w:eastAsia="es-ES"/>
        </w:rPr>
      </w:pPr>
      <w:bookmarkStart w:id="0" w:name="_Hlk52169883"/>
    </w:p>
    <w:p w14:paraId="1D26856A" w14:textId="77777777" w:rsidR="0047232D" w:rsidRPr="005341D7" w:rsidRDefault="0047232D" w:rsidP="00796137">
      <w:pPr>
        <w:spacing w:after="0" w:line="240" w:lineRule="auto"/>
        <w:jc w:val="center"/>
        <w:rPr>
          <w:rFonts w:ascii="Arial" w:hAnsi="Arial" w:cs="Arial"/>
          <w:b/>
          <w:color w:val="2F5496"/>
        </w:rPr>
      </w:pPr>
      <w:r w:rsidRPr="005341D7">
        <w:rPr>
          <w:rFonts w:ascii="Arial" w:hAnsi="Arial" w:cs="Arial"/>
          <w:b/>
          <w:color w:val="2F5496"/>
        </w:rPr>
        <w:t>ARTÍCULO II</w:t>
      </w:r>
    </w:p>
    <w:p w14:paraId="69D90075" w14:textId="77777777" w:rsidR="0047232D" w:rsidRPr="005341D7" w:rsidRDefault="0047232D" w:rsidP="00796137">
      <w:pPr>
        <w:spacing w:after="0" w:line="240" w:lineRule="auto"/>
        <w:jc w:val="both"/>
        <w:rPr>
          <w:rFonts w:ascii="Arial" w:hAnsi="Arial" w:cs="Arial"/>
          <w:b/>
          <w:color w:val="2F5496"/>
        </w:rPr>
      </w:pPr>
    </w:p>
    <w:p w14:paraId="67396FBC" w14:textId="24A0B5DD" w:rsidR="00B13CD4" w:rsidRPr="00F9702C" w:rsidRDefault="00453C2B" w:rsidP="00796137">
      <w:pPr>
        <w:spacing w:after="0" w:line="240" w:lineRule="auto"/>
        <w:jc w:val="both"/>
        <w:rPr>
          <w:rFonts w:ascii="Arial" w:hAnsi="Arial" w:cs="Arial"/>
          <w:b/>
          <w:bCs/>
        </w:rPr>
      </w:pPr>
      <w:r w:rsidRPr="00F9702C">
        <w:rPr>
          <w:rFonts w:ascii="Arial" w:hAnsi="Arial" w:cs="Arial"/>
          <w:b/>
          <w:bCs/>
        </w:rPr>
        <w:t>Presentación del informe de actualización de Análisis de Riesgos de Continuidad</w:t>
      </w:r>
    </w:p>
    <w:p w14:paraId="47E3B891" w14:textId="7680B65A" w:rsidR="0047232D" w:rsidRDefault="0047232D" w:rsidP="00796137">
      <w:pPr>
        <w:spacing w:after="0" w:line="240" w:lineRule="auto"/>
        <w:jc w:val="both"/>
        <w:rPr>
          <w:rFonts w:ascii="Arial" w:hAnsi="Arial" w:cs="Arial"/>
          <w:highlight w:val="darkGray"/>
        </w:rPr>
      </w:pPr>
    </w:p>
    <w:p w14:paraId="0F489E8C" w14:textId="77777777" w:rsidR="00F9702C" w:rsidRPr="00F9702C" w:rsidRDefault="00F9702C" w:rsidP="00796137">
      <w:pPr>
        <w:spacing w:after="0" w:line="240" w:lineRule="auto"/>
        <w:jc w:val="both"/>
        <w:rPr>
          <w:rFonts w:ascii="Arial" w:hAnsi="Arial" w:cs="Arial"/>
        </w:rPr>
      </w:pPr>
      <w:r w:rsidRPr="00F9702C">
        <w:rPr>
          <w:rFonts w:ascii="Arial" w:hAnsi="Arial" w:cs="Arial"/>
        </w:rPr>
        <w:t>Un Sistema de Gestión de Continuidad del Servicio (SGCS) es una agrupación de métodos, procedimientos y normas interrelacionados para salvaguardar la continuidad de los procesos y servicios críticos o esenciales. La norma orienta a que el establecimiento del sistema da la capacidad a la organización para controlar, evaluar y continuar mejorando la continuidad del servicio.</w:t>
      </w:r>
    </w:p>
    <w:p w14:paraId="6FF723FE" w14:textId="77777777" w:rsidR="00F9702C" w:rsidRPr="00F9702C" w:rsidRDefault="00F9702C" w:rsidP="00796137">
      <w:pPr>
        <w:spacing w:after="0" w:line="240" w:lineRule="auto"/>
        <w:jc w:val="both"/>
        <w:rPr>
          <w:rFonts w:ascii="Arial" w:hAnsi="Arial" w:cs="Arial"/>
        </w:rPr>
      </w:pPr>
    </w:p>
    <w:p w14:paraId="772CBDE2" w14:textId="77777777" w:rsidR="00F9702C" w:rsidRPr="00F9702C" w:rsidRDefault="00F9702C" w:rsidP="00796137">
      <w:pPr>
        <w:spacing w:after="0" w:line="240" w:lineRule="auto"/>
        <w:jc w:val="both"/>
        <w:rPr>
          <w:rFonts w:ascii="Arial" w:hAnsi="Arial" w:cs="Arial"/>
        </w:rPr>
      </w:pPr>
      <w:r w:rsidRPr="00F9702C">
        <w:rPr>
          <w:rFonts w:ascii="Arial" w:hAnsi="Arial" w:cs="Arial"/>
        </w:rPr>
        <w:t xml:space="preserve">La gestión de los riesgos de continuidad es parte del sistema. Por ello, la norma INTE G130:2022/Cor 1:2023 </w:t>
      </w:r>
      <w:r w:rsidRPr="00F9702C">
        <w:rPr>
          <w:rFonts w:ascii="Arial" w:hAnsi="Arial" w:cs="Arial"/>
          <w:i/>
          <w:iCs/>
        </w:rPr>
        <w:t>“Sistemas de Gestión de Continuidad de Servicios para organizaciones públicas y sin fines de lucro- Requisitos y orientación para su uso”</w:t>
      </w:r>
      <w:r w:rsidRPr="00F9702C">
        <w:rPr>
          <w:rFonts w:ascii="Arial" w:hAnsi="Arial" w:cs="Arial"/>
        </w:rPr>
        <w:t xml:space="preserve"> determina que la organización debe realizar la evaluación de riesgos a intervalos planificados y cuando haya cambios significativos dentro de la organización o el contexto en que opera.</w:t>
      </w:r>
    </w:p>
    <w:p w14:paraId="0A7D75A0" w14:textId="77777777" w:rsidR="00F9702C" w:rsidRPr="00F9702C" w:rsidRDefault="00F9702C" w:rsidP="00796137">
      <w:pPr>
        <w:spacing w:after="0" w:line="240" w:lineRule="auto"/>
        <w:jc w:val="both"/>
        <w:rPr>
          <w:rFonts w:ascii="Arial" w:hAnsi="Arial" w:cs="Arial"/>
        </w:rPr>
      </w:pPr>
    </w:p>
    <w:p w14:paraId="0A162B9B" w14:textId="77777777" w:rsidR="00F9702C" w:rsidRPr="00F9702C" w:rsidRDefault="00F9702C" w:rsidP="00796137">
      <w:pPr>
        <w:spacing w:after="0" w:line="240" w:lineRule="auto"/>
        <w:jc w:val="both"/>
        <w:rPr>
          <w:rFonts w:ascii="Arial" w:hAnsi="Arial" w:cs="Arial"/>
        </w:rPr>
      </w:pPr>
      <w:r w:rsidRPr="00F9702C">
        <w:rPr>
          <w:rFonts w:ascii="Arial" w:hAnsi="Arial" w:cs="Arial"/>
        </w:rPr>
        <w:t xml:space="preserve">Particularmente esta norma indica: </w:t>
      </w:r>
    </w:p>
    <w:p w14:paraId="0F93A0CB" w14:textId="77777777" w:rsidR="00F9702C" w:rsidRPr="00F9702C" w:rsidRDefault="00F9702C" w:rsidP="00796137">
      <w:pPr>
        <w:spacing w:after="0" w:line="240" w:lineRule="auto"/>
        <w:jc w:val="both"/>
        <w:rPr>
          <w:rFonts w:ascii="Arial" w:hAnsi="Arial" w:cs="Arial"/>
        </w:rPr>
      </w:pPr>
    </w:p>
    <w:p w14:paraId="2D8C4A2A" w14:textId="77777777" w:rsidR="00F9702C" w:rsidRPr="00F9702C" w:rsidRDefault="00F9702C" w:rsidP="00796137">
      <w:pPr>
        <w:spacing w:after="0" w:line="240" w:lineRule="auto"/>
        <w:ind w:left="567"/>
        <w:jc w:val="both"/>
        <w:rPr>
          <w:rFonts w:ascii="Arial" w:hAnsi="Arial" w:cs="Arial"/>
          <w:i/>
          <w:iCs/>
        </w:rPr>
      </w:pPr>
      <w:r w:rsidRPr="00F9702C">
        <w:rPr>
          <w:rFonts w:ascii="Arial" w:hAnsi="Arial" w:cs="Arial"/>
          <w:i/>
          <w:iCs/>
        </w:rPr>
        <w:t>“8.2.3 Evaluación de riesgos</w:t>
      </w:r>
    </w:p>
    <w:p w14:paraId="7A05EC7E" w14:textId="77777777" w:rsidR="00F9702C" w:rsidRPr="00F9702C" w:rsidRDefault="00F9702C" w:rsidP="00796137">
      <w:pPr>
        <w:spacing w:after="0" w:line="240" w:lineRule="auto"/>
        <w:ind w:left="567"/>
        <w:jc w:val="both"/>
        <w:rPr>
          <w:rFonts w:ascii="Arial" w:hAnsi="Arial" w:cs="Arial"/>
          <w:i/>
          <w:iCs/>
        </w:rPr>
      </w:pPr>
      <w:r w:rsidRPr="00F9702C">
        <w:rPr>
          <w:rFonts w:ascii="Arial" w:hAnsi="Arial" w:cs="Arial"/>
          <w:i/>
          <w:iCs/>
        </w:rPr>
        <w:t>La organización debe implementar y mantener un proceso de evaluación de riesgos.</w:t>
      </w:r>
    </w:p>
    <w:p w14:paraId="504EA9AA" w14:textId="77777777" w:rsidR="00F9702C" w:rsidRPr="00F9702C" w:rsidRDefault="00F9702C" w:rsidP="00796137">
      <w:pPr>
        <w:spacing w:after="0" w:line="240" w:lineRule="auto"/>
        <w:ind w:left="567"/>
        <w:jc w:val="both"/>
        <w:rPr>
          <w:rFonts w:ascii="Arial" w:hAnsi="Arial" w:cs="Arial"/>
          <w:i/>
          <w:iCs/>
        </w:rPr>
      </w:pPr>
      <w:r w:rsidRPr="00F9702C">
        <w:rPr>
          <w:rFonts w:ascii="Arial" w:hAnsi="Arial" w:cs="Arial"/>
          <w:i/>
          <w:iCs/>
        </w:rPr>
        <w:lastRenderedPageBreak/>
        <w:t>La organización pública y sin fines de lucro debe:</w:t>
      </w:r>
    </w:p>
    <w:p w14:paraId="74CFBD64" w14:textId="77777777" w:rsidR="00F9702C" w:rsidRPr="00F9702C" w:rsidRDefault="00F9702C" w:rsidP="00796137">
      <w:pPr>
        <w:spacing w:after="0" w:line="240" w:lineRule="auto"/>
        <w:ind w:left="851"/>
        <w:jc w:val="both"/>
        <w:rPr>
          <w:rFonts w:ascii="Arial" w:hAnsi="Arial" w:cs="Arial"/>
          <w:i/>
          <w:iCs/>
        </w:rPr>
      </w:pPr>
      <w:r w:rsidRPr="00F9702C">
        <w:rPr>
          <w:rFonts w:ascii="Arial" w:hAnsi="Arial" w:cs="Arial"/>
          <w:i/>
          <w:iCs/>
        </w:rPr>
        <w:t>a) identificar los riesgos de disrupción para las actividades priorizadas de la organización y de los recursos requeridos;</w:t>
      </w:r>
    </w:p>
    <w:p w14:paraId="60A18EFA" w14:textId="77777777" w:rsidR="00F9702C" w:rsidRPr="00F9702C" w:rsidRDefault="00F9702C" w:rsidP="00796137">
      <w:pPr>
        <w:spacing w:after="0" w:line="240" w:lineRule="auto"/>
        <w:ind w:left="851"/>
        <w:jc w:val="both"/>
        <w:rPr>
          <w:rFonts w:ascii="Arial" w:hAnsi="Arial" w:cs="Arial"/>
          <w:i/>
          <w:iCs/>
        </w:rPr>
      </w:pPr>
      <w:r w:rsidRPr="00F9702C">
        <w:rPr>
          <w:rFonts w:ascii="Arial" w:hAnsi="Arial" w:cs="Arial"/>
          <w:i/>
          <w:iCs/>
        </w:rPr>
        <w:t>b) analizar y evaluar los riesgos identificados;</w:t>
      </w:r>
    </w:p>
    <w:p w14:paraId="30F6EB28" w14:textId="77777777" w:rsidR="00F9702C" w:rsidRPr="00F9702C" w:rsidRDefault="00F9702C" w:rsidP="00796137">
      <w:pPr>
        <w:spacing w:after="0" w:line="240" w:lineRule="auto"/>
        <w:ind w:left="851"/>
        <w:jc w:val="both"/>
        <w:rPr>
          <w:rFonts w:ascii="Arial" w:hAnsi="Arial" w:cs="Arial"/>
          <w:i/>
          <w:iCs/>
        </w:rPr>
      </w:pPr>
      <w:r w:rsidRPr="00F9702C">
        <w:rPr>
          <w:rFonts w:ascii="Arial" w:hAnsi="Arial" w:cs="Arial"/>
          <w:i/>
          <w:iCs/>
        </w:rPr>
        <w:t>c) determinar cuáles riesgos requieren tratamiento”.</w:t>
      </w:r>
    </w:p>
    <w:p w14:paraId="0BA82B4F" w14:textId="77777777" w:rsidR="00F9702C" w:rsidRPr="00F9702C" w:rsidRDefault="00F9702C" w:rsidP="00796137">
      <w:pPr>
        <w:spacing w:after="0" w:line="240" w:lineRule="auto"/>
        <w:jc w:val="both"/>
        <w:rPr>
          <w:rFonts w:ascii="Arial" w:hAnsi="Arial" w:cs="Arial"/>
        </w:rPr>
      </w:pPr>
    </w:p>
    <w:p w14:paraId="4D923E01" w14:textId="77777777" w:rsidR="00F9702C" w:rsidRPr="00F9702C" w:rsidRDefault="00F9702C" w:rsidP="00796137">
      <w:pPr>
        <w:spacing w:after="0" w:line="240" w:lineRule="auto"/>
        <w:jc w:val="both"/>
        <w:rPr>
          <w:rFonts w:ascii="Arial" w:hAnsi="Arial" w:cs="Arial"/>
        </w:rPr>
      </w:pPr>
      <w:r w:rsidRPr="00F9702C">
        <w:rPr>
          <w:rFonts w:ascii="Arial" w:hAnsi="Arial" w:cs="Arial"/>
        </w:rPr>
        <w:t xml:space="preserve">La identificación y análisis de los riesgos de continuidad que enfrenta la institución debe contemplar tanto las fuentes internas como externas pertinentes para la consecución de los objetivos vinculados a la continuidad del servicio. </w:t>
      </w:r>
    </w:p>
    <w:p w14:paraId="42E08A1D" w14:textId="77777777" w:rsidR="00F9702C" w:rsidRPr="000F366E" w:rsidRDefault="00F9702C" w:rsidP="00796137">
      <w:pPr>
        <w:spacing w:after="0" w:line="240" w:lineRule="auto"/>
        <w:jc w:val="both"/>
        <w:rPr>
          <w:rFonts w:ascii="Arial" w:hAnsi="Arial" w:cs="Arial"/>
        </w:rPr>
      </w:pPr>
    </w:p>
    <w:p w14:paraId="40228D7D" w14:textId="77777777" w:rsidR="00F9702C" w:rsidRPr="00F9702C" w:rsidRDefault="00F9702C" w:rsidP="00796137">
      <w:pPr>
        <w:spacing w:after="0" w:line="240" w:lineRule="auto"/>
        <w:jc w:val="both"/>
        <w:rPr>
          <w:rFonts w:ascii="Arial" w:hAnsi="Arial" w:cs="Arial"/>
        </w:rPr>
      </w:pPr>
      <w:r w:rsidRPr="00F9702C">
        <w:rPr>
          <w:rFonts w:ascii="Arial" w:hAnsi="Arial" w:cs="Arial"/>
        </w:rPr>
        <w:t xml:space="preserve">Como parte del Plan General de Continuidad del Servicio, en 2016 el Poder Judicial desarrolló un análisis de riesgos de continuidad a nivel institucional, el cual ofreció una primera percepción de los riesgos potenciales que podrían ocasionar una interrupción de su operación. Posteriormente, en el año 2020 el Consejo Superior aprobó el “Informe de Análisis de Riesgos de Continuidad del Servicio del Poder Judicial”; sin embargo, desde entonces el contexto interno de la organización (por ejemplo, las personas, los procesos y la tecnología), así como su entorno externo (por ejemplo, el ambiental, político, social y económico) han cambiado, de forma que los riesgos identificados en su momento deben ser revisados a la luz de dichos cambios. </w:t>
      </w:r>
    </w:p>
    <w:p w14:paraId="089AD466" w14:textId="77777777" w:rsidR="00F9702C" w:rsidRPr="00F9702C" w:rsidRDefault="00F9702C" w:rsidP="00796137">
      <w:pPr>
        <w:spacing w:after="0" w:line="240" w:lineRule="auto"/>
        <w:jc w:val="both"/>
        <w:rPr>
          <w:rFonts w:ascii="Arial" w:hAnsi="Arial" w:cs="Arial"/>
        </w:rPr>
      </w:pPr>
    </w:p>
    <w:p w14:paraId="767E520B" w14:textId="4054EEC1" w:rsidR="00F9702C" w:rsidRDefault="00F9702C" w:rsidP="00796137">
      <w:pPr>
        <w:spacing w:after="0" w:line="240" w:lineRule="auto"/>
        <w:jc w:val="both"/>
        <w:rPr>
          <w:rFonts w:ascii="Arial" w:hAnsi="Arial" w:cs="Arial"/>
        </w:rPr>
      </w:pPr>
      <w:r w:rsidRPr="00F9702C">
        <w:rPr>
          <w:rFonts w:ascii="Arial" w:hAnsi="Arial" w:cs="Arial"/>
        </w:rPr>
        <w:t xml:space="preserve">Por tanto, en este informe se aborda </w:t>
      </w:r>
      <w:r w:rsidR="00A50C03">
        <w:rPr>
          <w:rFonts w:ascii="Arial" w:hAnsi="Arial" w:cs="Arial"/>
        </w:rPr>
        <w:t>l</w:t>
      </w:r>
      <w:r w:rsidRPr="00F9702C">
        <w:rPr>
          <w:rFonts w:ascii="Arial" w:hAnsi="Arial" w:cs="Arial"/>
        </w:rPr>
        <w:t>a identificación de riesgos, a la luz de los eventos disruptivos materializados o que pueden presentar mayor probabilidad de ocurrencia dentro del Poder Judicial.</w:t>
      </w:r>
    </w:p>
    <w:p w14:paraId="67AD57B7" w14:textId="000B0045" w:rsidR="000F366E" w:rsidRDefault="000F366E" w:rsidP="00796137">
      <w:pPr>
        <w:spacing w:after="0" w:line="240" w:lineRule="auto"/>
        <w:jc w:val="both"/>
        <w:rPr>
          <w:rFonts w:ascii="Arial" w:hAnsi="Arial" w:cs="Arial"/>
        </w:rPr>
      </w:pPr>
    </w:p>
    <w:p w14:paraId="016CAE2B" w14:textId="6F613169" w:rsidR="00F9702C" w:rsidRDefault="000F366E" w:rsidP="00796137">
      <w:pPr>
        <w:spacing w:after="0" w:line="240" w:lineRule="auto"/>
        <w:jc w:val="both"/>
        <w:rPr>
          <w:rFonts w:ascii="Arial" w:hAnsi="Arial" w:cs="Arial"/>
        </w:rPr>
      </w:pPr>
      <w:r>
        <w:rPr>
          <w:rFonts w:ascii="Arial" w:hAnsi="Arial" w:cs="Arial"/>
        </w:rPr>
        <w:t>A manera de resumen, se exponen los principales resultados obtenidos en</w:t>
      </w:r>
      <w:r w:rsidR="00FB66BE">
        <w:rPr>
          <w:rFonts w:ascii="Arial" w:hAnsi="Arial" w:cs="Arial"/>
        </w:rPr>
        <w:t xml:space="preserve"> el </w:t>
      </w:r>
      <w:r>
        <w:rPr>
          <w:rFonts w:ascii="Arial" w:hAnsi="Arial" w:cs="Arial"/>
        </w:rPr>
        <w:t xml:space="preserve">informe de </w:t>
      </w:r>
      <w:r w:rsidR="00FB66BE" w:rsidRPr="00FB66BE">
        <w:rPr>
          <w:rFonts w:ascii="Arial" w:hAnsi="Arial" w:cs="Arial"/>
          <w:i/>
          <w:iCs/>
        </w:rPr>
        <w:t>“A</w:t>
      </w:r>
      <w:r w:rsidRPr="00FB66BE">
        <w:rPr>
          <w:rFonts w:ascii="Arial" w:hAnsi="Arial" w:cs="Arial"/>
          <w:i/>
          <w:iCs/>
        </w:rPr>
        <w:t>ctualización de Análisis de Riesgos de Continuidad</w:t>
      </w:r>
      <w:r w:rsidR="00FB66BE" w:rsidRPr="00FB66BE">
        <w:rPr>
          <w:rFonts w:ascii="Arial" w:hAnsi="Arial" w:cs="Arial"/>
          <w:i/>
          <w:iCs/>
        </w:rPr>
        <w:t>”</w:t>
      </w:r>
      <w:r w:rsidR="00FF5CF7">
        <w:rPr>
          <w:rFonts w:ascii="Arial" w:hAnsi="Arial" w:cs="Arial"/>
        </w:rPr>
        <w:t>.</w:t>
      </w:r>
    </w:p>
    <w:p w14:paraId="249893EA" w14:textId="0C6F3A06" w:rsidR="00FF5CF7" w:rsidRDefault="00FF5CF7" w:rsidP="00796137">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FF5CF7" w14:paraId="1E079DCD" w14:textId="77777777" w:rsidTr="00FF5CF7">
        <w:tc>
          <w:tcPr>
            <w:tcW w:w="4414" w:type="dxa"/>
          </w:tcPr>
          <w:p w14:paraId="61DE6AA2" w14:textId="62034A86" w:rsidR="00FF5CF7" w:rsidRDefault="00FF5CF7" w:rsidP="00796137">
            <w:pPr>
              <w:spacing w:after="0" w:line="240" w:lineRule="auto"/>
              <w:jc w:val="center"/>
              <w:rPr>
                <w:rFonts w:ascii="Arial" w:hAnsi="Arial" w:cs="Arial"/>
              </w:rPr>
            </w:pPr>
            <w:r>
              <w:rPr>
                <w:rFonts w:ascii="Arial" w:hAnsi="Arial" w:cs="Arial"/>
              </w:rPr>
              <w:t>Presentación resumen del informe</w:t>
            </w:r>
          </w:p>
        </w:tc>
        <w:tc>
          <w:tcPr>
            <w:tcW w:w="4414" w:type="dxa"/>
          </w:tcPr>
          <w:p w14:paraId="2CADAE62" w14:textId="653866DB" w:rsidR="00FF5CF7" w:rsidRDefault="00FF5CF7" w:rsidP="00796137">
            <w:pPr>
              <w:spacing w:after="0" w:line="240" w:lineRule="auto"/>
              <w:jc w:val="center"/>
              <w:rPr>
                <w:rFonts w:ascii="Arial" w:hAnsi="Arial" w:cs="Arial"/>
              </w:rPr>
            </w:pPr>
            <w:r>
              <w:rPr>
                <w:rFonts w:ascii="Arial" w:hAnsi="Arial" w:cs="Arial"/>
              </w:rPr>
              <w:t>Documento del informe</w:t>
            </w:r>
          </w:p>
        </w:tc>
      </w:tr>
      <w:tr w:rsidR="00FF5CF7" w14:paraId="472E95C4" w14:textId="77777777" w:rsidTr="00FF5CF7">
        <w:tc>
          <w:tcPr>
            <w:tcW w:w="4414" w:type="dxa"/>
          </w:tcPr>
          <w:p w14:paraId="253D7DCB" w14:textId="641921B1" w:rsidR="00FF5CF7" w:rsidRDefault="0013585A" w:rsidP="00796137">
            <w:pPr>
              <w:spacing w:after="0" w:line="240" w:lineRule="auto"/>
              <w:jc w:val="center"/>
              <w:rPr>
                <w:rFonts w:ascii="Arial" w:hAnsi="Arial" w:cs="Arial"/>
              </w:rPr>
            </w:pPr>
            <w:r>
              <w:rPr>
                <w:rFonts w:ascii="Calibri" w:eastAsia="Calibri" w:hAnsi="Calibri"/>
              </w:rPr>
              <w:object w:dxaOrig="1508" w:dyaOrig="984" w14:anchorId="7B721EEB">
                <v:shape id="_x0000_i1027" type="#_x0000_t75" style="width:75.1pt;height:49.45pt" o:ole="">
                  <v:imagedata r:id="rId12" o:title=""/>
                </v:shape>
                <o:OLEObject Type="Embed" ProgID="PowerPoint.Show.12" ShapeID="_x0000_i1027" DrawAspect="Icon" ObjectID="_1767530407" r:id="rId13"/>
              </w:object>
            </w:r>
          </w:p>
        </w:tc>
        <w:bookmarkStart w:id="1" w:name="_MON_1766491705"/>
        <w:bookmarkEnd w:id="1"/>
        <w:tc>
          <w:tcPr>
            <w:tcW w:w="4414" w:type="dxa"/>
          </w:tcPr>
          <w:p w14:paraId="09179E65" w14:textId="77777777" w:rsidR="00FF5CF7" w:rsidRDefault="00942085" w:rsidP="00796137">
            <w:pPr>
              <w:spacing w:after="0" w:line="240" w:lineRule="auto"/>
              <w:jc w:val="center"/>
              <w:rPr>
                <w:rFonts w:ascii="Arial" w:hAnsi="Arial" w:cs="Arial"/>
              </w:rPr>
            </w:pPr>
            <w:r>
              <w:rPr>
                <w:rFonts w:ascii="Arial" w:eastAsia="Calibri" w:hAnsi="Arial" w:cs="Arial"/>
              </w:rPr>
              <w:object w:dxaOrig="1508" w:dyaOrig="984" w14:anchorId="7481E803">
                <v:shape id="_x0000_i1028" type="#_x0000_t75" style="width:75.1pt;height:49.45pt" o:ole="">
                  <v:imagedata r:id="rId14" o:title=""/>
                </v:shape>
                <o:OLEObject Type="Embed" ProgID="Word.Document.12" ShapeID="_x0000_i1028" DrawAspect="Icon" ObjectID="_1767530408" r:id="rId15">
                  <o:FieldCodes>\s</o:FieldCodes>
                </o:OLEObject>
              </w:object>
            </w:r>
          </w:p>
          <w:p w14:paraId="430F90B0" w14:textId="65E4798A" w:rsidR="00942085" w:rsidRDefault="00942085" w:rsidP="00796137">
            <w:pPr>
              <w:spacing w:after="0" w:line="240" w:lineRule="auto"/>
              <w:jc w:val="center"/>
              <w:rPr>
                <w:rFonts w:ascii="Arial" w:hAnsi="Arial" w:cs="Arial"/>
              </w:rPr>
            </w:pPr>
          </w:p>
        </w:tc>
      </w:tr>
    </w:tbl>
    <w:p w14:paraId="2211ACA2" w14:textId="77777777" w:rsidR="00FF5CF7" w:rsidRPr="000F366E" w:rsidRDefault="00FF5CF7" w:rsidP="00796137">
      <w:pPr>
        <w:spacing w:after="0" w:line="240" w:lineRule="auto"/>
        <w:jc w:val="both"/>
        <w:rPr>
          <w:rFonts w:ascii="Arial" w:hAnsi="Arial" w:cs="Arial"/>
        </w:rPr>
      </w:pPr>
    </w:p>
    <w:p w14:paraId="349200D7" w14:textId="77777777" w:rsidR="000F366E" w:rsidRPr="005341D7" w:rsidRDefault="000F366E" w:rsidP="00796137">
      <w:pPr>
        <w:spacing w:after="0" w:line="240" w:lineRule="auto"/>
        <w:jc w:val="both"/>
        <w:rPr>
          <w:rFonts w:ascii="Arial" w:hAnsi="Arial" w:cs="Arial"/>
          <w:highlight w:val="darkGray"/>
        </w:rPr>
      </w:pPr>
    </w:p>
    <w:p w14:paraId="062C6B3F" w14:textId="19D34802" w:rsidR="0047232D" w:rsidRPr="0031757E" w:rsidRDefault="0047232D" w:rsidP="00796137">
      <w:pPr>
        <w:spacing w:after="0" w:line="240" w:lineRule="auto"/>
        <w:jc w:val="both"/>
        <w:rPr>
          <w:rFonts w:ascii="Arial" w:eastAsia="Times New Roman" w:hAnsi="Arial" w:cs="Arial"/>
          <w:b/>
          <w:bCs/>
          <w:lang w:eastAsia="es-ES"/>
        </w:rPr>
      </w:pPr>
      <w:r w:rsidRPr="0031757E">
        <w:rPr>
          <w:rFonts w:ascii="Arial" w:eastAsia="Times New Roman" w:hAnsi="Arial" w:cs="Arial"/>
          <w:b/>
          <w:bCs/>
          <w:lang w:eastAsia="es-ES"/>
        </w:rPr>
        <w:t>Se acuerda: 1)</w:t>
      </w:r>
      <w:r w:rsidRPr="0031757E">
        <w:rPr>
          <w:rFonts w:ascii="Arial" w:eastAsia="Times New Roman" w:hAnsi="Arial" w:cs="Arial"/>
          <w:lang w:eastAsia="es-ES"/>
        </w:rPr>
        <w:t xml:space="preserve"> </w:t>
      </w:r>
      <w:r w:rsidR="00387A7E" w:rsidRPr="0031757E">
        <w:rPr>
          <w:rFonts w:ascii="Arial" w:eastAsia="Times New Roman" w:hAnsi="Arial" w:cs="Arial"/>
          <w:lang w:eastAsia="es-ES"/>
        </w:rPr>
        <w:t xml:space="preserve">Aprobar el contenido del informe de </w:t>
      </w:r>
      <w:r w:rsidR="00387A7E" w:rsidRPr="0031757E">
        <w:rPr>
          <w:rFonts w:ascii="Arial" w:eastAsia="Times New Roman" w:hAnsi="Arial" w:cs="Arial"/>
          <w:i/>
          <w:iCs/>
          <w:lang w:eastAsia="es-ES"/>
        </w:rPr>
        <w:t>“Actualización de Análisis de Riesgos de Continuidad del Servicio del Poder Judicial</w:t>
      </w:r>
      <w:r w:rsidR="00BA5A4B" w:rsidRPr="0031757E">
        <w:rPr>
          <w:rFonts w:ascii="Arial" w:eastAsia="Times New Roman" w:hAnsi="Arial" w:cs="Arial"/>
          <w:i/>
          <w:iCs/>
          <w:lang w:eastAsia="es-ES"/>
        </w:rPr>
        <w:t>”</w:t>
      </w:r>
      <w:r w:rsidR="00387A7E" w:rsidRPr="0031757E">
        <w:rPr>
          <w:rFonts w:ascii="Arial" w:eastAsia="Times New Roman" w:hAnsi="Arial" w:cs="Arial"/>
          <w:lang w:eastAsia="es-ES"/>
        </w:rPr>
        <w:t xml:space="preserve"> elaborado por el Subproceso de Gestión de Continuidad del Servicio, así como sus recomendaciones</w:t>
      </w:r>
      <w:r w:rsidR="00064F25" w:rsidRPr="0031757E">
        <w:rPr>
          <w:rFonts w:ascii="Arial" w:eastAsia="Times New Roman" w:hAnsi="Arial" w:cs="Arial"/>
          <w:lang w:eastAsia="es-ES"/>
        </w:rPr>
        <w:t>.</w:t>
      </w:r>
      <w:r w:rsidR="00387A7E" w:rsidRPr="0031757E">
        <w:rPr>
          <w:rFonts w:ascii="Arial" w:eastAsia="Times New Roman" w:hAnsi="Arial" w:cs="Arial"/>
          <w:lang w:eastAsia="es-ES"/>
        </w:rPr>
        <w:t xml:space="preserve"> </w:t>
      </w:r>
      <w:r w:rsidR="00387A7E" w:rsidRPr="0031757E">
        <w:rPr>
          <w:rFonts w:ascii="Arial" w:eastAsia="Times New Roman" w:hAnsi="Arial" w:cs="Arial"/>
          <w:b/>
          <w:bCs/>
          <w:lang w:eastAsia="es-ES"/>
        </w:rPr>
        <w:t>2)</w:t>
      </w:r>
      <w:r w:rsidR="00387A7E" w:rsidRPr="0031757E">
        <w:rPr>
          <w:rFonts w:ascii="Arial" w:eastAsia="Times New Roman" w:hAnsi="Arial" w:cs="Arial"/>
          <w:lang w:eastAsia="es-ES"/>
        </w:rPr>
        <w:t xml:space="preserve"> El Subproceso deberá trasladar dicho informe al Consejo Superior, para conocimiento y aprobación de ese órgano. </w:t>
      </w:r>
      <w:r w:rsidR="00064F25" w:rsidRPr="0031757E">
        <w:rPr>
          <w:rFonts w:ascii="Arial" w:eastAsia="Times New Roman" w:hAnsi="Arial" w:cs="Arial"/>
          <w:lang w:eastAsia="es-ES"/>
        </w:rPr>
        <w:t xml:space="preserve"> </w:t>
      </w:r>
      <w:r w:rsidRPr="0031757E">
        <w:rPr>
          <w:rFonts w:ascii="Arial" w:eastAsia="Times New Roman" w:hAnsi="Arial" w:cs="Arial"/>
          <w:b/>
          <w:bCs/>
          <w:lang w:eastAsia="es-ES"/>
        </w:rPr>
        <w:t xml:space="preserve">ACUERDO FIRME. </w:t>
      </w:r>
    </w:p>
    <w:p w14:paraId="711AF7D2" w14:textId="7D27F753" w:rsidR="00AB00AD" w:rsidRDefault="00AB00AD" w:rsidP="00796137">
      <w:pPr>
        <w:spacing w:after="0" w:line="240" w:lineRule="auto"/>
        <w:jc w:val="both"/>
        <w:rPr>
          <w:rFonts w:ascii="Arial" w:eastAsia="Times New Roman" w:hAnsi="Arial" w:cs="Arial"/>
          <w:b/>
          <w:bCs/>
          <w:lang w:eastAsia="es-ES"/>
        </w:rPr>
      </w:pPr>
    </w:p>
    <w:p w14:paraId="45D6A8C4" w14:textId="77777777" w:rsidR="008C038A" w:rsidRDefault="008C038A" w:rsidP="00796137">
      <w:pPr>
        <w:spacing w:after="0" w:line="240" w:lineRule="auto"/>
        <w:jc w:val="center"/>
        <w:rPr>
          <w:rFonts w:ascii="Arial" w:hAnsi="Arial" w:cs="Arial"/>
          <w:b/>
          <w:color w:val="2F5496"/>
        </w:rPr>
      </w:pPr>
    </w:p>
    <w:p w14:paraId="67D02DD4" w14:textId="77777777" w:rsidR="00490240" w:rsidRDefault="00490240">
      <w:pPr>
        <w:spacing w:after="0" w:line="240" w:lineRule="auto"/>
        <w:rPr>
          <w:rFonts w:ascii="Arial" w:hAnsi="Arial" w:cs="Arial"/>
          <w:b/>
        </w:rPr>
      </w:pPr>
      <w:r>
        <w:rPr>
          <w:rFonts w:ascii="Arial" w:hAnsi="Arial" w:cs="Arial"/>
          <w:b/>
        </w:rPr>
        <w:br w:type="page"/>
      </w:r>
    </w:p>
    <w:p w14:paraId="576B2519" w14:textId="7F11C56F" w:rsidR="008C038A" w:rsidRPr="0031757E" w:rsidRDefault="008C038A" w:rsidP="00796137">
      <w:pPr>
        <w:spacing w:after="0" w:line="240" w:lineRule="auto"/>
        <w:jc w:val="center"/>
        <w:rPr>
          <w:rFonts w:ascii="Arial" w:hAnsi="Arial" w:cs="Arial"/>
          <w:b/>
        </w:rPr>
      </w:pPr>
      <w:r w:rsidRPr="0031757E">
        <w:rPr>
          <w:rFonts w:ascii="Arial" w:hAnsi="Arial" w:cs="Arial"/>
          <w:b/>
        </w:rPr>
        <w:lastRenderedPageBreak/>
        <w:t>ARTÍCULO II</w:t>
      </w:r>
      <w:r w:rsidR="008D22AE" w:rsidRPr="0031757E">
        <w:rPr>
          <w:rFonts w:ascii="Arial" w:hAnsi="Arial" w:cs="Arial"/>
          <w:b/>
        </w:rPr>
        <w:t>I</w:t>
      </w:r>
    </w:p>
    <w:p w14:paraId="447B0E31" w14:textId="77777777" w:rsidR="008C038A" w:rsidRPr="00754730" w:rsidRDefault="008C038A" w:rsidP="00796137">
      <w:pPr>
        <w:spacing w:after="0" w:line="240" w:lineRule="auto"/>
        <w:jc w:val="center"/>
        <w:rPr>
          <w:rFonts w:ascii="Arial" w:hAnsi="Arial" w:cs="Arial"/>
          <w:b/>
          <w:color w:val="2F5496"/>
        </w:rPr>
      </w:pPr>
    </w:p>
    <w:p w14:paraId="7B3CFEF0" w14:textId="0D522901" w:rsidR="00DD515B" w:rsidRPr="00754730" w:rsidRDefault="00DD515B" w:rsidP="00796137">
      <w:pPr>
        <w:spacing w:after="0" w:line="240" w:lineRule="auto"/>
        <w:jc w:val="both"/>
        <w:rPr>
          <w:rFonts w:ascii="Arial" w:hAnsi="Arial" w:cs="Arial"/>
          <w:b/>
          <w:bCs/>
          <w:lang w:val="es-ES"/>
        </w:rPr>
      </w:pPr>
      <w:r w:rsidRPr="00754730">
        <w:rPr>
          <w:rFonts w:ascii="Arial" w:hAnsi="Arial" w:cs="Arial"/>
          <w:b/>
          <w:bCs/>
          <w:lang w:val="es-ES"/>
        </w:rPr>
        <w:t>Informe de labores de la Gestión de la Continuidad, periodo 2023</w:t>
      </w:r>
    </w:p>
    <w:p w14:paraId="0C88DC0C" w14:textId="77777777" w:rsidR="00DD515B" w:rsidRPr="00754730" w:rsidRDefault="00DD515B" w:rsidP="00796137">
      <w:pPr>
        <w:spacing w:after="0" w:line="240" w:lineRule="auto"/>
        <w:jc w:val="both"/>
        <w:rPr>
          <w:rFonts w:ascii="Arial" w:hAnsi="Arial" w:cs="Arial"/>
          <w:lang w:val="es-ES"/>
        </w:rPr>
      </w:pPr>
    </w:p>
    <w:p w14:paraId="0AA9BE37" w14:textId="6E0D3A77" w:rsidR="008C038A" w:rsidRPr="00656A4C" w:rsidRDefault="008C038A" w:rsidP="00796137">
      <w:pPr>
        <w:spacing w:after="0" w:line="240" w:lineRule="auto"/>
        <w:jc w:val="both"/>
        <w:rPr>
          <w:rFonts w:ascii="Arial" w:hAnsi="Arial" w:cs="Arial"/>
          <w:lang w:val="es-ES"/>
        </w:rPr>
      </w:pPr>
      <w:r w:rsidRPr="00754730">
        <w:rPr>
          <w:rFonts w:ascii="Arial" w:hAnsi="Arial" w:cs="Arial"/>
          <w:lang w:val="es-ES"/>
        </w:rPr>
        <w:t>En la sesión del Consejo Superior número 30-2023 del 18 de abril de 2023, artículo XVII, se acordó:</w:t>
      </w:r>
    </w:p>
    <w:p w14:paraId="2CF30086" w14:textId="77777777" w:rsidR="008C038A" w:rsidRPr="00656A4C" w:rsidRDefault="008C038A" w:rsidP="00796137">
      <w:pPr>
        <w:spacing w:after="0" w:line="240" w:lineRule="auto"/>
        <w:jc w:val="both"/>
        <w:rPr>
          <w:rFonts w:ascii="Arial" w:hAnsi="Arial" w:cs="Arial"/>
          <w:lang w:val="es-ES"/>
        </w:rPr>
      </w:pPr>
    </w:p>
    <w:p w14:paraId="0167E588" w14:textId="77777777" w:rsidR="008C038A" w:rsidRPr="00656A4C" w:rsidRDefault="008C038A" w:rsidP="00796137">
      <w:pPr>
        <w:pStyle w:val="NormalWeb"/>
        <w:shd w:val="clear" w:color="auto" w:fill="FFFFFF"/>
        <w:spacing w:before="0" w:after="0"/>
        <w:ind w:firstLine="709"/>
        <w:jc w:val="both"/>
        <w:rPr>
          <w:rFonts w:ascii="Arial" w:hAnsi="Arial" w:cs="Arial"/>
          <w:sz w:val="22"/>
          <w:szCs w:val="22"/>
          <w:lang w:val="es-CR" w:eastAsia="es-CR"/>
        </w:rPr>
      </w:pPr>
      <w:r w:rsidRPr="00656A4C">
        <w:rPr>
          <w:rFonts w:ascii="Arial" w:hAnsi="Arial" w:cs="Arial"/>
          <w:sz w:val="22"/>
          <w:szCs w:val="22"/>
        </w:rPr>
        <w:t>“</w:t>
      </w:r>
      <w:r w:rsidRPr="00656A4C">
        <w:rPr>
          <w:rFonts w:ascii="Arial" w:hAnsi="Arial" w:cs="Arial"/>
          <w:b/>
          <w:bCs/>
          <w:sz w:val="22"/>
          <w:szCs w:val="22"/>
          <w:lang w:val="es-CR" w:eastAsia="es-CR"/>
        </w:rPr>
        <w:t>1)</w:t>
      </w:r>
      <w:r w:rsidRPr="00656A4C">
        <w:rPr>
          <w:rFonts w:ascii="Arial" w:hAnsi="Arial" w:cs="Arial"/>
          <w:sz w:val="22"/>
          <w:szCs w:val="22"/>
          <w:lang w:val="es-CR" w:eastAsia="es-CR"/>
        </w:rPr>
        <w:t> Tener por conocido lo presentado por la máster Ana Eugenia Romero Jenkins, Directora Ejecutiva, mediante el oficio No. 21-DE-SGCS-2023 del 27 de marzo de 2023; en consecuencia, aprobar el informe de las labores realizadas por el Subproceso de Gestión de Continuidad del Servicio para el periodo 2022, en el cual tiene por atendido los compromisos adquiridos, según lo aprobado por el Consejo Superior en la sesión número 74-2022, celebrada el 30 de agosto del 2022, artículo V; </w:t>
      </w:r>
      <w:r w:rsidRPr="00367E80">
        <w:rPr>
          <w:rFonts w:ascii="Arial" w:hAnsi="Arial" w:cs="Arial"/>
          <w:b/>
          <w:bCs/>
          <w:sz w:val="22"/>
          <w:szCs w:val="22"/>
          <w:lang w:val="es-CR" w:eastAsia="es-CR"/>
        </w:rPr>
        <w:t>2)</w:t>
      </w:r>
      <w:r w:rsidRPr="00367E80">
        <w:rPr>
          <w:rFonts w:ascii="Arial" w:hAnsi="Arial" w:cs="Arial"/>
          <w:sz w:val="22"/>
          <w:szCs w:val="22"/>
          <w:lang w:val="es-CR" w:eastAsia="es-CR"/>
        </w:rPr>
        <w:t> Aprobar el plan de trabajo presentado por el Subproceso de Gestión de la Continuidad del Servicio para el periodo 2023, al cual el Comité Técnico de Continuidad del Servicio dará seguimiento respectivo.</w:t>
      </w:r>
    </w:p>
    <w:p w14:paraId="09DD4583" w14:textId="77777777" w:rsidR="008C038A" w:rsidRDefault="008C038A" w:rsidP="00796137">
      <w:pPr>
        <w:shd w:val="clear" w:color="auto" w:fill="FFFFFF"/>
        <w:spacing w:after="0" w:line="240" w:lineRule="auto"/>
        <w:ind w:firstLine="709"/>
        <w:jc w:val="both"/>
        <w:rPr>
          <w:rFonts w:ascii="Arial" w:eastAsia="Times New Roman" w:hAnsi="Arial" w:cs="Arial"/>
          <w:lang w:eastAsia="es-CR"/>
        </w:rPr>
      </w:pPr>
    </w:p>
    <w:p w14:paraId="08C0616D" w14:textId="557A696A" w:rsidR="008C038A" w:rsidRPr="004761BC" w:rsidRDefault="008C038A" w:rsidP="00796137">
      <w:pPr>
        <w:shd w:val="clear" w:color="auto" w:fill="FFFFFF"/>
        <w:spacing w:after="0" w:line="240" w:lineRule="auto"/>
        <w:ind w:firstLine="709"/>
        <w:jc w:val="both"/>
        <w:rPr>
          <w:rFonts w:ascii="Arial" w:eastAsia="Times New Roman" w:hAnsi="Arial" w:cs="Arial"/>
          <w:lang w:eastAsia="es-CR"/>
        </w:rPr>
      </w:pPr>
      <w:r w:rsidRPr="004761BC">
        <w:rPr>
          <w:rFonts w:ascii="Arial" w:eastAsia="Times New Roman" w:hAnsi="Arial" w:cs="Arial"/>
          <w:lang w:eastAsia="es-CR"/>
        </w:rPr>
        <w:t>La Dirección Ejecutiva tomará nota para los fines correspondientes de acuerdo con sus competencias. </w:t>
      </w:r>
      <w:r w:rsidRPr="004761BC">
        <w:rPr>
          <w:rFonts w:ascii="Arial" w:eastAsia="Times New Roman" w:hAnsi="Arial" w:cs="Arial"/>
          <w:b/>
          <w:bCs/>
          <w:lang w:eastAsia="es-CR"/>
        </w:rPr>
        <w:t>Se declara acuerdo firme</w:t>
      </w:r>
      <w:r w:rsidRPr="00656A4C">
        <w:rPr>
          <w:rFonts w:ascii="Arial" w:eastAsia="Times New Roman" w:hAnsi="Arial" w:cs="Arial"/>
          <w:b/>
          <w:bCs/>
          <w:lang w:eastAsia="es-CR"/>
        </w:rPr>
        <w:t xml:space="preserve">”. </w:t>
      </w:r>
    </w:p>
    <w:p w14:paraId="57663F5E" w14:textId="77777777" w:rsidR="008C038A" w:rsidRPr="00656A4C" w:rsidRDefault="008C038A" w:rsidP="00796137">
      <w:pPr>
        <w:spacing w:after="0" w:line="240" w:lineRule="auto"/>
        <w:ind w:left="567"/>
        <w:jc w:val="both"/>
        <w:rPr>
          <w:rFonts w:ascii="Arial" w:hAnsi="Arial" w:cs="Arial"/>
          <w:lang w:val="es-ES"/>
        </w:rPr>
      </w:pPr>
    </w:p>
    <w:p w14:paraId="0899D427" w14:textId="77777777" w:rsidR="008C038A" w:rsidRPr="00656A4C" w:rsidRDefault="008C038A" w:rsidP="00796137">
      <w:pPr>
        <w:spacing w:after="0" w:line="240" w:lineRule="auto"/>
        <w:ind w:left="567"/>
        <w:jc w:val="both"/>
        <w:rPr>
          <w:rFonts w:ascii="Arial" w:hAnsi="Arial" w:cs="Arial"/>
          <w:i/>
          <w:iCs/>
        </w:rPr>
      </w:pPr>
      <w:r w:rsidRPr="00656A4C">
        <w:rPr>
          <w:rFonts w:ascii="Arial" w:hAnsi="Arial" w:cs="Arial"/>
          <w:lang w:val="es-ES"/>
        </w:rPr>
        <w:t xml:space="preserve">El Plan de Trabajo 2023, contempla lo siguiente: </w:t>
      </w:r>
      <w:r w:rsidRPr="00656A4C">
        <w:rPr>
          <w:rFonts w:ascii="Arial" w:hAnsi="Arial" w:cs="Arial"/>
          <w:i/>
          <w:iCs/>
        </w:rPr>
        <w:t xml:space="preserve"> </w:t>
      </w:r>
    </w:p>
    <w:p w14:paraId="106C939E" w14:textId="77777777" w:rsidR="008C038A" w:rsidRPr="00656A4C" w:rsidRDefault="008C038A" w:rsidP="00796137">
      <w:pPr>
        <w:spacing w:after="0" w:line="240" w:lineRule="auto"/>
        <w:ind w:left="567"/>
        <w:jc w:val="both"/>
        <w:rPr>
          <w:rFonts w:ascii="Arial" w:hAnsi="Arial" w:cs="Arial"/>
          <w:i/>
          <w:iCs/>
        </w:rPr>
      </w:pPr>
    </w:p>
    <w:tbl>
      <w:tblPr>
        <w:tblW w:w="89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103"/>
        <w:gridCol w:w="1417"/>
        <w:gridCol w:w="1843"/>
      </w:tblGrid>
      <w:tr w:rsidR="008C038A" w:rsidRPr="00656A4C" w14:paraId="552D8DF6" w14:textId="77777777" w:rsidTr="0007679B">
        <w:trPr>
          <w:trHeight w:val="841"/>
          <w:jc w:val="right"/>
        </w:trPr>
        <w:tc>
          <w:tcPr>
            <w:tcW w:w="5670" w:type="dxa"/>
            <w:gridSpan w:val="2"/>
            <w:shd w:val="clear" w:color="auto" w:fill="auto"/>
            <w:noWrap/>
            <w:vAlign w:val="center"/>
            <w:hideMark/>
          </w:tcPr>
          <w:p w14:paraId="3067D7C3" w14:textId="77777777" w:rsidR="008C038A" w:rsidRPr="00656A4C" w:rsidRDefault="008C038A" w:rsidP="00796137">
            <w:pPr>
              <w:spacing w:after="0" w:line="240" w:lineRule="auto"/>
              <w:jc w:val="center"/>
              <w:rPr>
                <w:rFonts w:ascii="Arial" w:hAnsi="Arial" w:cs="Arial"/>
                <w:b/>
                <w:bCs/>
                <w:i/>
                <w:iCs/>
              </w:rPr>
            </w:pPr>
            <w:r w:rsidRPr="00656A4C">
              <w:rPr>
                <w:rFonts w:ascii="Arial" w:hAnsi="Arial" w:cs="Arial"/>
                <w:b/>
                <w:bCs/>
                <w:i/>
                <w:iCs/>
              </w:rPr>
              <w:t>Actividades</w:t>
            </w:r>
          </w:p>
        </w:tc>
        <w:tc>
          <w:tcPr>
            <w:tcW w:w="1417" w:type="dxa"/>
            <w:shd w:val="clear" w:color="auto" w:fill="auto"/>
            <w:noWrap/>
            <w:vAlign w:val="center"/>
            <w:hideMark/>
          </w:tcPr>
          <w:p w14:paraId="1ACD12A2" w14:textId="77777777" w:rsidR="008C038A" w:rsidRPr="00656A4C" w:rsidRDefault="008C038A" w:rsidP="00796137">
            <w:pPr>
              <w:spacing w:after="0" w:line="240" w:lineRule="auto"/>
              <w:jc w:val="center"/>
              <w:rPr>
                <w:rFonts w:ascii="Arial" w:hAnsi="Arial" w:cs="Arial"/>
                <w:b/>
                <w:bCs/>
                <w:i/>
                <w:iCs/>
              </w:rPr>
            </w:pPr>
            <w:r w:rsidRPr="00656A4C">
              <w:rPr>
                <w:rFonts w:ascii="Arial" w:hAnsi="Arial" w:cs="Arial"/>
                <w:b/>
                <w:bCs/>
                <w:i/>
                <w:iCs/>
              </w:rPr>
              <w:t>Fecha estimada de inicio</w:t>
            </w:r>
          </w:p>
        </w:tc>
        <w:tc>
          <w:tcPr>
            <w:tcW w:w="1843" w:type="dxa"/>
            <w:shd w:val="clear" w:color="auto" w:fill="auto"/>
            <w:noWrap/>
            <w:vAlign w:val="center"/>
            <w:hideMark/>
          </w:tcPr>
          <w:p w14:paraId="48508C92" w14:textId="77777777" w:rsidR="008C038A" w:rsidRPr="00656A4C" w:rsidRDefault="008C038A" w:rsidP="00796137">
            <w:pPr>
              <w:spacing w:after="0" w:line="240" w:lineRule="auto"/>
              <w:jc w:val="center"/>
              <w:rPr>
                <w:rFonts w:ascii="Arial" w:hAnsi="Arial" w:cs="Arial"/>
                <w:b/>
                <w:bCs/>
                <w:i/>
                <w:iCs/>
              </w:rPr>
            </w:pPr>
            <w:r w:rsidRPr="00656A4C">
              <w:rPr>
                <w:rFonts w:ascii="Arial" w:hAnsi="Arial" w:cs="Arial"/>
                <w:b/>
                <w:bCs/>
                <w:i/>
                <w:iCs/>
              </w:rPr>
              <w:t>Fecha estimada de finalización</w:t>
            </w:r>
          </w:p>
        </w:tc>
      </w:tr>
      <w:tr w:rsidR="008C038A" w:rsidRPr="00656A4C" w14:paraId="39C2C571" w14:textId="77777777" w:rsidTr="0007679B">
        <w:trPr>
          <w:trHeight w:val="310"/>
          <w:jc w:val="right"/>
        </w:trPr>
        <w:tc>
          <w:tcPr>
            <w:tcW w:w="567" w:type="dxa"/>
            <w:shd w:val="clear" w:color="auto" w:fill="auto"/>
            <w:noWrap/>
            <w:vAlign w:val="center"/>
            <w:hideMark/>
          </w:tcPr>
          <w:p w14:paraId="4FABF6CD"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1</w:t>
            </w:r>
          </w:p>
        </w:tc>
        <w:tc>
          <w:tcPr>
            <w:tcW w:w="5103" w:type="dxa"/>
            <w:shd w:val="clear" w:color="auto" w:fill="auto"/>
            <w:noWrap/>
            <w:vAlign w:val="center"/>
          </w:tcPr>
          <w:p w14:paraId="1327E78C"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Análisis de Requerimientos para la Adquisición herramienta Continuidad</w:t>
            </w:r>
          </w:p>
        </w:tc>
        <w:tc>
          <w:tcPr>
            <w:tcW w:w="1417" w:type="dxa"/>
            <w:shd w:val="clear" w:color="auto" w:fill="auto"/>
            <w:noWrap/>
            <w:vAlign w:val="center"/>
          </w:tcPr>
          <w:p w14:paraId="7CEAADDD"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9/1/2023</w:t>
            </w:r>
          </w:p>
        </w:tc>
        <w:tc>
          <w:tcPr>
            <w:tcW w:w="1843" w:type="dxa"/>
            <w:shd w:val="clear" w:color="auto" w:fill="auto"/>
            <w:noWrap/>
            <w:vAlign w:val="center"/>
          </w:tcPr>
          <w:p w14:paraId="521CE67A"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31/3/2023</w:t>
            </w:r>
          </w:p>
        </w:tc>
      </w:tr>
      <w:tr w:rsidR="008C038A" w:rsidRPr="00656A4C" w14:paraId="486F478F" w14:textId="77777777" w:rsidTr="0007679B">
        <w:trPr>
          <w:trHeight w:val="310"/>
          <w:jc w:val="right"/>
        </w:trPr>
        <w:tc>
          <w:tcPr>
            <w:tcW w:w="567" w:type="dxa"/>
            <w:shd w:val="clear" w:color="auto" w:fill="auto"/>
            <w:noWrap/>
            <w:vAlign w:val="center"/>
            <w:hideMark/>
          </w:tcPr>
          <w:p w14:paraId="001D41D8"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2</w:t>
            </w:r>
          </w:p>
        </w:tc>
        <w:tc>
          <w:tcPr>
            <w:tcW w:w="5103" w:type="dxa"/>
            <w:shd w:val="clear" w:color="auto" w:fill="auto"/>
            <w:noWrap/>
            <w:vAlign w:val="center"/>
          </w:tcPr>
          <w:p w14:paraId="7D739B03"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Concientización y capacitación al personal judicial</w:t>
            </w:r>
          </w:p>
        </w:tc>
        <w:tc>
          <w:tcPr>
            <w:tcW w:w="1417" w:type="dxa"/>
            <w:shd w:val="clear" w:color="auto" w:fill="auto"/>
            <w:noWrap/>
            <w:vAlign w:val="center"/>
          </w:tcPr>
          <w:p w14:paraId="570EADFD"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69359A59"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7/7/2023</w:t>
            </w:r>
          </w:p>
        </w:tc>
      </w:tr>
      <w:tr w:rsidR="008C038A" w:rsidRPr="00656A4C" w14:paraId="0E93520E" w14:textId="77777777" w:rsidTr="0007679B">
        <w:trPr>
          <w:trHeight w:val="310"/>
          <w:jc w:val="right"/>
        </w:trPr>
        <w:tc>
          <w:tcPr>
            <w:tcW w:w="567" w:type="dxa"/>
            <w:shd w:val="clear" w:color="auto" w:fill="auto"/>
            <w:noWrap/>
            <w:vAlign w:val="center"/>
            <w:hideMark/>
          </w:tcPr>
          <w:p w14:paraId="7019231F"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3</w:t>
            </w:r>
          </w:p>
        </w:tc>
        <w:tc>
          <w:tcPr>
            <w:tcW w:w="5103" w:type="dxa"/>
            <w:shd w:val="clear" w:color="auto" w:fill="auto"/>
            <w:noWrap/>
            <w:vAlign w:val="center"/>
          </w:tcPr>
          <w:p w14:paraId="0F6544DD"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Divulgación de planes de continuidad ante diferentes escenarios</w:t>
            </w:r>
          </w:p>
        </w:tc>
        <w:tc>
          <w:tcPr>
            <w:tcW w:w="1417" w:type="dxa"/>
            <w:shd w:val="clear" w:color="auto" w:fill="auto"/>
            <w:noWrap/>
            <w:vAlign w:val="center"/>
          </w:tcPr>
          <w:p w14:paraId="3B0F9BA4"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60D2B5BF"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9/6/2023</w:t>
            </w:r>
          </w:p>
        </w:tc>
      </w:tr>
      <w:tr w:rsidR="008C038A" w:rsidRPr="00656A4C" w14:paraId="36DE9106" w14:textId="77777777" w:rsidTr="0007679B">
        <w:trPr>
          <w:trHeight w:val="310"/>
          <w:jc w:val="right"/>
        </w:trPr>
        <w:tc>
          <w:tcPr>
            <w:tcW w:w="567" w:type="dxa"/>
            <w:shd w:val="clear" w:color="auto" w:fill="auto"/>
            <w:noWrap/>
            <w:vAlign w:val="center"/>
            <w:hideMark/>
          </w:tcPr>
          <w:p w14:paraId="44BFAB9E"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4</w:t>
            </w:r>
          </w:p>
        </w:tc>
        <w:tc>
          <w:tcPr>
            <w:tcW w:w="5103" w:type="dxa"/>
            <w:shd w:val="clear" w:color="auto" w:fill="auto"/>
            <w:noWrap/>
            <w:vAlign w:val="center"/>
          </w:tcPr>
          <w:p w14:paraId="08279FA6"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Seguimiento y actualización de planes y estrategias de continuidad</w:t>
            </w:r>
          </w:p>
        </w:tc>
        <w:tc>
          <w:tcPr>
            <w:tcW w:w="1417" w:type="dxa"/>
            <w:shd w:val="clear" w:color="auto" w:fill="auto"/>
            <w:noWrap/>
            <w:vAlign w:val="center"/>
          </w:tcPr>
          <w:p w14:paraId="73244F36"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52FFB564"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22/12/2023</w:t>
            </w:r>
          </w:p>
        </w:tc>
      </w:tr>
      <w:tr w:rsidR="008C038A" w:rsidRPr="00656A4C" w14:paraId="19EA0D7D" w14:textId="77777777" w:rsidTr="0007679B">
        <w:trPr>
          <w:trHeight w:val="310"/>
          <w:jc w:val="right"/>
        </w:trPr>
        <w:tc>
          <w:tcPr>
            <w:tcW w:w="567" w:type="dxa"/>
            <w:shd w:val="clear" w:color="auto" w:fill="auto"/>
            <w:noWrap/>
            <w:vAlign w:val="center"/>
            <w:hideMark/>
          </w:tcPr>
          <w:p w14:paraId="136E68E7"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5</w:t>
            </w:r>
          </w:p>
        </w:tc>
        <w:tc>
          <w:tcPr>
            <w:tcW w:w="5103" w:type="dxa"/>
            <w:shd w:val="clear" w:color="auto" w:fill="auto"/>
            <w:noWrap/>
            <w:vAlign w:val="center"/>
          </w:tcPr>
          <w:p w14:paraId="0DBB119B"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Ejecución de pruebas y simulacros</w:t>
            </w:r>
          </w:p>
        </w:tc>
        <w:tc>
          <w:tcPr>
            <w:tcW w:w="1417" w:type="dxa"/>
            <w:shd w:val="clear" w:color="auto" w:fill="auto"/>
            <w:noWrap/>
            <w:vAlign w:val="center"/>
          </w:tcPr>
          <w:p w14:paraId="5C9F16D0"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27/2/2023</w:t>
            </w:r>
          </w:p>
        </w:tc>
        <w:tc>
          <w:tcPr>
            <w:tcW w:w="1843" w:type="dxa"/>
            <w:shd w:val="clear" w:color="auto" w:fill="auto"/>
            <w:noWrap/>
            <w:vAlign w:val="center"/>
          </w:tcPr>
          <w:p w14:paraId="5E3B098B"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22/12/2023</w:t>
            </w:r>
          </w:p>
        </w:tc>
      </w:tr>
      <w:tr w:rsidR="008C038A" w:rsidRPr="00656A4C" w14:paraId="178579D8" w14:textId="77777777" w:rsidTr="0007679B">
        <w:trPr>
          <w:trHeight w:val="310"/>
          <w:jc w:val="right"/>
        </w:trPr>
        <w:tc>
          <w:tcPr>
            <w:tcW w:w="567" w:type="dxa"/>
            <w:shd w:val="clear" w:color="auto" w:fill="auto"/>
            <w:noWrap/>
            <w:vAlign w:val="center"/>
            <w:hideMark/>
          </w:tcPr>
          <w:p w14:paraId="43142EC8"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6</w:t>
            </w:r>
          </w:p>
        </w:tc>
        <w:tc>
          <w:tcPr>
            <w:tcW w:w="5103" w:type="dxa"/>
            <w:shd w:val="clear" w:color="auto" w:fill="auto"/>
            <w:noWrap/>
            <w:vAlign w:val="center"/>
          </w:tcPr>
          <w:p w14:paraId="7853753C"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Actualización del Análisis de Impacto al Servicio</w:t>
            </w:r>
          </w:p>
        </w:tc>
        <w:tc>
          <w:tcPr>
            <w:tcW w:w="1417" w:type="dxa"/>
            <w:shd w:val="clear" w:color="auto" w:fill="auto"/>
            <w:noWrap/>
            <w:vAlign w:val="center"/>
          </w:tcPr>
          <w:p w14:paraId="34C5830C"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10/7/2023</w:t>
            </w:r>
          </w:p>
        </w:tc>
        <w:tc>
          <w:tcPr>
            <w:tcW w:w="1843" w:type="dxa"/>
            <w:shd w:val="clear" w:color="auto" w:fill="auto"/>
            <w:noWrap/>
            <w:vAlign w:val="center"/>
          </w:tcPr>
          <w:p w14:paraId="18412DC4"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29/9/2023</w:t>
            </w:r>
          </w:p>
        </w:tc>
      </w:tr>
      <w:tr w:rsidR="008C038A" w:rsidRPr="00656A4C" w14:paraId="4D47860F" w14:textId="77777777" w:rsidTr="0007679B">
        <w:trPr>
          <w:trHeight w:val="310"/>
          <w:jc w:val="right"/>
        </w:trPr>
        <w:tc>
          <w:tcPr>
            <w:tcW w:w="567" w:type="dxa"/>
            <w:shd w:val="clear" w:color="auto" w:fill="auto"/>
            <w:noWrap/>
            <w:vAlign w:val="center"/>
            <w:hideMark/>
          </w:tcPr>
          <w:p w14:paraId="76A00B70"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7</w:t>
            </w:r>
          </w:p>
        </w:tc>
        <w:tc>
          <w:tcPr>
            <w:tcW w:w="5103" w:type="dxa"/>
            <w:shd w:val="clear" w:color="auto" w:fill="auto"/>
            <w:noWrap/>
            <w:vAlign w:val="center"/>
          </w:tcPr>
          <w:p w14:paraId="74E3BBD3"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Actualización del Análisis de Riesgos</w:t>
            </w:r>
          </w:p>
        </w:tc>
        <w:tc>
          <w:tcPr>
            <w:tcW w:w="1417" w:type="dxa"/>
            <w:shd w:val="clear" w:color="auto" w:fill="auto"/>
            <w:noWrap/>
            <w:vAlign w:val="center"/>
          </w:tcPr>
          <w:p w14:paraId="5FA97C78"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2/10/2023</w:t>
            </w:r>
          </w:p>
        </w:tc>
        <w:tc>
          <w:tcPr>
            <w:tcW w:w="1843" w:type="dxa"/>
            <w:shd w:val="clear" w:color="auto" w:fill="auto"/>
            <w:noWrap/>
            <w:vAlign w:val="center"/>
          </w:tcPr>
          <w:p w14:paraId="0418FA50"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22/12/2023</w:t>
            </w:r>
          </w:p>
        </w:tc>
      </w:tr>
      <w:tr w:rsidR="008C038A" w:rsidRPr="00656A4C" w14:paraId="7AFF6F5D" w14:textId="77777777" w:rsidTr="0007679B">
        <w:trPr>
          <w:trHeight w:val="310"/>
          <w:jc w:val="right"/>
        </w:trPr>
        <w:tc>
          <w:tcPr>
            <w:tcW w:w="567" w:type="dxa"/>
            <w:shd w:val="clear" w:color="auto" w:fill="auto"/>
            <w:noWrap/>
            <w:vAlign w:val="center"/>
            <w:hideMark/>
          </w:tcPr>
          <w:p w14:paraId="4BEED3BA" w14:textId="77777777" w:rsidR="008C038A" w:rsidRPr="00656A4C" w:rsidRDefault="008C038A" w:rsidP="00796137">
            <w:pPr>
              <w:spacing w:after="0" w:line="240" w:lineRule="auto"/>
              <w:jc w:val="center"/>
              <w:rPr>
                <w:rFonts w:ascii="Arial" w:hAnsi="Arial" w:cs="Arial"/>
                <w:i/>
                <w:iCs/>
              </w:rPr>
            </w:pPr>
            <w:r w:rsidRPr="00656A4C">
              <w:rPr>
                <w:rFonts w:ascii="Arial" w:hAnsi="Arial" w:cs="Arial"/>
                <w:i/>
                <w:iCs/>
              </w:rPr>
              <w:t>8</w:t>
            </w:r>
          </w:p>
        </w:tc>
        <w:tc>
          <w:tcPr>
            <w:tcW w:w="5103" w:type="dxa"/>
            <w:shd w:val="clear" w:color="auto" w:fill="auto"/>
            <w:noWrap/>
            <w:vAlign w:val="center"/>
          </w:tcPr>
          <w:p w14:paraId="243D5E17" w14:textId="77777777" w:rsidR="008C038A" w:rsidRPr="00656A4C" w:rsidRDefault="008C038A" w:rsidP="00796137">
            <w:pPr>
              <w:spacing w:after="0" w:line="240" w:lineRule="auto"/>
              <w:jc w:val="both"/>
              <w:rPr>
                <w:rFonts w:ascii="Arial" w:hAnsi="Arial" w:cs="Arial"/>
                <w:i/>
                <w:iCs/>
              </w:rPr>
            </w:pPr>
            <w:r w:rsidRPr="00656A4C">
              <w:rPr>
                <w:rFonts w:ascii="Arial" w:hAnsi="Arial" w:cs="Arial"/>
                <w:i/>
                <w:iCs/>
              </w:rPr>
              <w:t>Gestión del proyecto</w:t>
            </w:r>
          </w:p>
        </w:tc>
        <w:tc>
          <w:tcPr>
            <w:tcW w:w="1417" w:type="dxa"/>
            <w:shd w:val="clear" w:color="auto" w:fill="auto"/>
            <w:noWrap/>
            <w:vAlign w:val="center"/>
          </w:tcPr>
          <w:p w14:paraId="614F51D3"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14/2/2023</w:t>
            </w:r>
          </w:p>
        </w:tc>
        <w:tc>
          <w:tcPr>
            <w:tcW w:w="1843" w:type="dxa"/>
            <w:shd w:val="clear" w:color="auto" w:fill="auto"/>
            <w:noWrap/>
            <w:vAlign w:val="center"/>
          </w:tcPr>
          <w:p w14:paraId="3B02F1B5" w14:textId="77777777" w:rsidR="008C038A" w:rsidRPr="00656A4C" w:rsidRDefault="008C038A" w:rsidP="00796137">
            <w:pPr>
              <w:spacing w:after="0" w:line="240" w:lineRule="auto"/>
              <w:jc w:val="right"/>
              <w:rPr>
                <w:rFonts w:ascii="Arial" w:hAnsi="Arial" w:cs="Arial"/>
                <w:i/>
                <w:iCs/>
              </w:rPr>
            </w:pPr>
            <w:r w:rsidRPr="00656A4C">
              <w:rPr>
                <w:rFonts w:ascii="Arial" w:hAnsi="Arial" w:cs="Arial"/>
                <w:i/>
                <w:iCs/>
              </w:rPr>
              <w:t>19/12/2023</w:t>
            </w:r>
          </w:p>
        </w:tc>
      </w:tr>
    </w:tbl>
    <w:p w14:paraId="34602EFC" w14:textId="77777777" w:rsidR="008C038A" w:rsidRPr="00656A4C" w:rsidRDefault="008C038A" w:rsidP="00796137">
      <w:pPr>
        <w:spacing w:after="0" w:line="240" w:lineRule="auto"/>
        <w:ind w:right="142"/>
        <w:jc w:val="both"/>
        <w:rPr>
          <w:rFonts w:ascii="Arial" w:hAnsi="Arial" w:cs="Arial"/>
        </w:rPr>
      </w:pPr>
    </w:p>
    <w:p w14:paraId="68F7381C" w14:textId="77777777" w:rsidR="008C038A" w:rsidRPr="00656A4C" w:rsidRDefault="008C038A" w:rsidP="00796137">
      <w:pPr>
        <w:spacing w:after="0" w:line="240" w:lineRule="auto"/>
        <w:ind w:right="142"/>
        <w:jc w:val="both"/>
        <w:rPr>
          <w:rFonts w:ascii="Arial" w:hAnsi="Arial" w:cs="Arial"/>
        </w:rPr>
      </w:pPr>
    </w:p>
    <w:p w14:paraId="6F307DB5" w14:textId="542AFC52" w:rsidR="008C038A" w:rsidRPr="00656A4C" w:rsidRDefault="008C038A" w:rsidP="00796137">
      <w:pPr>
        <w:spacing w:after="0" w:line="240" w:lineRule="auto"/>
        <w:ind w:right="142"/>
        <w:jc w:val="both"/>
        <w:rPr>
          <w:rFonts w:ascii="Arial" w:hAnsi="Arial" w:cs="Arial"/>
        </w:rPr>
      </w:pPr>
      <w:r w:rsidRPr="00656A4C">
        <w:rPr>
          <w:rFonts w:ascii="Arial" w:hAnsi="Arial" w:cs="Arial"/>
        </w:rPr>
        <w:t>Conforme con lo anterior, se presenta el avance correspondiente:</w:t>
      </w:r>
    </w:p>
    <w:p w14:paraId="32538C67" w14:textId="77777777" w:rsidR="008C038A" w:rsidRPr="00656A4C" w:rsidRDefault="008C038A" w:rsidP="00796137">
      <w:pPr>
        <w:spacing w:after="0" w:line="240" w:lineRule="auto"/>
        <w:ind w:right="142"/>
        <w:jc w:val="both"/>
        <w:rPr>
          <w:rFonts w:ascii="Arial" w:hAnsi="Arial" w:cs="Arial"/>
        </w:rPr>
      </w:pPr>
    </w:p>
    <w:p w14:paraId="4A3E2ACD"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Análisis de Requerimientos para la Adquisición herramienta Continuidad</w:t>
      </w:r>
    </w:p>
    <w:p w14:paraId="4DFCDD14" w14:textId="77777777" w:rsidR="008C038A" w:rsidRPr="00656A4C" w:rsidRDefault="008C038A" w:rsidP="00796137">
      <w:pPr>
        <w:spacing w:after="0" w:line="240" w:lineRule="auto"/>
        <w:ind w:right="142"/>
        <w:jc w:val="both"/>
        <w:rPr>
          <w:rFonts w:ascii="Arial" w:hAnsi="Arial" w:cs="Arial"/>
        </w:rPr>
      </w:pPr>
    </w:p>
    <w:p w14:paraId="78BA239A" w14:textId="77777777" w:rsidR="008C038A" w:rsidRPr="00656A4C" w:rsidRDefault="008C038A" w:rsidP="00796137">
      <w:pPr>
        <w:spacing w:after="0" w:line="240" w:lineRule="auto"/>
        <w:ind w:right="142"/>
        <w:jc w:val="both"/>
        <w:rPr>
          <w:rFonts w:ascii="Arial" w:hAnsi="Arial" w:cs="Arial"/>
        </w:rPr>
      </w:pPr>
      <w:r w:rsidRPr="00656A4C">
        <w:rPr>
          <w:rFonts w:ascii="Arial" w:hAnsi="Arial" w:cs="Arial"/>
        </w:rPr>
        <w:t>Se cuenta con el análisis de los requerimientos de la Dirección de Planificación y la valoración de opciones de herramientas disponibles en el mercado.</w:t>
      </w:r>
    </w:p>
    <w:p w14:paraId="17F4B4E6" w14:textId="77777777" w:rsidR="008C038A" w:rsidRPr="00656A4C" w:rsidRDefault="008C038A" w:rsidP="00796137">
      <w:pPr>
        <w:spacing w:after="0" w:line="240" w:lineRule="auto"/>
        <w:ind w:right="142"/>
        <w:jc w:val="both"/>
        <w:rPr>
          <w:rFonts w:ascii="Arial" w:hAnsi="Arial" w:cs="Arial"/>
        </w:rPr>
      </w:pPr>
    </w:p>
    <w:p w14:paraId="21CC890A" w14:textId="77777777" w:rsidR="008C038A" w:rsidRPr="00656A4C" w:rsidRDefault="008C038A" w:rsidP="00796137">
      <w:pPr>
        <w:pStyle w:val="Default"/>
        <w:jc w:val="both"/>
        <w:rPr>
          <w:color w:val="auto"/>
          <w:sz w:val="22"/>
          <w:szCs w:val="22"/>
          <w:lang w:eastAsia="es-CR"/>
        </w:rPr>
      </w:pPr>
      <w:r w:rsidRPr="00656A4C">
        <w:rPr>
          <w:color w:val="auto"/>
          <w:sz w:val="22"/>
          <w:szCs w:val="22"/>
        </w:rPr>
        <w:lastRenderedPageBreak/>
        <w:t xml:space="preserve">Mediante el oficio 80-DE-SGCS-2023 se remitió a la Dirección de Planificación, con copia a la Dirección de Tecnología de Información y Comunicaciones (DTIC), </w:t>
      </w:r>
      <w:r w:rsidRPr="00656A4C">
        <w:rPr>
          <w:color w:val="auto"/>
          <w:sz w:val="22"/>
          <w:szCs w:val="22"/>
          <w:lang w:eastAsia="es-CR"/>
        </w:rPr>
        <w:t>la lista de requerimientos actualizados que se solicitan en la solución informática que respalde y apoye la implementación y permanencia del Modelo de Gestión por Procesos en la Institución, los que fueron tomados en cuenta e incorporados al documento denominado “</w:t>
      </w:r>
      <w:r w:rsidRPr="00656A4C">
        <w:rPr>
          <w:i/>
          <w:iCs/>
          <w:color w:val="auto"/>
          <w:sz w:val="22"/>
          <w:szCs w:val="22"/>
          <w:lang w:eastAsia="es-CR"/>
        </w:rPr>
        <w:t>Estudio de factibilidad referente a la adquisición de una herramienta para la automatización del Modelo de Gestión de Procesos y el Sistema de Gestión de Continuidad del Servicio del Poder Judicial de Costa Rica</w:t>
      </w:r>
      <w:r w:rsidRPr="00656A4C">
        <w:rPr>
          <w:color w:val="auto"/>
          <w:sz w:val="22"/>
          <w:szCs w:val="22"/>
          <w:lang w:eastAsia="es-CR"/>
        </w:rPr>
        <w:t>”.</w:t>
      </w:r>
    </w:p>
    <w:p w14:paraId="1F3A0C44" w14:textId="77777777" w:rsidR="00A7181F" w:rsidRDefault="00A7181F" w:rsidP="00796137">
      <w:pPr>
        <w:pStyle w:val="Default"/>
        <w:jc w:val="both"/>
        <w:rPr>
          <w:color w:val="auto"/>
          <w:sz w:val="22"/>
          <w:szCs w:val="22"/>
          <w:lang w:eastAsia="es-CR"/>
        </w:rPr>
      </w:pPr>
    </w:p>
    <w:p w14:paraId="3EB201ED" w14:textId="201D4DB0" w:rsidR="008C038A" w:rsidRPr="00656A4C" w:rsidRDefault="008C038A" w:rsidP="00796137">
      <w:pPr>
        <w:pStyle w:val="Default"/>
        <w:jc w:val="both"/>
        <w:rPr>
          <w:color w:val="auto"/>
          <w:sz w:val="22"/>
          <w:szCs w:val="22"/>
        </w:rPr>
      </w:pPr>
      <w:r w:rsidRPr="00656A4C">
        <w:rPr>
          <w:color w:val="auto"/>
          <w:sz w:val="22"/>
          <w:szCs w:val="22"/>
          <w:lang w:eastAsia="es-CR"/>
        </w:rPr>
        <w:t xml:space="preserve">Está pendiente la elaboración del “Caso de negocio” para trasladar el requerimiento de manera formal a la DTIC, para la valoración técnica. </w:t>
      </w:r>
    </w:p>
    <w:p w14:paraId="4E00AAE7" w14:textId="77777777" w:rsidR="008C038A" w:rsidRPr="00656A4C" w:rsidRDefault="008C038A" w:rsidP="00796137">
      <w:pPr>
        <w:spacing w:after="0" w:line="240" w:lineRule="auto"/>
        <w:ind w:right="142"/>
        <w:jc w:val="both"/>
        <w:rPr>
          <w:rFonts w:ascii="Arial" w:hAnsi="Arial" w:cs="Arial"/>
        </w:rPr>
      </w:pPr>
    </w:p>
    <w:p w14:paraId="0AA9368A"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Concientización y capacitación al personal judicial</w:t>
      </w:r>
    </w:p>
    <w:p w14:paraId="004156E6" w14:textId="77777777" w:rsidR="008C038A" w:rsidRPr="00656A4C" w:rsidRDefault="008C038A" w:rsidP="00796137">
      <w:pPr>
        <w:spacing w:after="0" w:line="240" w:lineRule="auto"/>
        <w:rPr>
          <w:rFonts w:ascii="Arial" w:hAnsi="Arial" w:cs="Arial"/>
        </w:rPr>
      </w:pPr>
    </w:p>
    <w:p w14:paraId="65AF73AB" w14:textId="5A30C112" w:rsidR="008C038A" w:rsidRDefault="008C038A" w:rsidP="004F307F">
      <w:pPr>
        <w:spacing w:after="0" w:line="240" w:lineRule="auto"/>
        <w:jc w:val="both"/>
        <w:rPr>
          <w:rFonts w:ascii="Arial" w:hAnsi="Arial" w:cs="Arial"/>
        </w:rPr>
      </w:pPr>
      <w:r w:rsidRPr="00656A4C">
        <w:rPr>
          <w:rFonts w:ascii="Arial" w:hAnsi="Arial" w:cs="Arial"/>
        </w:rPr>
        <w:t>Durante el periodo 2023 se han realizado sesiones de capacitación en el Sistema de Gestión de Continuidad del Servicio, divi</w:t>
      </w:r>
      <w:r w:rsidR="00A50C03">
        <w:rPr>
          <w:rFonts w:ascii="Arial" w:hAnsi="Arial" w:cs="Arial"/>
        </w:rPr>
        <w:t>di</w:t>
      </w:r>
      <w:r w:rsidRPr="00656A4C">
        <w:rPr>
          <w:rFonts w:ascii="Arial" w:hAnsi="Arial" w:cs="Arial"/>
        </w:rPr>
        <w:t>do en los Módulos I: Concientización y II: Capacitación.</w:t>
      </w:r>
    </w:p>
    <w:p w14:paraId="031D1DB9" w14:textId="0F09E8E0" w:rsidR="004F307F" w:rsidRDefault="004F307F" w:rsidP="004F307F">
      <w:pPr>
        <w:spacing w:after="0" w:line="240" w:lineRule="auto"/>
        <w:jc w:val="both"/>
        <w:rPr>
          <w:rFonts w:ascii="Arial" w:hAnsi="Arial" w:cs="Arial"/>
        </w:rPr>
      </w:pPr>
    </w:p>
    <w:p w14:paraId="0F5E0214" w14:textId="77777777" w:rsidR="004F307F" w:rsidRPr="00060ECA" w:rsidRDefault="004F307F" w:rsidP="00060ECA">
      <w:pPr>
        <w:pStyle w:val="Prrafodelista"/>
        <w:numPr>
          <w:ilvl w:val="0"/>
          <w:numId w:val="20"/>
        </w:numPr>
        <w:rPr>
          <w:rFonts w:ascii="Arial" w:hAnsi="Arial" w:cs="Arial"/>
        </w:rPr>
      </w:pPr>
      <w:r w:rsidRPr="00060ECA">
        <w:rPr>
          <w:rFonts w:ascii="Arial" w:hAnsi="Arial" w:cs="Arial"/>
        </w:rPr>
        <w:t xml:space="preserve">Mediante la concientización se busca informar y crear conciencia en todas las personas funcionarias y servidoras judiciales sobre temas relacionados con la continuidad y su contribución con la efectividad del SGCS. </w:t>
      </w:r>
    </w:p>
    <w:p w14:paraId="24827A15" w14:textId="77777777" w:rsidR="004F307F" w:rsidRPr="004702FA" w:rsidRDefault="004F307F" w:rsidP="004F307F">
      <w:pPr>
        <w:spacing w:after="0" w:line="240" w:lineRule="auto"/>
        <w:jc w:val="both"/>
        <w:rPr>
          <w:rFonts w:ascii="Arial" w:hAnsi="Arial" w:cs="Arial"/>
        </w:rPr>
      </w:pPr>
    </w:p>
    <w:p w14:paraId="3C922FAD" w14:textId="65379ABD" w:rsidR="004F307F" w:rsidRPr="00060ECA" w:rsidRDefault="004F307F" w:rsidP="00060ECA">
      <w:pPr>
        <w:pStyle w:val="Prrafodelista"/>
        <w:ind w:left="720"/>
        <w:rPr>
          <w:rFonts w:ascii="Arial" w:hAnsi="Arial" w:cs="Arial"/>
        </w:rPr>
      </w:pPr>
      <w:r w:rsidRPr="00060ECA">
        <w:rPr>
          <w:rFonts w:ascii="Arial" w:hAnsi="Arial" w:cs="Arial"/>
        </w:rPr>
        <w:t xml:space="preserve">La concientización es un proceso orientado a que las personas se familiaricen con sus responsabilidades y con los conceptos relacionados con la continuidad del servicio a través de la observación o de la práctica, propiciando de esta manera cambios de conducta. </w:t>
      </w:r>
    </w:p>
    <w:p w14:paraId="21382DA3" w14:textId="77777777" w:rsidR="004F307F" w:rsidRPr="004702FA" w:rsidRDefault="004F307F" w:rsidP="004F307F">
      <w:pPr>
        <w:spacing w:after="0" w:line="240" w:lineRule="auto"/>
        <w:jc w:val="both"/>
        <w:rPr>
          <w:rFonts w:ascii="Arial" w:hAnsi="Arial" w:cs="Arial"/>
        </w:rPr>
      </w:pPr>
    </w:p>
    <w:p w14:paraId="3898BF7C" w14:textId="77777777" w:rsidR="004F307F" w:rsidRPr="005A77DA" w:rsidRDefault="004F307F" w:rsidP="00060ECA">
      <w:pPr>
        <w:pStyle w:val="Prrafodelista"/>
        <w:numPr>
          <w:ilvl w:val="0"/>
          <w:numId w:val="19"/>
        </w:numPr>
        <w:rPr>
          <w:rFonts w:ascii="Arial" w:hAnsi="Arial" w:cs="Arial"/>
        </w:rPr>
      </w:pPr>
      <w:r w:rsidRPr="005A77DA">
        <w:rPr>
          <w:rFonts w:ascii="Arial" w:hAnsi="Arial" w:cs="Arial"/>
        </w:rPr>
        <w:t>La capacitación es un proceso que tiene como objetivo asegurar una educación continua para mantener las habilidades y competencias adquiridas, así como proporcionar conocimientos técnicos y especialización adicional en áreas específicas a las personas responsables de la continuidad del servicio dentro de la institución.</w:t>
      </w:r>
    </w:p>
    <w:p w14:paraId="56F6BBC8" w14:textId="77777777" w:rsidR="004F307F" w:rsidRDefault="004F307F" w:rsidP="004F307F">
      <w:pPr>
        <w:pStyle w:val="Prrafodelista"/>
        <w:ind w:left="0"/>
        <w:rPr>
          <w:rFonts w:ascii="Arial" w:hAnsi="Arial" w:cs="Arial"/>
        </w:rPr>
      </w:pPr>
    </w:p>
    <w:p w14:paraId="528EC949" w14:textId="77777777" w:rsidR="004F307F" w:rsidRPr="005A77DA" w:rsidRDefault="004F307F" w:rsidP="00060ECA">
      <w:pPr>
        <w:pStyle w:val="Prrafodelista"/>
        <w:ind w:left="720"/>
        <w:rPr>
          <w:rFonts w:ascii="Arial" w:hAnsi="Arial" w:cs="Arial"/>
        </w:rPr>
      </w:pPr>
      <w:r w:rsidRPr="005A77DA">
        <w:rPr>
          <w:rFonts w:ascii="Arial" w:hAnsi="Arial" w:cs="Arial"/>
        </w:rPr>
        <w:t xml:space="preserve">La puesta en marcha de los planes de continuidad, en caso de un evento disruptivo, depende en la primera línea de acción de cada despacho y oficina dueña de procesos críticos y en consecuencia, de su personal. Por tanto, la interiorización de la continuidad del servicio es medular para que el sistema funcione cuando un evento disruptivo así lo exija. </w:t>
      </w:r>
    </w:p>
    <w:p w14:paraId="0A37825E" w14:textId="77777777" w:rsidR="004F307F" w:rsidRPr="00656A4C" w:rsidRDefault="004F307F" w:rsidP="00796137">
      <w:pPr>
        <w:spacing w:after="0" w:line="240" w:lineRule="auto"/>
        <w:rPr>
          <w:rFonts w:ascii="Arial" w:hAnsi="Arial" w:cs="Arial"/>
        </w:rPr>
      </w:pPr>
    </w:p>
    <w:p w14:paraId="557C2800" w14:textId="0465A70C" w:rsidR="008C038A" w:rsidRDefault="004F307F" w:rsidP="004F307F">
      <w:pPr>
        <w:spacing w:after="0" w:line="240" w:lineRule="auto"/>
        <w:jc w:val="both"/>
        <w:rPr>
          <w:rFonts w:ascii="Arial" w:eastAsia="Times New Roman" w:hAnsi="Arial" w:cs="Arial"/>
        </w:rPr>
      </w:pPr>
      <w:r>
        <w:rPr>
          <w:rFonts w:ascii="Arial" w:hAnsi="Arial" w:cs="Arial"/>
        </w:rPr>
        <w:t xml:space="preserve">En el siguiente cuadro y gráfico, se resume la cantidad de personas que participaron en sesiones de sensibilización y capacitación sobre la gestión de la continuidad del servicio, durante el año 2023. </w:t>
      </w:r>
    </w:p>
    <w:p w14:paraId="11D11D10" w14:textId="77777777" w:rsidR="004F307F" w:rsidRPr="00656A4C" w:rsidRDefault="004F307F" w:rsidP="004F307F">
      <w:pPr>
        <w:spacing w:after="0" w:line="240" w:lineRule="auto"/>
        <w:jc w:val="both"/>
        <w:rPr>
          <w:rFonts w:ascii="Arial" w:hAnsi="Arial" w:cs="Arial"/>
        </w:rPr>
      </w:pPr>
    </w:p>
    <w:p w14:paraId="27DA08E3" w14:textId="77777777" w:rsidR="004F307F" w:rsidRPr="004F307F" w:rsidRDefault="004F307F" w:rsidP="00796137">
      <w:pPr>
        <w:spacing w:after="0" w:line="240" w:lineRule="auto"/>
        <w:jc w:val="center"/>
        <w:rPr>
          <w:rFonts w:ascii="Arial" w:hAnsi="Arial" w:cs="Arial"/>
          <w:b/>
          <w:bCs/>
          <w:noProof/>
        </w:rPr>
      </w:pPr>
      <w:r w:rsidRPr="004F307F">
        <w:rPr>
          <w:rFonts w:ascii="Arial" w:hAnsi="Arial" w:cs="Arial"/>
          <w:b/>
          <w:bCs/>
          <w:noProof/>
        </w:rPr>
        <w:t>Subproceso de Gestión de la Continuidad del Servicio</w:t>
      </w:r>
    </w:p>
    <w:p w14:paraId="17175C4C" w14:textId="16BD303F" w:rsidR="008C038A" w:rsidRPr="004F307F" w:rsidRDefault="004F307F" w:rsidP="00796137">
      <w:pPr>
        <w:spacing w:after="0" w:line="240" w:lineRule="auto"/>
        <w:jc w:val="center"/>
        <w:rPr>
          <w:rFonts w:ascii="Arial" w:hAnsi="Arial" w:cs="Arial"/>
          <w:b/>
          <w:bCs/>
          <w:noProof/>
        </w:rPr>
      </w:pPr>
      <w:r w:rsidRPr="004F307F">
        <w:rPr>
          <w:rFonts w:ascii="Arial" w:hAnsi="Arial" w:cs="Arial"/>
          <w:b/>
          <w:bCs/>
          <w:noProof/>
        </w:rPr>
        <w:t xml:space="preserve">Cantidad de personas capacitadas en el Sistema de Gestión de Continuidad del Servicio, por área </w:t>
      </w:r>
    </w:p>
    <w:p w14:paraId="5AD887A0" w14:textId="4EE8D416" w:rsidR="004F307F" w:rsidRPr="004F307F" w:rsidRDefault="004F307F" w:rsidP="00796137">
      <w:pPr>
        <w:spacing w:after="0" w:line="240" w:lineRule="auto"/>
        <w:jc w:val="center"/>
        <w:rPr>
          <w:rFonts w:ascii="Arial" w:hAnsi="Arial" w:cs="Arial"/>
          <w:b/>
          <w:bCs/>
          <w:noProof/>
        </w:rPr>
      </w:pPr>
      <w:r w:rsidRPr="004F307F">
        <w:rPr>
          <w:rFonts w:ascii="Arial" w:hAnsi="Arial" w:cs="Arial"/>
          <w:b/>
          <w:bCs/>
          <w:noProof/>
        </w:rPr>
        <w:t>Al 22 noviembre 2023</w:t>
      </w:r>
    </w:p>
    <w:p w14:paraId="551D2BEE" w14:textId="77777777" w:rsidR="004F307F" w:rsidRDefault="004F307F" w:rsidP="00796137">
      <w:pPr>
        <w:spacing w:after="0" w:line="240" w:lineRule="auto"/>
        <w:jc w:val="center"/>
        <w:rPr>
          <w:rFonts w:ascii="Arial" w:hAnsi="Arial" w:cs="Arial"/>
          <w:noProof/>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9"/>
        <w:gridCol w:w="2382"/>
      </w:tblGrid>
      <w:tr w:rsidR="004F307F" w:rsidRPr="004F307F" w14:paraId="1DC5BCE5" w14:textId="77777777" w:rsidTr="004F307F">
        <w:trPr>
          <w:trHeight w:val="290"/>
          <w:jc w:val="center"/>
        </w:trPr>
        <w:tc>
          <w:tcPr>
            <w:tcW w:w="4559" w:type="dxa"/>
            <w:shd w:val="clear" w:color="auto" w:fill="002060"/>
            <w:noWrap/>
            <w:vAlign w:val="bottom"/>
          </w:tcPr>
          <w:p w14:paraId="53710B47" w14:textId="4D24E2C1" w:rsidR="004F307F" w:rsidRPr="004F307F" w:rsidRDefault="004F307F" w:rsidP="004F307F">
            <w:pPr>
              <w:spacing w:after="0" w:line="240" w:lineRule="auto"/>
              <w:jc w:val="center"/>
              <w:rPr>
                <w:rFonts w:eastAsia="Times New Roman" w:cs="Calibri"/>
                <w:b/>
                <w:bCs/>
                <w:color w:val="FFFFFF" w:themeColor="background1"/>
                <w:lang w:eastAsia="es-CR"/>
              </w:rPr>
            </w:pPr>
            <w:r w:rsidRPr="004F307F">
              <w:rPr>
                <w:rFonts w:eastAsia="Times New Roman" w:cs="Calibri"/>
                <w:b/>
                <w:bCs/>
                <w:color w:val="FFFFFF" w:themeColor="background1"/>
                <w:lang w:eastAsia="es-CR"/>
              </w:rPr>
              <w:t>Área o Ámbito</w:t>
            </w:r>
          </w:p>
        </w:tc>
        <w:tc>
          <w:tcPr>
            <w:tcW w:w="2382" w:type="dxa"/>
            <w:shd w:val="clear" w:color="auto" w:fill="002060"/>
            <w:noWrap/>
            <w:vAlign w:val="bottom"/>
          </w:tcPr>
          <w:p w14:paraId="32CA810E" w14:textId="77848CE2" w:rsidR="004F307F" w:rsidRPr="004F307F" w:rsidRDefault="004F307F" w:rsidP="004F307F">
            <w:pPr>
              <w:spacing w:after="0" w:line="240" w:lineRule="auto"/>
              <w:jc w:val="center"/>
              <w:rPr>
                <w:rFonts w:eastAsia="Times New Roman" w:cs="Calibri"/>
                <w:b/>
                <w:bCs/>
                <w:color w:val="FFFFFF" w:themeColor="background1"/>
                <w:lang w:eastAsia="es-CR"/>
              </w:rPr>
            </w:pPr>
            <w:r w:rsidRPr="004F307F">
              <w:rPr>
                <w:rFonts w:eastAsia="Times New Roman" w:cs="Calibri"/>
                <w:b/>
                <w:bCs/>
                <w:color w:val="FFFFFF" w:themeColor="background1"/>
                <w:lang w:eastAsia="es-CR"/>
              </w:rPr>
              <w:t>Cantidad de personas</w:t>
            </w:r>
          </w:p>
        </w:tc>
      </w:tr>
      <w:tr w:rsidR="004F307F" w:rsidRPr="004F307F" w14:paraId="63C48FF3" w14:textId="77777777" w:rsidTr="004F307F">
        <w:trPr>
          <w:trHeight w:val="290"/>
          <w:jc w:val="center"/>
        </w:trPr>
        <w:tc>
          <w:tcPr>
            <w:tcW w:w="4559" w:type="dxa"/>
            <w:shd w:val="clear" w:color="auto" w:fill="auto"/>
            <w:noWrap/>
            <w:vAlign w:val="bottom"/>
          </w:tcPr>
          <w:p w14:paraId="73B4295D" w14:textId="1ABF8AC7" w:rsid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 xml:space="preserve">Gestión de Continuidad para acreditación de procesos </w:t>
            </w:r>
            <w:r w:rsidRPr="004F307F">
              <w:rPr>
                <w:rFonts w:eastAsia="Times New Roman" w:cs="Calibri"/>
                <w:color w:val="000000"/>
                <w:lang w:eastAsia="es-CR"/>
              </w:rPr>
              <w:t>CEGECA</w:t>
            </w:r>
          </w:p>
        </w:tc>
        <w:tc>
          <w:tcPr>
            <w:tcW w:w="2382" w:type="dxa"/>
            <w:shd w:val="clear" w:color="auto" w:fill="auto"/>
            <w:noWrap/>
            <w:vAlign w:val="bottom"/>
          </w:tcPr>
          <w:p w14:paraId="61A3CB8B" w14:textId="413BBA4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95</w:t>
            </w:r>
          </w:p>
        </w:tc>
      </w:tr>
      <w:tr w:rsidR="004F307F" w:rsidRPr="004F307F" w14:paraId="2C1ADFBA" w14:textId="77777777" w:rsidTr="004F307F">
        <w:trPr>
          <w:trHeight w:val="290"/>
          <w:jc w:val="center"/>
        </w:trPr>
        <w:tc>
          <w:tcPr>
            <w:tcW w:w="4559" w:type="dxa"/>
            <w:shd w:val="clear" w:color="auto" w:fill="auto"/>
            <w:noWrap/>
            <w:vAlign w:val="bottom"/>
            <w:hideMark/>
          </w:tcPr>
          <w:p w14:paraId="45EC699E" w14:textId="46E679C3"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 xml:space="preserve">Personal del </w:t>
            </w:r>
            <w:r w:rsidRPr="004F307F">
              <w:rPr>
                <w:rFonts w:eastAsia="Times New Roman" w:cs="Calibri"/>
                <w:color w:val="000000"/>
                <w:lang w:eastAsia="es-CR"/>
              </w:rPr>
              <w:t>OIJ</w:t>
            </w:r>
          </w:p>
        </w:tc>
        <w:tc>
          <w:tcPr>
            <w:tcW w:w="2382" w:type="dxa"/>
            <w:shd w:val="clear" w:color="auto" w:fill="auto"/>
            <w:noWrap/>
            <w:vAlign w:val="bottom"/>
            <w:hideMark/>
          </w:tcPr>
          <w:p w14:paraId="199CB6BB"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129</w:t>
            </w:r>
          </w:p>
        </w:tc>
      </w:tr>
      <w:tr w:rsidR="004F307F" w:rsidRPr="004F307F" w14:paraId="109F3F29" w14:textId="77777777" w:rsidTr="004F307F">
        <w:trPr>
          <w:trHeight w:val="290"/>
          <w:jc w:val="center"/>
        </w:trPr>
        <w:tc>
          <w:tcPr>
            <w:tcW w:w="4559" w:type="dxa"/>
            <w:shd w:val="clear" w:color="auto" w:fill="auto"/>
            <w:noWrap/>
            <w:vAlign w:val="bottom"/>
            <w:hideMark/>
          </w:tcPr>
          <w:p w14:paraId="1E05BA77" w14:textId="4C396D6B"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Personal del Ámbito Administrativo</w:t>
            </w:r>
          </w:p>
        </w:tc>
        <w:tc>
          <w:tcPr>
            <w:tcW w:w="2382" w:type="dxa"/>
            <w:shd w:val="clear" w:color="auto" w:fill="auto"/>
            <w:noWrap/>
            <w:vAlign w:val="bottom"/>
            <w:hideMark/>
          </w:tcPr>
          <w:p w14:paraId="5CCF1D2D"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231</w:t>
            </w:r>
          </w:p>
        </w:tc>
      </w:tr>
      <w:tr w:rsidR="004F307F" w:rsidRPr="004F307F" w14:paraId="3D03B2A5" w14:textId="77777777" w:rsidTr="004F307F">
        <w:trPr>
          <w:trHeight w:val="290"/>
          <w:jc w:val="center"/>
        </w:trPr>
        <w:tc>
          <w:tcPr>
            <w:tcW w:w="4559" w:type="dxa"/>
            <w:shd w:val="clear" w:color="auto" w:fill="auto"/>
            <w:noWrap/>
            <w:vAlign w:val="bottom"/>
            <w:hideMark/>
          </w:tcPr>
          <w:p w14:paraId="4846CC61" w14:textId="6A95DED3"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Personal del Ámbito Jurisdiccional</w:t>
            </w:r>
          </w:p>
        </w:tc>
        <w:tc>
          <w:tcPr>
            <w:tcW w:w="2382" w:type="dxa"/>
            <w:shd w:val="clear" w:color="auto" w:fill="auto"/>
            <w:noWrap/>
            <w:vAlign w:val="bottom"/>
            <w:hideMark/>
          </w:tcPr>
          <w:p w14:paraId="5F1B7FD3"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469</w:t>
            </w:r>
          </w:p>
        </w:tc>
      </w:tr>
      <w:tr w:rsidR="004F307F" w:rsidRPr="004F307F" w14:paraId="64B083B7" w14:textId="77777777" w:rsidTr="004F307F">
        <w:trPr>
          <w:trHeight w:val="290"/>
          <w:jc w:val="center"/>
        </w:trPr>
        <w:tc>
          <w:tcPr>
            <w:tcW w:w="4559" w:type="dxa"/>
            <w:shd w:val="clear" w:color="auto" w:fill="auto"/>
            <w:noWrap/>
            <w:vAlign w:val="bottom"/>
            <w:hideMark/>
          </w:tcPr>
          <w:p w14:paraId="51E93A7C" w14:textId="40D721A9"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Personal del Ministerio Público</w:t>
            </w:r>
          </w:p>
        </w:tc>
        <w:tc>
          <w:tcPr>
            <w:tcW w:w="2382" w:type="dxa"/>
            <w:shd w:val="clear" w:color="auto" w:fill="auto"/>
            <w:noWrap/>
            <w:vAlign w:val="bottom"/>
            <w:hideMark/>
          </w:tcPr>
          <w:p w14:paraId="7B757904"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28</w:t>
            </w:r>
          </w:p>
        </w:tc>
      </w:tr>
      <w:tr w:rsidR="004F307F" w:rsidRPr="004F307F" w14:paraId="3E4BF12B" w14:textId="77777777" w:rsidTr="004F307F">
        <w:trPr>
          <w:trHeight w:val="290"/>
          <w:jc w:val="center"/>
        </w:trPr>
        <w:tc>
          <w:tcPr>
            <w:tcW w:w="4559" w:type="dxa"/>
            <w:shd w:val="clear" w:color="auto" w:fill="auto"/>
            <w:noWrap/>
            <w:vAlign w:val="bottom"/>
            <w:hideMark/>
          </w:tcPr>
          <w:p w14:paraId="62B9E7A8" w14:textId="3D18A7C3"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Personal de la Defensa Pública</w:t>
            </w:r>
          </w:p>
        </w:tc>
        <w:tc>
          <w:tcPr>
            <w:tcW w:w="2382" w:type="dxa"/>
            <w:shd w:val="clear" w:color="auto" w:fill="auto"/>
            <w:noWrap/>
            <w:vAlign w:val="bottom"/>
            <w:hideMark/>
          </w:tcPr>
          <w:p w14:paraId="10F9129E"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29</w:t>
            </w:r>
          </w:p>
        </w:tc>
      </w:tr>
      <w:tr w:rsidR="004F307F" w:rsidRPr="004F307F" w14:paraId="08D22303" w14:textId="77777777" w:rsidTr="004F307F">
        <w:trPr>
          <w:trHeight w:val="290"/>
          <w:jc w:val="center"/>
        </w:trPr>
        <w:tc>
          <w:tcPr>
            <w:tcW w:w="4559" w:type="dxa"/>
            <w:shd w:val="clear" w:color="auto" w:fill="auto"/>
            <w:noWrap/>
            <w:vAlign w:val="bottom"/>
            <w:hideMark/>
          </w:tcPr>
          <w:p w14:paraId="026FDA30" w14:textId="737B4615" w:rsidR="004F307F" w:rsidRPr="004F307F" w:rsidRDefault="004F307F" w:rsidP="004F307F">
            <w:pPr>
              <w:spacing w:after="0" w:line="240" w:lineRule="auto"/>
              <w:rPr>
                <w:rFonts w:eastAsia="Times New Roman" w:cs="Calibri"/>
                <w:color w:val="000000"/>
                <w:lang w:eastAsia="es-CR"/>
              </w:rPr>
            </w:pPr>
            <w:r>
              <w:rPr>
                <w:rFonts w:eastAsia="Times New Roman" w:cs="Calibri"/>
                <w:color w:val="000000"/>
                <w:lang w:eastAsia="es-CR"/>
              </w:rPr>
              <w:t xml:space="preserve">Personal de la </w:t>
            </w:r>
            <w:r w:rsidRPr="004F307F">
              <w:rPr>
                <w:rFonts w:eastAsia="Times New Roman" w:cs="Calibri"/>
                <w:color w:val="000000"/>
                <w:lang w:eastAsia="es-CR"/>
              </w:rPr>
              <w:t>OAPVD</w:t>
            </w:r>
          </w:p>
        </w:tc>
        <w:tc>
          <w:tcPr>
            <w:tcW w:w="2382" w:type="dxa"/>
            <w:shd w:val="clear" w:color="auto" w:fill="auto"/>
            <w:noWrap/>
            <w:vAlign w:val="bottom"/>
            <w:hideMark/>
          </w:tcPr>
          <w:p w14:paraId="18121591" w14:textId="77777777" w:rsidR="004F307F" w:rsidRPr="004F307F" w:rsidRDefault="004F307F" w:rsidP="004F307F">
            <w:pPr>
              <w:spacing w:after="0" w:line="240" w:lineRule="auto"/>
              <w:jc w:val="center"/>
              <w:rPr>
                <w:rFonts w:eastAsia="Times New Roman" w:cs="Calibri"/>
                <w:color w:val="000000"/>
                <w:lang w:eastAsia="es-CR"/>
              </w:rPr>
            </w:pPr>
            <w:r w:rsidRPr="004F307F">
              <w:rPr>
                <w:rFonts w:eastAsia="Times New Roman" w:cs="Calibri"/>
                <w:color w:val="000000"/>
                <w:lang w:eastAsia="es-CR"/>
              </w:rPr>
              <w:t>75</w:t>
            </w:r>
          </w:p>
        </w:tc>
      </w:tr>
      <w:tr w:rsidR="004F307F" w:rsidRPr="004F307F" w14:paraId="17B30188" w14:textId="77777777" w:rsidTr="004F307F">
        <w:trPr>
          <w:trHeight w:val="290"/>
          <w:jc w:val="center"/>
        </w:trPr>
        <w:tc>
          <w:tcPr>
            <w:tcW w:w="4559" w:type="dxa"/>
            <w:shd w:val="clear" w:color="auto" w:fill="auto"/>
            <w:noWrap/>
            <w:vAlign w:val="bottom"/>
            <w:hideMark/>
          </w:tcPr>
          <w:p w14:paraId="0095F193" w14:textId="41866CC9" w:rsidR="004F307F" w:rsidRPr="004F307F" w:rsidRDefault="004F307F" w:rsidP="004F307F">
            <w:pPr>
              <w:spacing w:after="0" w:line="240" w:lineRule="auto"/>
              <w:jc w:val="center"/>
              <w:rPr>
                <w:rFonts w:eastAsia="Times New Roman" w:cs="Calibri"/>
                <w:b/>
                <w:bCs/>
                <w:color w:val="000000"/>
                <w:lang w:eastAsia="es-CR"/>
              </w:rPr>
            </w:pPr>
            <w:r w:rsidRPr="004F307F">
              <w:rPr>
                <w:rFonts w:eastAsia="Times New Roman" w:cs="Calibri"/>
                <w:b/>
                <w:bCs/>
                <w:color w:val="000000"/>
                <w:lang w:eastAsia="es-CR"/>
              </w:rPr>
              <w:t>Total de personas capacitadas</w:t>
            </w:r>
          </w:p>
        </w:tc>
        <w:tc>
          <w:tcPr>
            <w:tcW w:w="2382" w:type="dxa"/>
            <w:shd w:val="clear" w:color="auto" w:fill="auto"/>
            <w:noWrap/>
            <w:vAlign w:val="bottom"/>
            <w:hideMark/>
          </w:tcPr>
          <w:p w14:paraId="136152D2" w14:textId="77777777" w:rsidR="004F307F" w:rsidRPr="004F307F" w:rsidRDefault="004F307F" w:rsidP="004F307F">
            <w:pPr>
              <w:spacing w:after="0" w:line="240" w:lineRule="auto"/>
              <w:jc w:val="center"/>
              <w:rPr>
                <w:rFonts w:eastAsia="Times New Roman" w:cs="Calibri"/>
                <w:b/>
                <w:bCs/>
                <w:color w:val="000000"/>
                <w:lang w:eastAsia="es-CR"/>
              </w:rPr>
            </w:pPr>
            <w:r w:rsidRPr="004F307F">
              <w:rPr>
                <w:rFonts w:eastAsia="Times New Roman" w:cs="Calibri"/>
                <w:b/>
                <w:bCs/>
                <w:color w:val="000000"/>
                <w:lang w:eastAsia="es-CR"/>
              </w:rPr>
              <w:t>1056</w:t>
            </w:r>
          </w:p>
        </w:tc>
      </w:tr>
    </w:tbl>
    <w:p w14:paraId="0A3EED91" w14:textId="2B2C8774" w:rsidR="004F307F" w:rsidRDefault="004F307F" w:rsidP="00796137">
      <w:pPr>
        <w:spacing w:after="0" w:line="240" w:lineRule="auto"/>
        <w:jc w:val="center"/>
        <w:rPr>
          <w:rFonts w:ascii="Arial" w:hAnsi="Arial" w:cs="Arial"/>
          <w:noProof/>
        </w:rPr>
      </w:pPr>
    </w:p>
    <w:p w14:paraId="66553452" w14:textId="77777777" w:rsidR="004F307F" w:rsidRDefault="004F307F" w:rsidP="00796137">
      <w:pPr>
        <w:spacing w:after="0" w:line="240" w:lineRule="auto"/>
        <w:jc w:val="center"/>
        <w:rPr>
          <w:rFonts w:ascii="Arial" w:hAnsi="Arial" w:cs="Arial"/>
          <w:noProof/>
        </w:rPr>
      </w:pPr>
    </w:p>
    <w:p w14:paraId="78B60C71" w14:textId="4A2BC410" w:rsidR="004F307F" w:rsidRDefault="004F307F" w:rsidP="00796137">
      <w:pPr>
        <w:spacing w:after="0" w:line="240" w:lineRule="auto"/>
        <w:jc w:val="center"/>
        <w:rPr>
          <w:rFonts w:ascii="Arial" w:hAnsi="Arial" w:cs="Arial"/>
          <w:noProof/>
        </w:rPr>
      </w:pPr>
    </w:p>
    <w:p w14:paraId="0C0D67E4" w14:textId="1F1ECFA0" w:rsidR="004F307F" w:rsidRPr="00656A4C" w:rsidRDefault="004F307F" w:rsidP="00796137">
      <w:pPr>
        <w:spacing w:after="0" w:line="240" w:lineRule="auto"/>
        <w:jc w:val="center"/>
        <w:rPr>
          <w:rFonts w:ascii="Arial" w:hAnsi="Arial" w:cs="Arial"/>
        </w:rPr>
      </w:pPr>
      <w:r>
        <w:rPr>
          <w:rFonts w:ascii="Arial" w:hAnsi="Arial" w:cs="Arial"/>
          <w:noProof/>
        </w:rPr>
        <w:drawing>
          <wp:inline distT="0" distB="0" distL="0" distR="0" wp14:anchorId="75242B4D" wp14:editId="487A83CB">
            <wp:extent cx="4816475" cy="2755900"/>
            <wp:effectExtent l="0" t="0" r="317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6475" cy="2755900"/>
                    </a:xfrm>
                    <a:prstGeom prst="rect">
                      <a:avLst/>
                    </a:prstGeom>
                    <a:noFill/>
                  </pic:spPr>
                </pic:pic>
              </a:graphicData>
            </a:graphic>
          </wp:inline>
        </w:drawing>
      </w:r>
    </w:p>
    <w:p w14:paraId="763C9058" w14:textId="77777777" w:rsidR="008C038A" w:rsidRPr="00656A4C" w:rsidRDefault="008C038A" w:rsidP="00796137">
      <w:pPr>
        <w:spacing w:after="0" w:line="240" w:lineRule="auto"/>
        <w:rPr>
          <w:rFonts w:ascii="Arial" w:hAnsi="Arial" w:cs="Arial"/>
        </w:rPr>
      </w:pPr>
    </w:p>
    <w:p w14:paraId="0C7A7DC7" w14:textId="77777777" w:rsidR="008C038A" w:rsidRPr="00656A4C" w:rsidRDefault="008C038A" w:rsidP="00796137">
      <w:pPr>
        <w:spacing w:after="0" w:line="240" w:lineRule="auto"/>
        <w:rPr>
          <w:rFonts w:ascii="Arial" w:hAnsi="Arial" w:cs="Arial"/>
        </w:rPr>
      </w:pPr>
    </w:p>
    <w:p w14:paraId="5237EDDE" w14:textId="77777777" w:rsidR="008C038A" w:rsidRPr="00E20454" w:rsidRDefault="008C038A" w:rsidP="00796137">
      <w:pPr>
        <w:pStyle w:val="Prrafodelista"/>
        <w:numPr>
          <w:ilvl w:val="0"/>
          <w:numId w:val="11"/>
        </w:numPr>
        <w:ind w:right="142"/>
        <w:rPr>
          <w:rFonts w:ascii="Arial" w:hAnsi="Arial" w:cs="Arial"/>
          <w:b/>
          <w:bCs/>
        </w:rPr>
      </w:pPr>
      <w:r w:rsidRPr="00E20454">
        <w:rPr>
          <w:rFonts w:ascii="Arial" w:hAnsi="Arial" w:cs="Arial"/>
          <w:b/>
          <w:bCs/>
        </w:rPr>
        <w:t>Divulgación de planes de continuidad ante diferentes escenarios</w:t>
      </w:r>
    </w:p>
    <w:p w14:paraId="46AD4ECA" w14:textId="77777777" w:rsidR="008C038A" w:rsidRPr="00656A4C" w:rsidRDefault="008C038A" w:rsidP="00796137">
      <w:pPr>
        <w:spacing w:after="0" w:line="240" w:lineRule="auto"/>
        <w:ind w:right="142"/>
        <w:rPr>
          <w:rFonts w:ascii="Arial" w:hAnsi="Arial" w:cs="Arial"/>
        </w:rPr>
      </w:pPr>
    </w:p>
    <w:p w14:paraId="01B47FDE" w14:textId="0E27AE3B" w:rsidR="008C038A" w:rsidRDefault="008C038A" w:rsidP="00796137">
      <w:pPr>
        <w:spacing w:after="0" w:line="240" w:lineRule="auto"/>
        <w:ind w:right="142"/>
        <w:jc w:val="both"/>
        <w:rPr>
          <w:rFonts w:ascii="Arial" w:hAnsi="Arial" w:cs="Arial"/>
          <w:lang w:eastAsia="es-CR"/>
        </w:rPr>
      </w:pPr>
      <w:r w:rsidRPr="00656A4C">
        <w:rPr>
          <w:rFonts w:ascii="Arial" w:hAnsi="Arial" w:cs="Arial"/>
        </w:rPr>
        <w:t xml:space="preserve">Mediante los siguientes oficios, se formalizó la divulgación de los planes elaborados a la fecha, según los procesos críticos aprobados en el BIA, donde además se puso en conocimiento el </w:t>
      </w:r>
      <w:r w:rsidRPr="003D0E35">
        <w:rPr>
          <w:rFonts w:ascii="Arial" w:hAnsi="Arial" w:cs="Arial"/>
          <w:lang w:eastAsia="es-CR"/>
        </w:rPr>
        <w:t>Repositorio de Planes de Contingencia</w:t>
      </w:r>
      <w:r w:rsidRPr="00656A4C">
        <w:rPr>
          <w:rFonts w:ascii="Arial" w:hAnsi="Arial" w:cs="Arial"/>
          <w:lang w:eastAsia="es-CR"/>
        </w:rPr>
        <w:t>, donde se almacenan los siguientes escenarios</w:t>
      </w:r>
      <w:r w:rsidR="009D7E3C">
        <w:rPr>
          <w:rFonts w:ascii="Arial" w:hAnsi="Arial" w:cs="Arial"/>
          <w:lang w:eastAsia="es-CR"/>
        </w:rPr>
        <w:t xml:space="preserve"> (</w:t>
      </w:r>
      <w:hyperlink r:id="rId17" w:history="1">
        <w:r w:rsidR="009D7E3C" w:rsidRPr="00CD5CEF">
          <w:rPr>
            <w:rStyle w:val="Hipervnculo"/>
            <w:rFonts w:ascii="Arial" w:hAnsi="Arial" w:cs="Arial"/>
            <w:lang w:eastAsia="es-CR"/>
          </w:rPr>
          <w:t>https://direccionejecutiva.poder-judicial.go.cr/index.php/srubproceso/gestion-de-la-continuidad</w:t>
        </w:r>
      </w:hyperlink>
      <w:r w:rsidR="009D7E3C">
        <w:rPr>
          <w:rFonts w:ascii="Arial" w:hAnsi="Arial" w:cs="Arial"/>
          <w:lang w:eastAsia="es-CR"/>
        </w:rPr>
        <w:t>)</w:t>
      </w:r>
      <w:r w:rsidRPr="00656A4C">
        <w:rPr>
          <w:rFonts w:ascii="Arial" w:hAnsi="Arial" w:cs="Arial"/>
          <w:lang w:eastAsia="es-CR"/>
        </w:rPr>
        <w:t>:</w:t>
      </w:r>
    </w:p>
    <w:p w14:paraId="049A0B05" w14:textId="77777777" w:rsidR="008C038A" w:rsidRPr="00656A4C" w:rsidRDefault="008C038A" w:rsidP="00796137">
      <w:pPr>
        <w:spacing w:after="0" w:line="240" w:lineRule="auto"/>
        <w:ind w:right="142"/>
        <w:jc w:val="both"/>
        <w:rPr>
          <w:rFonts w:ascii="Arial" w:hAnsi="Arial" w:cs="Arial"/>
        </w:rPr>
      </w:pPr>
    </w:p>
    <w:p w14:paraId="24A5681B" w14:textId="77777777" w:rsidR="008C038A" w:rsidRPr="00656A4C" w:rsidRDefault="008C038A" w:rsidP="00796137">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Indisponibilidad tecnológica total (apagón tecnológico).</w:t>
      </w:r>
    </w:p>
    <w:p w14:paraId="7897A17F" w14:textId="77777777" w:rsidR="008C038A" w:rsidRPr="00656A4C" w:rsidRDefault="008C038A" w:rsidP="00796137">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Desastre por amenaza natural o causado por el ser humano.</w:t>
      </w:r>
    </w:p>
    <w:p w14:paraId="6C1B83F3" w14:textId="77777777" w:rsidR="008C038A" w:rsidRPr="00656A4C" w:rsidRDefault="008C038A" w:rsidP="00796137">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 xml:space="preserve">Indisponibilidad del recurso humano. </w:t>
      </w:r>
    </w:p>
    <w:p w14:paraId="76A1FEC7" w14:textId="77777777" w:rsidR="008C038A" w:rsidRPr="00656A4C" w:rsidRDefault="008C038A" w:rsidP="00796137">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Indisponibilidad o falla de tecnología.</w:t>
      </w:r>
    </w:p>
    <w:p w14:paraId="3FB82216" w14:textId="77777777" w:rsidR="008C038A" w:rsidRPr="00656A4C" w:rsidRDefault="008C038A" w:rsidP="00796137">
      <w:pPr>
        <w:spacing w:after="0" w:line="240" w:lineRule="auto"/>
        <w:ind w:right="142"/>
        <w:rPr>
          <w:rFonts w:ascii="Arial" w:hAnsi="Arial" w:cs="Arial"/>
        </w:rPr>
      </w:pPr>
    </w:p>
    <w:tbl>
      <w:tblPr>
        <w:tblStyle w:val="Tablaconcuadrcula"/>
        <w:tblW w:w="0" w:type="auto"/>
        <w:tblLook w:val="04A0" w:firstRow="1" w:lastRow="0" w:firstColumn="1" w:lastColumn="0" w:noHBand="0" w:noVBand="1"/>
      </w:tblPr>
      <w:tblGrid>
        <w:gridCol w:w="2263"/>
        <w:gridCol w:w="3119"/>
        <w:gridCol w:w="3446"/>
      </w:tblGrid>
      <w:tr w:rsidR="008C038A" w:rsidRPr="00656A4C" w14:paraId="429366D1" w14:textId="77777777" w:rsidTr="0007679B">
        <w:tc>
          <w:tcPr>
            <w:tcW w:w="2263" w:type="dxa"/>
          </w:tcPr>
          <w:p w14:paraId="16008155"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Oficio</w:t>
            </w:r>
          </w:p>
        </w:tc>
        <w:tc>
          <w:tcPr>
            <w:tcW w:w="3119" w:type="dxa"/>
          </w:tcPr>
          <w:p w14:paraId="2C6E5D77"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Destino</w:t>
            </w:r>
          </w:p>
        </w:tc>
        <w:tc>
          <w:tcPr>
            <w:tcW w:w="3446" w:type="dxa"/>
          </w:tcPr>
          <w:p w14:paraId="210471ED"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Asunto</w:t>
            </w:r>
          </w:p>
        </w:tc>
      </w:tr>
      <w:tr w:rsidR="008C038A" w:rsidRPr="00656A4C" w14:paraId="3426E757" w14:textId="77777777" w:rsidTr="0007679B">
        <w:tc>
          <w:tcPr>
            <w:tcW w:w="2263" w:type="dxa"/>
          </w:tcPr>
          <w:p w14:paraId="2BDC31F9" w14:textId="77777777" w:rsidR="008C038A" w:rsidRPr="00656A4C" w:rsidRDefault="008C038A" w:rsidP="00796137">
            <w:pPr>
              <w:spacing w:after="0" w:line="240" w:lineRule="auto"/>
              <w:ind w:right="142"/>
              <w:rPr>
                <w:rFonts w:ascii="Arial" w:hAnsi="Arial" w:cs="Arial"/>
              </w:rPr>
            </w:pPr>
            <w:r w:rsidRPr="00656A4C">
              <w:rPr>
                <w:rFonts w:ascii="Arial" w:hAnsi="Arial" w:cs="Arial"/>
              </w:rPr>
              <w:t>28-DE-SGCS-2023</w:t>
            </w:r>
          </w:p>
        </w:tc>
        <w:tc>
          <w:tcPr>
            <w:tcW w:w="3119" w:type="dxa"/>
          </w:tcPr>
          <w:p w14:paraId="3975F353" w14:textId="77777777" w:rsidR="008C038A" w:rsidRPr="00656A4C" w:rsidRDefault="008C038A" w:rsidP="00796137">
            <w:pPr>
              <w:spacing w:after="0" w:line="240" w:lineRule="auto"/>
              <w:ind w:right="142"/>
              <w:rPr>
                <w:rFonts w:ascii="Arial" w:hAnsi="Arial" w:cs="Arial"/>
              </w:rPr>
            </w:pPr>
            <w:r w:rsidRPr="00656A4C">
              <w:rPr>
                <w:rFonts w:ascii="Arial" w:hAnsi="Arial" w:cs="Arial"/>
              </w:rPr>
              <w:t>Dirección de la Defensa Pública</w:t>
            </w:r>
          </w:p>
        </w:tc>
        <w:tc>
          <w:tcPr>
            <w:tcW w:w="3446" w:type="dxa"/>
          </w:tcPr>
          <w:p w14:paraId="7D049722"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3076267C" w14:textId="77777777" w:rsidTr="0007679B">
        <w:tc>
          <w:tcPr>
            <w:tcW w:w="2263" w:type="dxa"/>
          </w:tcPr>
          <w:p w14:paraId="5385D556" w14:textId="77777777" w:rsidR="008C038A" w:rsidRPr="00656A4C" w:rsidRDefault="008C038A" w:rsidP="00796137">
            <w:pPr>
              <w:spacing w:after="0" w:line="240" w:lineRule="auto"/>
              <w:ind w:right="142"/>
              <w:rPr>
                <w:rFonts w:ascii="Arial" w:hAnsi="Arial" w:cs="Arial"/>
              </w:rPr>
            </w:pPr>
            <w:r w:rsidRPr="00656A4C">
              <w:rPr>
                <w:rFonts w:ascii="Arial" w:hAnsi="Arial" w:cs="Arial"/>
              </w:rPr>
              <w:t>31-DE-SGCS-2023</w:t>
            </w:r>
          </w:p>
        </w:tc>
        <w:tc>
          <w:tcPr>
            <w:tcW w:w="3119" w:type="dxa"/>
          </w:tcPr>
          <w:p w14:paraId="50563130" w14:textId="77777777" w:rsidR="008C038A" w:rsidRPr="00656A4C" w:rsidRDefault="008C038A" w:rsidP="00796137">
            <w:pPr>
              <w:spacing w:after="0" w:line="240" w:lineRule="auto"/>
              <w:ind w:right="142"/>
              <w:rPr>
                <w:rFonts w:ascii="Arial" w:hAnsi="Arial" w:cs="Arial"/>
              </w:rPr>
            </w:pPr>
            <w:r w:rsidRPr="00656A4C">
              <w:rPr>
                <w:rFonts w:ascii="Arial" w:hAnsi="Arial" w:cs="Arial"/>
              </w:rPr>
              <w:t>Ministerio Público</w:t>
            </w:r>
          </w:p>
        </w:tc>
        <w:tc>
          <w:tcPr>
            <w:tcW w:w="3446" w:type="dxa"/>
          </w:tcPr>
          <w:p w14:paraId="15A9DC53"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73416FAE" w14:textId="77777777" w:rsidTr="0007679B">
        <w:tc>
          <w:tcPr>
            <w:tcW w:w="2263" w:type="dxa"/>
          </w:tcPr>
          <w:p w14:paraId="3FAF1DB7" w14:textId="77777777" w:rsidR="008C038A" w:rsidRPr="00656A4C" w:rsidRDefault="008C038A" w:rsidP="00796137">
            <w:pPr>
              <w:spacing w:after="0" w:line="240" w:lineRule="auto"/>
              <w:ind w:right="142"/>
              <w:rPr>
                <w:rFonts w:ascii="Arial" w:hAnsi="Arial" w:cs="Arial"/>
              </w:rPr>
            </w:pPr>
            <w:r w:rsidRPr="00656A4C">
              <w:rPr>
                <w:rFonts w:ascii="Arial" w:hAnsi="Arial" w:cs="Arial"/>
              </w:rPr>
              <w:t>32-DE-SGCS-2023</w:t>
            </w:r>
          </w:p>
        </w:tc>
        <w:tc>
          <w:tcPr>
            <w:tcW w:w="3119" w:type="dxa"/>
          </w:tcPr>
          <w:p w14:paraId="3C13D7F0" w14:textId="77777777" w:rsidR="008C038A" w:rsidRPr="00656A4C" w:rsidRDefault="008C038A" w:rsidP="00796137">
            <w:pPr>
              <w:spacing w:after="0" w:line="240" w:lineRule="auto"/>
              <w:ind w:right="142"/>
              <w:rPr>
                <w:rFonts w:ascii="Arial" w:hAnsi="Arial" w:cs="Arial"/>
              </w:rPr>
            </w:pPr>
            <w:r w:rsidRPr="00656A4C">
              <w:rPr>
                <w:rFonts w:ascii="Arial" w:hAnsi="Arial" w:cs="Arial"/>
              </w:rPr>
              <w:t>Dirección del OIJ</w:t>
            </w:r>
          </w:p>
        </w:tc>
        <w:tc>
          <w:tcPr>
            <w:tcW w:w="3446" w:type="dxa"/>
          </w:tcPr>
          <w:p w14:paraId="604FDF96"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6867A2E8" w14:textId="77777777" w:rsidTr="0007679B">
        <w:tc>
          <w:tcPr>
            <w:tcW w:w="2263" w:type="dxa"/>
          </w:tcPr>
          <w:p w14:paraId="30665F85" w14:textId="77777777" w:rsidR="008C038A" w:rsidRPr="00656A4C" w:rsidRDefault="008C038A" w:rsidP="00796137">
            <w:pPr>
              <w:spacing w:after="0" w:line="240" w:lineRule="auto"/>
              <w:ind w:right="142"/>
              <w:rPr>
                <w:rFonts w:ascii="Arial" w:hAnsi="Arial" w:cs="Arial"/>
              </w:rPr>
            </w:pPr>
            <w:r w:rsidRPr="00656A4C">
              <w:rPr>
                <w:rFonts w:ascii="Arial" w:hAnsi="Arial" w:cs="Arial"/>
              </w:rPr>
              <w:t>34-DE-SGCS-2023</w:t>
            </w:r>
          </w:p>
        </w:tc>
        <w:tc>
          <w:tcPr>
            <w:tcW w:w="3119" w:type="dxa"/>
          </w:tcPr>
          <w:p w14:paraId="626B4E27" w14:textId="77777777" w:rsidR="008C038A" w:rsidRPr="00656A4C" w:rsidRDefault="008C038A" w:rsidP="00796137">
            <w:pPr>
              <w:spacing w:after="0" w:line="240" w:lineRule="auto"/>
              <w:ind w:right="142"/>
              <w:rPr>
                <w:rFonts w:ascii="Arial" w:hAnsi="Arial" w:cs="Arial"/>
              </w:rPr>
            </w:pPr>
            <w:r w:rsidRPr="00656A4C">
              <w:rPr>
                <w:rFonts w:ascii="Arial" w:hAnsi="Arial" w:cs="Arial"/>
              </w:rPr>
              <w:t>Centro de Apoyo, Coordinación y Mejoramiento de la Función Jurisdiccional</w:t>
            </w:r>
          </w:p>
        </w:tc>
        <w:tc>
          <w:tcPr>
            <w:tcW w:w="3446" w:type="dxa"/>
          </w:tcPr>
          <w:p w14:paraId="49A20A08" w14:textId="77777777" w:rsidR="008C038A" w:rsidRPr="00656A4C" w:rsidRDefault="008C038A" w:rsidP="00796137">
            <w:pPr>
              <w:spacing w:after="0" w:line="240" w:lineRule="auto"/>
              <w:ind w:right="142"/>
              <w:rPr>
                <w:rFonts w:ascii="Arial" w:hAnsi="Arial" w:cs="Arial"/>
              </w:rPr>
            </w:pPr>
            <w:r w:rsidRPr="00656A4C">
              <w:rPr>
                <w:rFonts w:ascii="Arial" w:hAnsi="Arial" w:cs="Arial"/>
              </w:rPr>
              <w:t xml:space="preserve">Traslado de planes de continuidad de todos los escenarios, contemplando el requerimiento de divulgación a todo el Ámbito Jurisdiccional (menos Penal). </w:t>
            </w:r>
          </w:p>
        </w:tc>
      </w:tr>
      <w:tr w:rsidR="008C038A" w:rsidRPr="00656A4C" w14:paraId="1C66C534" w14:textId="77777777" w:rsidTr="0007679B">
        <w:tc>
          <w:tcPr>
            <w:tcW w:w="2263" w:type="dxa"/>
          </w:tcPr>
          <w:p w14:paraId="6AE17B7D" w14:textId="77777777" w:rsidR="008C038A" w:rsidRPr="00656A4C" w:rsidRDefault="008C038A" w:rsidP="00796137">
            <w:pPr>
              <w:spacing w:after="0" w:line="240" w:lineRule="auto"/>
              <w:ind w:right="142"/>
              <w:rPr>
                <w:rFonts w:ascii="Arial" w:hAnsi="Arial" w:cs="Arial"/>
              </w:rPr>
            </w:pPr>
            <w:r w:rsidRPr="00656A4C">
              <w:rPr>
                <w:rFonts w:ascii="Arial" w:hAnsi="Arial" w:cs="Arial"/>
              </w:rPr>
              <w:t>36-DE-SGCS-2023</w:t>
            </w:r>
          </w:p>
        </w:tc>
        <w:tc>
          <w:tcPr>
            <w:tcW w:w="3119" w:type="dxa"/>
          </w:tcPr>
          <w:p w14:paraId="674B691D" w14:textId="77777777" w:rsidR="008C038A" w:rsidRPr="00656A4C" w:rsidRDefault="008C038A" w:rsidP="00796137">
            <w:pPr>
              <w:spacing w:after="0" w:line="240" w:lineRule="auto"/>
              <w:ind w:right="142"/>
              <w:rPr>
                <w:rFonts w:ascii="Arial" w:hAnsi="Arial" w:cs="Arial"/>
              </w:rPr>
            </w:pPr>
            <w:r w:rsidRPr="00656A4C">
              <w:rPr>
                <w:rFonts w:ascii="Arial" w:hAnsi="Arial" w:cs="Arial"/>
              </w:rPr>
              <w:t>Gestoría de la Materia Penal</w:t>
            </w:r>
          </w:p>
        </w:tc>
        <w:tc>
          <w:tcPr>
            <w:tcW w:w="3446" w:type="dxa"/>
          </w:tcPr>
          <w:p w14:paraId="530C5D5E"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bl>
    <w:p w14:paraId="2DA81E81" w14:textId="77777777" w:rsidR="008C038A" w:rsidRPr="00656A4C" w:rsidRDefault="008C038A" w:rsidP="00796137">
      <w:pPr>
        <w:spacing w:after="0" w:line="240" w:lineRule="auto"/>
        <w:ind w:right="142"/>
        <w:rPr>
          <w:rFonts w:ascii="Arial" w:hAnsi="Arial" w:cs="Arial"/>
        </w:rPr>
      </w:pPr>
    </w:p>
    <w:p w14:paraId="25A700B3" w14:textId="77777777" w:rsidR="008C038A" w:rsidRPr="009D7E3C" w:rsidRDefault="008C038A" w:rsidP="00796137">
      <w:pPr>
        <w:pStyle w:val="Default"/>
        <w:jc w:val="both"/>
        <w:rPr>
          <w:rFonts w:eastAsia="Calibri"/>
          <w:color w:val="auto"/>
          <w:sz w:val="22"/>
          <w:szCs w:val="22"/>
          <w:lang w:val="es-CR" w:eastAsia="es-CR"/>
        </w:rPr>
      </w:pPr>
      <w:r w:rsidRPr="009D7E3C">
        <w:rPr>
          <w:color w:val="auto"/>
          <w:sz w:val="22"/>
          <w:szCs w:val="22"/>
        </w:rPr>
        <w:t>En cada uno de estos oficios se hizo la indicación de que</w:t>
      </w:r>
      <w:r w:rsidRPr="009D7E3C">
        <w:rPr>
          <w:rFonts w:eastAsia="Calibri"/>
          <w:color w:val="auto"/>
          <w:sz w:val="22"/>
          <w:szCs w:val="22"/>
          <w:lang w:val="es-CR" w:eastAsia="es-CR"/>
        </w:rPr>
        <w:t xml:space="preserve"> estos planes deben ser comunicados </w:t>
      </w:r>
      <w:r w:rsidRPr="009D7E3C">
        <w:rPr>
          <w:color w:val="auto"/>
          <w:sz w:val="22"/>
          <w:szCs w:val="22"/>
        </w:rPr>
        <w:t xml:space="preserve">cada oficina a nivel país y ser analizado </w:t>
      </w:r>
      <w:r w:rsidRPr="009D7E3C">
        <w:rPr>
          <w:rFonts w:eastAsia="Calibri"/>
          <w:color w:val="auto"/>
          <w:sz w:val="22"/>
          <w:szCs w:val="22"/>
          <w:lang w:val="es-CR" w:eastAsia="es-CR"/>
        </w:rPr>
        <w:t xml:space="preserve">a lo interno, dado que es necesario que el personal conozca la existencia de los documentos y su contenido; con el propósito de que tomen la previsión de contar con los insumos requeridos ante los diversos escenarios planteado; y en caso de comunicárseles que se activa un estado de crisis asociado a la indisponibilidad tecnológica, ejecuten los planes de </w:t>
      </w:r>
    </w:p>
    <w:p w14:paraId="12D29198" w14:textId="77777777" w:rsidR="008C038A" w:rsidRPr="009D7E3C" w:rsidRDefault="008C038A" w:rsidP="00796137">
      <w:pPr>
        <w:spacing w:after="0" w:line="240" w:lineRule="auto"/>
        <w:ind w:right="142"/>
        <w:jc w:val="both"/>
        <w:rPr>
          <w:rFonts w:ascii="Arial" w:hAnsi="Arial" w:cs="Arial"/>
          <w:lang w:eastAsia="es-CR"/>
        </w:rPr>
      </w:pPr>
      <w:r w:rsidRPr="009D7E3C">
        <w:rPr>
          <w:rFonts w:ascii="Arial" w:hAnsi="Arial" w:cs="Arial"/>
          <w:lang w:eastAsia="es-CR"/>
        </w:rPr>
        <w:t>contingencia que les corresponda.</w:t>
      </w:r>
    </w:p>
    <w:p w14:paraId="33284165" w14:textId="77777777" w:rsidR="008C038A" w:rsidRPr="00656A4C" w:rsidRDefault="008C038A" w:rsidP="00796137">
      <w:pPr>
        <w:spacing w:after="0" w:line="240" w:lineRule="auto"/>
        <w:ind w:right="142"/>
        <w:rPr>
          <w:rFonts w:ascii="Arial" w:hAnsi="Arial" w:cs="Arial"/>
        </w:rPr>
      </w:pPr>
    </w:p>
    <w:p w14:paraId="2A619CFB"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Seguimiento y actualización de planes y estrategias de continuidad</w:t>
      </w:r>
    </w:p>
    <w:p w14:paraId="7DD00220" w14:textId="77777777" w:rsidR="008C038A" w:rsidRPr="00656A4C" w:rsidRDefault="008C038A" w:rsidP="00796137">
      <w:pPr>
        <w:spacing w:after="0" w:line="240" w:lineRule="auto"/>
        <w:ind w:right="142"/>
        <w:rPr>
          <w:rFonts w:ascii="Arial" w:hAnsi="Arial" w:cs="Arial"/>
        </w:rPr>
      </w:pPr>
    </w:p>
    <w:p w14:paraId="2FEE87A0" w14:textId="77777777" w:rsidR="008C038A" w:rsidRPr="00656A4C" w:rsidRDefault="008C038A" w:rsidP="00796137">
      <w:pPr>
        <w:spacing w:after="0" w:line="240" w:lineRule="auto"/>
        <w:ind w:right="142"/>
        <w:jc w:val="both"/>
        <w:rPr>
          <w:rFonts w:ascii="Arial" w:hAnsi="Arial" w:cs="Arial"/>
        </w:rPr>
      </w:pPr>
      <w:r w:rsidRPr="00656A4C">
        <w:rPr>
          <w:rFonts w:ascii="Arial" w:hAnsi="Arial" w:cs="Arial"/>
        </w:rPr>
        <w:t xml:space="preserve">Mediante los siguientes oficios que se indican, además de divulgar los planes elaborados a la fecha, se indicó que todos están sujetos a mejoras que surjan de parte de las oficinas a cargo o de ajustes en los procedimientos. En ese sentido, en el caso de existir observaciones a los planes elaborados o que surja la necesidad o iniciativa de crear nuevos planes para procesos no identificados hasta el momento como críticos, se informa que la Dirección Ejecutiva publicó la </w:t>
      </w:r>
      <w:r w:rsidRPr="00656A4C">
        <w:rPr>
          <w:rFonts w:ascii="Arial" w:hAnsi="Arial" w:cs="Arial"/>
          <w:b/>
          <w:bCs/>
        </w:rPr>
        <w:t>Circular 07-2023,</w:t>
      </w:r>
      <w:r w:rsidRPr="00656A4C">
        <w:rPr>
          <w:rFonts w:ascii="Arial" w:hAnsi="Arial" w:cs="Arial"/>
        </w:rPr>
        <w:t xml:space="preserve"> la cual explica el procedimiento para remitir nuevos planes o mejoras de los existentes.</w:t>
      </w:r>
    </w:p>
    <w:p w14:paraId="6CD5E4A8" w14:textId="77777777" w:rsidR="008C038A" w:rsidRPr="00656A4C" w:rsidRDefault="008C038A" w:rsidP="00796137">
      <w:pPr>
        <w:spacing w:after="0" w:line="240" w:lineRule="auto"/>
        <w:ind w:right="142"/>
        <w:rPr>
          <w:rFonts w:ascii="Arial" w:hAnsi="Arial" w:cs="Arial"/>
        </w:rPr>
      </w:pPr>
    </w:p>
    <w:tbl>
      <w:tblPr>
        <w:tblStyle w:val="Tablaconcuadrcula"/>
        <w:tblW w:w="0" w:type="auto"/>
        <w:tblLook w:val="04A0" w:firstRow="1" w:lastRow="0" w:firstColumn="1" w:lastColumn="0" w:noHBand="0" w:noVBand="1"/>
      </w:tblPr>
      <w:tblGrid>
        <w:gridCol w:w="2263"/>
        <w:gridCol w:w="3119"/>
        <w:gridCol w:w="3446"/>
      </w:tblGrid>
      <w:tr w:rsidR="008C038A" w:rsidRPr="00656A4C" w14:paraId="5E517B2C" w14:textId="77777777" w:rsidTr="0007679B">
        <w:tc>
          <w:tcPr>
            <w:tcW w:w="2263" w:type="dxa"/>
          </w:tcPr>
          <w:p w14:paraId="64B1F192"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Oficio</w:t>
            </w:r>
          </w:p>
        </w:tc>
        <w:tc>
          <w:tcPr>
            <w:tcW w:w="3119" w:type="dxa"/>
          </w:tcPr>
          <w:p w14:paraId="198D67A6"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Destino</w:t>
            </w:r>
          </w:p>
        </w:tc>
        <w:tc>
          <w:tcPr>
            <w:tcW w:w="3446" w:type="dxa"/>
          </w:tcPr>
          <w:p w14:paraId="60CE1D93" w14:textId="77777777" w:rsidR="008C038A" w:rsidRPr="00656A4C" w:rsidRDefault="008C038A" w:rsidP="00796137">
            <w:pPr>
              <w:spacing w:after="0" w:line="240" w:lineRule="auto"/>
              <w:ind w:right="142"/>
              <w:jc w:val="center"/>
              <w:rPr>
                <w:rFonts w:ascii="Arial" w:hAnsi="Arial" w:cs="Arial"/>
              </w:rPr>
            </w:pPr>
            <w:r w:rsidRPr="00656A4C">
              <w:rPr>
                <w:rFonts w:ascii="Arial" w:hAnsi="Arial" w:cs="Arial"/>
              </w:rPr>
              <w:t>Asunto</w:t>
            </w:r>
          </w:p>
        </w:tc>
      </w:tr>
      <w:tr w:rsidR="008C038A" w:rsidRPr="00656A4C" w14:paraId="734BFE93" w14:textId="77777777" w:rsidTr="0007679B">
        <w:tc>
          <w:tcPr>
            <w:tcW w:w="2263" w:type="dxa"/>
          </w:tcPr>
          <w:p w14:paraId="76EF40F7" w14:textId="77777777" w:rsidR="008C038A" w:rsidRPr="00656A4C" w:rsidRDefault="008C038A" w:rsidP="00796137">
            <w:pPr>
              <w:spacing w:after="0" w:line="240" w:lineRule="auto"/>
              <w:ind w:right="142"/>
              <w:rPr>
                <w:rFonts w:ascii="Arial" w:hAnsi="Arial" w:cs="Arial"/>
              </w:rPr>
            </w:pPr>
            <w:r w:rsidRPr="00656A4C">
              <w:rPr>
                <w:rFonts w:ascii="Arial" w:hAnsi="Arial" w:cs="Arial"/>
              </w:rPr>
              <w:t>28-DE-SGCS-2023</w:t>
            </w:r>
          </w:p>
        </w:tc>
        <w:tc>
          <w:tcPr>
            <w:tcW w:w="3119" w:type="dxa"/>
          </w:tcPr>
          <w:p w14:paraId="539C38D8" w14:textId="77777777" w:rsidR="008C038A" w:rsidRPr="00656A4C" w:rsidRDefault="008C038A" w:rsidP="00796137">
            <w:pPr>
              <w:spacing w:after="0" w:line="240" w:lineRule="auto"/>
              <w:ind w:right="142"/>
              <w:rPr>
                <w:rFonts w:ascii="Arial" w:hAnsi="Arial" w:cs="Arial"/>
              </w:rPr>
            </w:pPr>
            <w:r w:rsidRPr="00656A4C">
              <w:rPr>
                <w:rFonts w:ascii="Arial" w:hAnsi="Arial" w:cs="Arial"/>
              </w:rPr>
              <w:t>Dirección de la Defensa Pública</w:t>
            </w:r>
          </w:p>
        </w:tc>
        <w:tc>
          <w:tcPr>
            <w:tcW w:w="3446" w:type="dxa"/>
          </w:tcPr>
          <w:p w14:paraId="2B3D8CB6"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1B207087" w14:textId="77777777" w:rsidTr="0007679B">
        <w:tc>
          <w:tcPr>
            <w:tcW w:w="2263" w:type="dxa"/>
          </w:tcPr>
          <w:p w14:paraId="45725326" w14:textId="77777777" w:rsidR="008C038A" w:rsidRPr="00656A4C" w:rsidRDefault="008C038A" w:rsidP="00796137">
            <w:pPr>
              <w:spacing w:after="0" w:line="240" w:lineRule="auto"/>
              <w:ind w:right="142"/>
              <w:rPr>
                <w:rFonts w:ascii="Arial" w:hAnsi="Arial" w:cs="Arial"/>
              </w:rPr>
            </w:pPr>
            <w:r w:rsidRPr="00656A4C">
              <w:rPr>
                <w:rFonts w:ascii="Arial" w:hAnsi="Arial" w:cs="Arial"/>
              </w:rPr>
              <w:t>31-DE-SGCS-2023</w:t>
            </w:r>
          </w:p>
        </w:tc>
        <w:tc>
          <w:tcPr>
            <w:tcW w:w="3119" w:type="dxa"/>
          </w:tcPr>
          <w:p w14:paraId="4DECBB7C" w14:textId="77777777" w:rsidR="008C038A" w:rsidRPr="00656A4C" w:rsidRDefault="008C038A" w:rsidP="00796137">
            <w:pPr>
              <w:spacing w:after="0" w:line="240" w:lineRule="auto"/>
              <w:ind w:right="142"/>
              <w:rPr>
                <w:rFonts w:ascii="Arial" w:hAnsi="Arial" w:cs="Arial"/>
              </w:rPr>
            </w:pPr>
            <w:r w:rsidRPr="00656A4C">
              <w:rPr>
                <w:rFonts w:ascii="Arial" w:hAnsi="Arial" w:cs="Arial"/>
              </w:rPr>
              <w:t>Ministerio Público</w:t>
            </w:r>
          </w:p>
        </w:tc>
        <w:tc>
          <w:tcPr>
            <w:tcW w:w="3446" w:type="dxa"/>
          </w:tcPr>
          <w:p w14:paraId="0DE1665B"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20601C96" w14:textId="77777777" w:rsidTr="0007679B">
        <w:tc>
          <w:tcPr>
            <w:tcW w:w="2263" w:type="dxa"/>
          </w:tcPr>
          <w:p w14:paraId="468998C0" w14:textId="77777777" w:rsidR="008C038A" w:rsidRPr="00656A4C" w:rsidRDefault="008C038A" w:rsidP="00796137">
            <w:pPr>
              <w:spacing w:after="0" w:line="240" w:lineRule="auto"/>
              <w:ind w:right="142"/>
              <w:rPr>
                <w:rFonts w:ascii="Arial" w:hAnsi="Arial" w:cs="Arial"/>
              </w:rPr>
            </w:pPr>
            <w:r w:rsidRPr="00656A4C">
              <w:rPr>
                <w:rFonts w:ascii="Arial" w:hAnsi="Arial" w:cs="Arial"/>
              </w:rPr>
              <w:lastRenderedPageBreak/>
              <w:t>32-DE-SGCS-2023</w:t>
            </w:r>
          </w:p>
        </w:tc>
        <w:tc>
          <w:tcPr>
            <w:tcW w:w="3119" w:type="dxa"/>
          </w:tcPr>
          <w:p w14:paraId="27B5CFF3" w14:textId="77777777" w:rsidR="008C038A" w:rsidRPr="00656A4C" w:rsidRDefault="008C038A" w:rsidP="00796137">
            <w:pPr>
              <w:spacing w:after="0" w:line="240" w:lineRule="auto"/>
              <w:ind w:right="142"/>
              <w:rPr>
                <w:rFonts w:ascii="Arial" w:hAnsi="Arial" w:cs="Arial"/>
              </w:rPr>
            </w:pPr>
            <w:r w:rsidRPr="00656A4C">
              <w:rPr>
                <w:rFonts w:ascii="Arial" w:hAnsi="Arial" w:cs="Arial"/>
              </w:rPr>
              <w:t>Dirección del OIJ</w:t>
            </w:r>
          </w:p>
        </w:tc>
        <w:tc>
          <w:tcPr>
            <w:tcW w:w="3446" w:type="dxa"/>
          </w:tcPr>
          <w:p w14:paraId="04F75AB9"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16EE363D" w14:textId="77777777" w:rsidTr="0007679B">
        <w:tc>
          <w:tcPr>
            <w:tcW w:w="2263" w:type="dxa"/>
          </w:tcPr>
          <w:p w14:paraId="223574DF" w14:textId="77777777" w:rsidR="008C038A" w:rsidRPr="00656A4C" w:rsidRDefault="008C038A" w:rsidP="00796137">
            <w:pPr>
              <w:spacing w:after="0" w:line="240" w:lineRule="auto"/>
              <w:ind w:right="142"/>
              <w:rPr>
                <w:rFonts w:ascii="Arial" w:hAnsi="Arial" w:cs="Arial"/>
              </w:rPr>
            </w:pPr>
            <w:r w:rsidRPr="00656A4C">
              <w:rPr>
                <w:rFonts w:ascii="Arial" w:hAnsi="Arial" w:cs="Arial"/>
              </w:rPr>
              <w:t>34-DE-SGCS-2023</w:t>
            </w:r>
          </w:p>
        </w:tc>
        <w:tc>
          <w:tcPr>
            <w:tcW w:w="3119" w:type="dxa"/>
          </w:tcPr>
          <w:p w14:paraId="77D14256" w14:textId="77777777" w:rsidR="008C038A" w:rsidRPr="00656A4C" w:rsidRDefault="008C038A" w:rsidP="00796137">
            <w:pPr>
              <w:spacing w:after="0" w:line="240" w:lineRule="auto"/>
              <w:ind w:right="142"/>
              <w:rPr>
                <w:rFonts w:ascii="Arial" w:hAnsi="Arial" w:cs="Arial"/>
              </w:rPr>
            </w:pPr>
            <w:r w:rsidRPr="00656A4C">
              <w:rPr>
                <w:rFonts w:ascii="Arial" w:hAnsi="Arial" w:cs="Arial"/>
              </w:rPr>
              <w:t>Centro de Apoyo, Coordinación y Mejoramiento de la Función Jurisdiccional</w:t>
            </w:r>
          </w:p>
        </w:tc>
        <w:tc>
          <w:tcPr>
            <w:tcW w:w="3446" w:type="dxa"/>
          </w:tcPr>
          <w:p w14:paraId="31EAC758" w14:textId="77777777" w:rsidR="008C038A" w:rsidRPr="00656A4C" w:rsidRDefault="008C038A" w:rsidP="00796137">
            <w:pPr>
              <w:spacing w:after="0" w:line="240" w:lineRule="auto"/>
              <w:ind w:right="142"/>
              <w:rPr>
                <w:rFonts w:ascii="Arial" w:hAnsi="Arial" w:cs="Arial"/>
              </w:rPr>
            </w:pPr>
            <w:r w:rsidRPr="00656A4C">
              <w:rPr>
                <w:rFonts w:ascii="Arial" w:hAnsi="Arial" w:cs="Arial"/>
              </w:rPr>
              <w:t xml:space="preserve">Traslado de planes de continuidad de todos los escenarios, contemplando el requerimiento de divulgación a todo el Ámbito Jurisdiccional (menos Penal). </w:t>
            </w:r>
          </w:p>
        </w:tc>
      </w:tr>
      <w:tr w:rsidR="008C038A" w:rsidRPr="00656A4C" w14:paraId="160F9626" w14:textId="77777777" w:rsidTr="0007679B">
        <w:tc>
          <w:tcPr>
            <w:tcW w:w="2263" w:type="dxa"/>
          </w:tcPr>
          <w:p w14:paraId="4BA38FA3" w14:textId="77777777" w:rsidR="008C038A" w:rsidRPr="00656A4C" w:rsidRDefault="008C038A" w:rsidP="00796137">
            <w:pPr>
              <w:spacing w:after="0" w:line="240" w:lineRule="auto"/>
              <w:ind w:right="142"/>
              <w:rPr>
                <w:rFonts w:ascii="Arial" w:hAnsi="Arial" w:cs="Arial"/>
              </w:rPr>
            </w:pPr>
            <w:r w:rsidRPr="00656A4C">
              <w:rPr>
                <w:rFonts w:ascii="Arial" w:hAnsi="Arial" w:cs="Arial"/>
              </w:rPr>
              <w:t>36-DE-SGCS-2023</w:t>
            </w:r>
          </w:p>
        </w:tc>
        <w:tc>
          <w:tcPr>
            <w:tcW w:w="3119" w:type="dxa"/>
          </w:tcPr>
          <w:p w14:paraId="5CCA3302" w14:textId="77777777" w:rsidR="008C038A" w:rsidRPr="00656A4C" w:rsidRDefault="008C038A" w:rsidP="00796137">
            <w:pPr>
              <w:spacing w:after="0" w:line="240" w:lineRule="auto"/>
              <w:ind w:right="142"/>
              <w:rPr>
                <w:rFonts w:ascii="Arial" w:hAnsi="Arial" w:cs="Arial"/>
              </w:rPr>
            </w:pPr>
            <w:r w:rsidRPr="00656A4C">
              <w:rPr>
                <w:rFonts w:ascii="Arial" w:hAnsi="Arial" w:cs="Arial"/>
              </w:rPr>
              <w:t>Gestoría de la Materia Penal</w:t>
            </w:r>
          </w:p>
        </w:tc>
        <w:tc>
          <w:tcPr>
            <w:tcW w:w="3446" w:type="dxa"/>
          </w:tcPr>
          <w:p w14:paraId="5413C8EA" w14:textId="77777777" w:rsidR="008C038A" w:rsidRPr="00656A4C" w:rsidRDefault="008C038A" w:rsidP="00796137">
            <w:pPr>
              <w:spacing w:after="0" w:line="240" w:lineRule="auto"/>
              <w:ind w:right="142"/>
              <w:rPr>
                <w:rFonts w:ascii="Arial" w:hAnsi="Arial" w:cs="Arial"/>
              </w:rPr>
            </w:pPr>
            <w:r w:rsidRPr="00656A4C">
              <w:rPr>
                <w:rFonts w:ascii="Arial" w:hAnsi="Arial" w:cs="Arial"/>
              </w:rPr>
              <w:t>Traslado de planes de continuidad de todos los escenarios.</w:t>
            </w:r>
          </w:p>
        </w:tc>
      </w:tr>
    </w:tbl>
    <w:p w14:paraId="6EFFDAD0" w14:textId="77777777" w:rsidR="008C038A" w:rsidRPr="00656A4C" w:rsidRDefault="008C038A" w:rsidP="00796137">
      <w:pPr>
        <w:spacing w:after="0" w:line="240" w:lineRule="auto"/>
        <w:ind w:right="142"/>
        <w:rPr>
          <w:rFonts w:ascii="Arial" w:hAnsi="Arial" w:cs="Arial"/>
        </w:rPr>
      </w:pPr>
    </w:p>
    <w:p w14:paraId="687A4171" w14:textId="77777777" w:rsidR="008C038A" w:rsidRPr="00060ECA" w:rsidRDefault="008C038A" w:rsidP="00796137">
      <w:pPr>
        <w:spacing w:after="0" w:line="240" w:lineRule="auto"/>
        <w:jc w:val="both"/>
        <w:rPr>
          <w:rFonts w:ascii="Arial" w:hAnsi="Arial" w:cs="Arial"/>
          <w:b/>
          <w:bCs/>
          <w:lang w:eastAsia="es-CR"/>
        </w:rPr>
      </w:pPr>
      <w:r w:rsidRPr="00656A4C">
        <w:rPr>
          <w:rFonts w:ascii="Arial" w:hAnsi="Arial" w:cs="Arial"/>
        </w:rPr>
        <w:t xml:space="preserve">Por </w:t>
      </w:r>
      <w:r w:rsidRPr="00060ECA">
        <w:rPr>
          <w:rFonts w:ascii="Arial" w:hAnsi="Arial" w:cs="Arial"/>
        </w:rPr>
        <w:t xml:space="preserve">otra parte, se ha realizado talleres con el Ministerio Público y la Oficina de Atención y Protección a la Víctima del Delito, para incorporar o actualizar planes para los escenarios de </w:t>
      </w:r>
      <w:r w:rsidRPr="00060ECA">
        <w:rPr>
          <w:rFonts w:ascii="Arial" w:hAnsi="Arial" w:cs="Arial"/>
          <w:lang w:eastAsia="es-CR"/>
        </w:rPr>
        <w:t>Desastre por amenaza natural o causado por el ser humano, Indisponibilidad del recurso humano y Indisponibilidad o falla de tecnología. Estos planes están pendientes de ser entregados al Subproceso, por parte de dichas áreas.</w:t>
      </w:r>
      <w:r w:rsidRPr="00060ECA">
        <w:rPr>
          <w:rFonts w:ascii="Arial" w:hAnsi="Arial" w:cs="Arial"/>
          <w:b/>
          <w:bCs/>
          <w:lang w:eastAsia="es-CR"/>
        </w:rPr>
        <w:t xml:space="preserve"> </w:t>
      </w:r>
    </w:p>
    <w:p w14:paraId="352D6AD6" w14:textId="77777777" w:rsidR="008C038A" w:rsidRPr="00060ECA" w:rsidRDefault="008C038A" w:rsidP="00796137">
      <w:pPr>
        <w:spacing w:after="0" w:line="240" w:lineRule="auto"/>
        <w:jc w:val="both"/>
        <w:rPr>
          <w:rFonts w:ascii="Arial" w:hAnsi="Arial" w:cs="Arial"/>
        </w:rPr>
      </w:pPr>
    </w:p>
    <w:p w14:paraId="2A6864F7" w14:textId="77777777" w:rsidR="008C038A" w:rsidRPr="00060ECA" w:rsidRDefault="008C038A" w:rsidP="00796137">
      <w:pPr>
        <w:spacing w:after="0" w:line="240" w:lineRule="auto"/>
        <w:ind w:right="142"/>
        <w:jc w:val="both"/>
        <w:rPr>
          <w:rFonts w:ascii="Arial" w:hAnsi="Arial" w:cs="Arial"/>
          <w:i/>
          <w:iCs/>
        </w:rPr>
      </w:pPr>
      <w:r w:rsidRPr="00060ECA">
        <w:rPr>
          <w:rFonts w:ascii="Arial" w:hAnsi="Arial" w:cs="Arial"/>
        </w:rPr>
        <w:t>En relación con el seguimiento a los planes, mediante los oficios indicados en la siguiente tabla, se solicitó a Direcciones Administrativas y Administraciones Regionales, completar el formulario elaborado por el Subproceso, para diagnosticar el avance en la implementación de la gestión de la continuidad del servicio, mediante la “</w:t>
      </w:r>
      <w:r w:rsidRPr="00060ECA">
        <w:rPr>
          <w:rFonts w:ascii="Arial" w:hAnsi="Arial" w:cs="Arial"/>
          <w:i/>
          <w:iCs/>
        </w:rPr>
        <w:t xml:space="preserve">aplicación de la lista de verificación del cumplimiento sobre su responsabilidad en la definición, revisión, aprobación y pruebas de los procedimientos de continuidad”: </w:t>
      </w:r>
    </w:p>
    <w:p w14:paraId="01F62DAD" w14:textId="77777777" w:rsidR="008C038A" w:rsidRPr="00060ECA" w:rsidRDefault="008C038A" w:rsidP="00796137">
      <w:pPr>
        <w:spacing w:after="0" w:line="240" w:lineRule="auto"/>
        <w:ind w:right="142"/>
        <w:jc w:val="both"/>
        <w:rPr>
          <w:rFonts w:ascii="Arial" w:hAnsi="Arial" w:cs="Arial"/>
          <w:i/>
          <w:iCs/>
        </w:rPr>
      </w:pPr>
    </w:p>
    <w:tbl>
      <w:tblPr>
        <w:tblW w:w="7378" w:type="dxa"/>
        <w:jc w:val="center"/>
        <w:tblCellMar>
          <w:left w:w="70" w:type="dxa"/>
          <w:right w:w="70" w:type="dxa"/>
        </w:tblCellMar>
        <w:tblLook w:val="04A0" w:firstRow="1" w:lastRow="0" w:firstColumn="1" w:lastColumn="0" w:noHBand="0" w:noVBand="1"/>
      </w:tblPr>
      <w:tblGrid>
        <w:gridCol w:w="638"/>
        <w:gridCol w:w="1620"/>
        <w:gridCol w:w="5120"/>
      </w:tblGrid>
      <w:tr w:rsidR="008C038A" w:rsidRPr="00060ECA" w14:paraId="3E8C0FE9" w14:textId="77777777" w:rsidTr="0007679B">
        <w:trPr>
          <w:trHeight w:val="290"/>
          <w:tblHeader/>
          <w:jc w:val="center"/>
        </w:trPr>
        <w:tc>
          <w:tcPr>
            <w:tcW w:w="225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43066F" w14:textId="77777777" w:rsidR="008C038A" w:rsidRPr="00060ECA" w:rsidRDefault="008C038A" w:rsidP="00796137">
            <w:pPr>
              <w:spacing w:after="0" w:line="240" w:lineRule="auto"/>
              <w:jc w:val="center"/>
              <w:rPr>
                <w:rFonts w:ascii="Arial" w:eastAsia="Times New Roman" w:hAnsi="Arial" w:cs="Arial"/>
                <w:b/>
                <w:bCs/>
                <w:lang w:eastAsia="es-CR"/>
              </w:rPr>
            </w:pPr>
            <w:r w:rsidRPr="00060ECA">
              <w:rPr>
                <w:rFonts w:ascii="Arial" w:eastAsia="Times New Roman" w:hAnsi="Arial" w:cs="Arial"/>
                <w:b/>
                <w:bCs/>
                <w:lang w:eastAsia="es-CR"/>
              </w:rPr>
              <w:t>Oficio</w:t>
            </w:r>
          </w:p>
        </w:tc>
        <w:tc>
          <w:tcPr>
            <w:tcW w:w="5120" w:type="dxa"/>
            <w:tcBorders>
              <w:top w:val="single" w:sz="4" w:space="0" w:color="auto"/>
              <w:left w:val="nil"/>
              <w:bottom w:val="single" w:sz="4" w:space="0" w:color="auto"/>
              <w:right w:val="single" w:sz="4" w:space="0" w:color="auto"/>
            </w:tcBorders>
            <w:shd w:val="clear" w:color="auto" w:fill="auto"/>
            <w:hideMark/>
          </w:tcPr>
          <w:p w14:paraId="125AC033" w14:textId="77777777" w:rsidR="008C038A" w:rsidRPr="00060ECA" w:rsidRDefault="008C038A" w:rsidP="00796137">
            <w:pPr>
              <w:spacing w:after="0" w:line="240" w:lineRule="auto"/>
              <w:jc w:val="center"/>
              <w:rPr>
                <w:rFonts w:ascii="Arial" w:eastAsia="Times New Roman" w:hAnsi="Arial" w:cs="Arial"/>
                <w:b/>
                <w:bCs/>
                <w:lang w:eastAsia="es-CR"/>
              </w:rPr>
            </w:pPr>
            <w:r w:rsidRPr="00060ECA">
              <w:rPr>
                <w:rFonts w:ascii="Arial" w:eastAsia="Times New Roman" w:hAnsi="Arial" w:cs="Arial"/>
                <w:b/>
                <w:bCs/>
                <w:lang w:eastAsia="es-CR"/>
              </w:rPr>
              <w:t>Destino</w:t>
            </w:r>
          </w:p>
        </w:tc>
      </w:tr>
      <w:tr w:rsidR="008C038A" w:rsidRPr="002619FA" w14:paraId="5B2172A9"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1E4B3E01"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56</w:t>
            </w:r>
          </w:p>
        </w:tc>
        <w:tc>
          <w:tcPr>
            <w:tcW w:w="1620" w:type="dxa"/>
            <w:tcBorders>
              <w:top w:val="nil"/>
              <w:left w:val="nil"/>
              <w:bottom w:val="single" w:sz="4" w:space="0" w:color="auto"/>
              <w:right w:val="single" w:sz="4" w:space="0" w:color="auto"/>
            </w:tcBorders>
            <w:shd w:val="clear" w:color="auto" w:fill="auto"/>
            <w:hideMark/>
          </w:tcPr>
          <w:p w14:paraId="4796767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724BA5B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Alajuela</w:t>
            </w:r>
          </w:p>
        </w:tc>
      </w:tr>
      <w:tr w:rsidR="008C038A" w:rsidRPr="002619FA" w14:paraId="2BDB132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2D38B01C"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58</w:t>
            </w:r>
          </w:p>
        </w:tc>
        <w:tc>
          <w:tcPr>
            <w:tcW w:w="1620" w:type="dxa"/>
            <w:tcBorders>
              <w:top w:val="nil"/>
              <w:left w:val="nil"/>
              <w:bottom w:val="single" w:sz="4" w:space="0" w:color="auto"/>
              <w:right w:val="single" w:sz="4" w:space="0" w:color="auto"/>
            </w:tcBorders>
            <w:shd w:val="clear" w:color="auto" w:fill="auto"/>
            <w:hideMark/>
          </w:tcPr>
          <w:p w14:paraId="72C8FF8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3FFEAAF"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Heredia</w:t>
            </w:r>
          </w:p>
        </w:tc>
      </w:tr>
      <w:tr w:rsidR="008C038A" w:rsidRPr="002619FA" w14:paraId="1F35332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0E7B191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59</w:t>
            </w:r>
          </w:p>
        </w:tc>
        <w:tc>
          <w:tcPr>
            <w:tcW w:w="1620" w:type="dxa"/>
            <w:tcBorders>
              <w:top w:val="nil"/>
              <w:left w:val="nil"/>
              <w:bottom w:val="single" w:sz="4" w:space="0" w:color="auto"/>
              <w:right w:val="single" w:sz="4" w:space="0" w:color="auto"/>
            </w:tcBorders>
            <w:shd w:val="clear" w:color="auto" w:fill="auto"/>
            <w:hideMark/>
          </w:tcPr>
          <w:p w14:paraId="237D3662"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59C109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Sarapiquí</w:t>
            </w:r>
          </w:p>
        </w:tc>
      </w:tr>
      <w:tr w:rsidR="008C038A" w:rsidRPr="002619FA" w14:paraId="49DBBE27"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56F8C8F1"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60</w:t>
            </w:r>
          </w:p>
        </w:tc>
        <w:tc>
          <w:tcPr>
            <w:tcW w:w="1620" w:type="dxa"/>
            <w:tcBorders>
              <w:top w:val="nil"/>
              <w:left w:val="nil"/>
              <w:bottom w:val="single" w:sz="4" w:space="0" w:color="auto"/>
              <w:right w:val="single" w:sz="4" w:space="0" w:color="auto"/>
            </w:tcBorders>
            <w:shd w:val="clear" w:color="auto" w:fill="auto"/>
            <w:hideMark/>
          </w:tcPr>
          <w:p w14:paraId="2141BAF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71AE616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Cartago</w:t>
            </w:r>
          </w:p>
        </w:tc>
      </w:tr>
      <w:tr w:rsidR="008C038A" w:rsidRPr="002619FA" w14:paraId="2CD1620E"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0E1AC34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61</w:t>
            </w:r>
          </w:p>
        </w:tc>
        <w:tc>
          <w:tcPr>
            <w:tcW w:w="1620" w:type="dxa"/>
            <w:tcBorders>
              <w:top w:val="nil"/>
              <w:left w:val="nil"/>
              <w:bottom w:val="single" w:sz="4" w:space="0" w:color="auto"/>
              <w:right w:val="single" w:sz="4" w:space="0" w:color="auto"/>
            </w:tcBorders>
            <w:shd w:val="clear" w:color="auto" w:fill="auto"/>
            <w:hideMark/>
          </w:tcPr>
          <w:p w14:paraId="33C12300"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3688C0C"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de la Zona Sur (Pérez Zeledón)</w:t>
            </w:r>
          </w:p>
        </w:tc>
      </w:tr>
      <w:tr w:rsidR="008C038A" w:rsidRPr="002619FA" w14:paraId="0F19360A"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77AB87AD"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62</w:t>
            </w:r>
          </w:p>
        </w:tc>
        <w:tc>
          <w:tcPr>
            <w:tcW w:w="1620" w:type="dxa"/>
            <w:tcBorders>
              <w:top w:val="nil"/>
              <w:left w:val="nil"/>
              <w:bottom w:val="single" w:sz="4" w:space="0" w:color="auto"/>
              <w:right w:val="single" w:sz="4" w:space="0" w:color="auto"/>
            </w:tcBorders>
            <w:shd w:val="clear" w:color="auto" w:fill="auto"/>
            <w:hideMark/>
          </w:tcPr>
          <w:p w14:paraId="0A80FAD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123379D"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Puntarenas</w:t>
            </w:r>
          </w:p>
        </w:tc>
      </w:tr>
      <w:tr w:rsidR="008C038A" w:rsidRPr="002619FA" w14:paraId="00B6973C"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53AD35B"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63</w:t>
            </w:r>
          </w:p>
        </w:tc>
        <w:tc>
          <w:tcPr>
            <w:tcW w:w="1620" w:type="dxa"/>
            <w:tcBorders>
              <w:top w:val="nil"/>
              <w:left w:val="nil"/>
              <w:bottom w:val="single" w:sz="4" w:space="0" w:color="auto"/>
              <w:right w:val="single" w:sz="4" w:space="0" w:color="auto"/>
            </w:tcBorders>
            <w:shd w:val="clear" w:color="auto" w:fill="auto"/>
            <w:hideMark/>
          </w:tcPr>
          <w:p w14:paraId="4CCB2CF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988D094"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Guanacaste (Liberia)</w:t>
            </w:r>
          </w:p>
        </w:tc>
      </w:tr>
      <w:tr w:rsidR="008C038A" w:rsidRPr="002619FA" w14:paraId="55DBE87B"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7D487A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64</w:t>
            </w:r>
          </w:p>
        </w:tc>
        <w:tc>
          <w:tcPr>
            <w:tcW w:w="1620" w:type="dxa"/>
            <w:tcBorders>
              <w:top w:val="nil"/>
              <w:left w:val="nil"/>
              <w:bottom w:val="single" w:sz="4" w:space="0" w:color="auto"/>
              <w:right w:val="single" w:sz="4" w:space="0" w:color="auto"/>
            </w:tcBorders>
            <w:shd w:val="clear" w:color="auto" w:fill="auto"/>
            <w:hideMark/>
          </w:tcPr>
          <w:p w14:paraId="2F63F31F"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872C42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la Zona Atlántica</w:t>
            </w:r>
          </w:p>
        </w:tc>
      </w:tr>
      <w:tr w:rsidR="008C038A" w:rsidRPr="002619FA" w14:paraId="7E676752"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0728821"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65</w:t>
            </w:r>
          </w:p>
        </w:tc>
        <w:tc>
          <w:tcPr>
            <w:tcW w:w="1620" w:type="dxa"/>
            <w:tcBorders>
              <w:top w:val="nil"/>
              <w:left w:val="nil"/>
              <w:bottom w:val="single" w:sz="4" w:space="0" w:color="auto"/>
              <w:right w:val="single" w:sz="4" w:space="0" w:color="auto"/>
            </w:tcBorders>
            <w:shd w:val="clear" w:color="auto" w:fill="auto"/>
            <w:hideMark/>
          </w:tcPr>
          <w:p w14:paraId="74DD44D5"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7A6A07A"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del I Circuito Judicial de San José</w:t>
            </w:r>
          </w:p>
        </w:tc>
      </w:tr>
      <w:tr w:rsidR="008C038A" w:rsidRPr="002619FA" w14:paraId="440DEBF9"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FF3B06B"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66</w:t>
            </w:r>
          </w:p>
        </w:tc>
        <w:tc>
          <w:tcPr>
            <w:tcW w:w="1620" w:type="dxa"/>
            <w:tcBorders>
              <w:top w:val="nil"/>
              <w:left w:val="nil"/>
              <w:bottom w:val="single" w:sz="4" w:space="0" w:color="auto"/>
              <w:right w:val="single" w:sz="4" w:space="0" w:color="auto"/>
            </w:tcBorders>
            <w:shd w:val="clear" w:color="auto" w:fill="auto"/>
            <w:hideMark/>
          </w:tcPr>
          <w:p w14:paraId="22C3EDFC"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18DB2B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del Segundo Circuito Judicial de San José</w:t>
            </w:r>
          </w:p>
        </w:tc>
      </w:tr>
      <w:tr w:rsidR="008C038A" w:rsidRPr="002619FA" w14:paraId="2E35B465"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652292F6"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67</w:t>
            </w:r>
          </w:p>
        </w:tc>
        <w:tc>
          <w:tcPr>
            <w:tcW w:w="1620" w:type="dxa"/>
            <w:tcBorders>
              <w:top w:val="nil"/>
              <w:left w:val="nil"/>
              <w:bottom w:val="single" w:sz="4" w:space="0" w:color="auto"/>
              <w:right w:val="single" w:sz="4" w:space="0" w:color="auto"/>
            </w:tcBorders>
            <w:shd w:val="clear" w:color="auto" w:fill="auto"/>
            <w:hideMark/>
          </w:tcPr>
          <w:p w14:paraId="7A6CC99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A7ED171"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Ciudad Judicial San Joaquín de Flores</w:t>
            </w:r>
          </w:p>
        </w:tc>
      </w:tr>
      <w:tr w:rsidR="008C038A" w:rsidRPr="002619FA" w14:paraId="004BB676"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D564016"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lastRenderedPageBreak/>
              <w:t>68</w:t>
            </w:r>
          </w:p>
        </w:tc>
        <w:tc>
          <w:tcPr>
            <w:tcW w:w="1620" w:type="dxa"/>
            <w:tcBorders>
              <w:top w:val="nil"/>
              <w:left w:val="nil"/>
              <w:bottom w:val="single" w:sz="4" w:space="0" w:color="auto"/>
              <w:right w:val="single" w:sz="4" w:space="0" w:color="auto"/>
            </w:tcBorders>
            <w:shd w:val="clear" w:color="auto" w:fill="auto"/>
            <w:hideMark/>
          </w:tcPr>
          <w:p w14:paraId="50E56B1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C49A500"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 Circuito Judicial de Guanacaste (Nicoya)</w:t>
            </w:r>
          </w:p>
        </w:tc>
      </w:tr>
      <w:tr w:rsidR="008C038A" w:rsidRPr="002619FA" w14:paraId="42775BE6"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73A38EF3"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69</w:t>
            </w:r>
          </w:p>
        </w:tc>
        <w:tc>
          <w:tcPr>
            <w:tcW w:w="1620" w:type="dxa"/>
            <w:tcBorders>
              <w:top w:val="nil"/>
              <w:left w:val="nil"/>
              <w:bottom w:val="single" w:sz="4" w:space="0" w:color="auto"/>
              <w:right w:val="single" w:sz="4" w:space="0" w:color="auto"/>
            </w:tcBorders>
            <w:shd w:val="clear" w:color="auto" w:fill="auto"/>
            <w:hideMark/>
          </w:tcPr>
          <w:p w14:paraId="64B0086C"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040011B"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Santa Cruz</w:t>
            </w:r>
          </w:p>
        </w:tc>
      </w:tr>
      <w:tr w:rsidR="008C038A" w:rsidRPr="002619FA" w14:paraId="5103C550" w14:textId="77777777" w:rsidTr="0007679B">
        <w:trPr>
          <w:trHeight w:val="750"/>
          <w:jc w:val="center"/>
        </w:trPr>
        <w:tc>
          <w:tcPr>
            <w:tcW w:w="638" w:type="dxa"/>
            <w:tcBorders>
              <w:top w:val="nil"/>
              <w:left w:val="single" w:sz="4" w:space="0" w:color="auto"/>
              <w:bottom w:val="single" w:sz="4" w:space="0" w:color="auto"/>
              <w:right w:val="single" w:sz="4" w:space="0" w:color="auto"/>
            </w:tcBorders>
            <w:shd w:val="clear" w:color="auto" w:fill="auto"/>
            <w:hideMark/>
          </w:tcPr>
          <w:p w14:paraId="780D6064"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70</w:t>
            </w:r>
          </w:p>
        </w:tc>
        <w:tc>
          <w:tcPr>
            <w:tcW w:w="1620" w:type="dxa"/>
            <w:tcBorders>
              <w:top w:val="nil"/>
              <w:left w:val="nil"/>
              <w:bottom w:val="single" w:sz="4" w:space="0" w:color="auto"/>
              <w:right w:val="single" w:sz="4" w:space="0" w:color="auto"/>
            </w:tcBorders>
            <w:shd w:val="clear" w:color="auto" w:fill="auto"/>
            <w:hideMark/>
          </w:tcPr>
          <w:p w14:paraId="3437D45D"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CDACD5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Segundo Circuito Judicial de la Zona Sur (Corredores)</w:t>
            </w:r>
          </w:p>
        </w:tc>
      </w:tr>
      <w:tr w:rsidR="008C038A" w:rsidRPr="002619FA" w14:paraId="4414C681"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18B577F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71</w:t>
            </w:r>
          </w:p>
        </w:tc>
        <w:tc>
          <w:tcPr>
            <w:tcW w:w="1620" w:type="dxa"/>
            <w:tcBorders>
              <w:top w:val="nil"/>
              <w:left w:val="nil"/>
              <w:bottom w:val="single" w:sz="4" w:space="0" w:color="auto"/>
              <w:right w:val="single" w:sz="4" w:space="0" w:color="auto"/>
            </w:tcBorders>
            <w:shd w:val="clear" w:color="auto" w:fill="auto"/>
            <w:hideMark/>
          </w:tcPr>
          <w:p w14:paraId="04C6FEEB"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12E30D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 Circuito Judicial de la Zona Atlántica</w:t>
            </w:r>
          </w:p>
        </w:tc>
      </w:tr>
      <w:tr w:rsidR="008C038A" w:rsidRPr="002619FA" w14:paraId="0D7C89E7"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6C101C4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72</w:t>
            </w:r>
          </w:p>
        </w:tc>
        <w:tc>
          <w:tcPr>
            <w:tcW w:w="1620" w:type="dxa"/>
            <w:tcBorders>
              <w:top w:val="nil"/>
              <w:left w:val="nil"/>
              <w:bottom w:val="single" w:sz="4" w:space="0" w:color="auto"/>
              <w:right w:val="single" w:sz="4" w:space="0" w:color="auto"/>
            </w:tcBorders>
            <w:shd w:val="clear" w:color="auto" w:fill="auto"/>
            <w:hideMark/>
          </w:tcPr>
          <w:p w14:paraId="4118B7D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C517EDB"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Segundo Circuito Judicial de Alajuela</w:t>
            </w:r>
          </w:p>
        </w:tc>
      </w:tr>
      <w:tr w:rsidR="008C038A" w:rsidRPr="002619FA" w14:paraId="225E66C8"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DC31D95"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73</w:t>
            </w:r>
          </w:p>
        </w:tc>
        <w:tc>
          <w:tcPr>
            <w:tcW w:w="1620" w:type="dxa"/>
            <w:tcBorders>
              <w:top w:val="nil"/>
              <w:left w:val="nil"/>
              <w:bottom w:val="single" w:sz="4" w:space="0" w:color="auto"/>
              <w:right w:val="single" w:sz="4" w:space="0" w:color="auto"/>
            </w:tcBorders>
            <w:shd w:val="clear" w:color="auto" w:fill="auto"/>
            <w:hideMark/>
          </w:tcPr>
          <w:p w14:paraId="4152E5F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44C68D5"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III Circuito Judicial de Alajuela (San Ramón)</w:t>
            </w:r>
          </w:p>
        </w:tc>
      </w:tr>
      <w:tr w:rsidR="008C038A" w:rsidRPr="002619FA" w14:paraId="75078D1E"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1A99D15D"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74</w:t>
            </w:r>
          </w:p>
        </w:tc>
        <w:tc>
          <w:tcPr>
            <w:tcW w:w="1620" w:type="dxa"/>
            <w:tcBorders>
              <w:top w:val="nil"/>
              <w:left w:val="nil"/>
              <w:bottom w:val="single" w:sz="4" w:space="0" w:color="auto"/>
              <w:right w:val="single" w:sz="4" w:space="0" w:color="auto"/>
            </w:tcBorders>
            <w:shd w:val="clear" w:color="auto" w:fill="auto"/>
            <w:hideMark/>
          </w:tcPr>
          <w:p w14:paraId="1A0193EF"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499505AD"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Golfito</w:t>
            </w:r>
          </w:p>
        </w:tc>
      </w:tr>
      <w:tr w:rsidR="008C038A" w:rsidRPr="002619FA" w14:paraId="4F3EC03F"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DBDBED8"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75</w:t>
            </w:r>
          </w:p>
        </w:tc>
        <w:tc>
          <w:tcPr>
            <w:tcW w:w="1620" w:type="dxa"/>
            <w:tcBorders>
              <w:top w:val="nil"/>
              <w:left w:val="nil"/>
              <w:bottom w:val="single" w:sz="4" w:space="0" w:color="auto"/>
              <w:right w:val="single" w:sz="4" w:space="0" w:color="auto"/>
            </w:tcBorders>
            <w:shd w:val="clear" w:color="auto" w:fill="auto"/>
            <w:hideMark/>
          </w:tcPr>
          <w:p w14:paraId="334F438E"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2DF655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Grecia</w:t>
            </w:r>
          </w:p>
        </w:tc>
      </w:tr>
      <w:tr w:rsidR="008C038A" w:rsidRPr="002619FA" w14:paraId="4A58D535"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5621957"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76</w:t>
            </w:r>
          </w:p>
        </w:tc>
        <w:tc>
          <w:tcPr>
            <w:tcW w:w="1620" w:type="dxa"/>
            <w:tcBorders>
              <w:top w:val="nil"/>
              <w:left w:val="nil"/>
              <w:bottom w:val="single" w:sz="4" w:space="0" w:color="auto"/>
              <w:right w:val="single" w:sz="4" w:space="0" w:color="auto"/>
            </w:tcBorders>
            <w:shd w:val="clear" w:color="auto" w:fill="auto"/>
            <w:hideMark/>
          </w:tcPr>
          <w:p w14:paraId="0F72F108"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47956BE4"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Turrialba</w:t>
            </w:r>
          </w:p>
        </w:tc>
      </w:tr>
      <w:tr w:rsidR="008C038A" w:rsidRPr="002619FA" w14:paraId="6A1D9C16"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4CF821C1"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77</w:t>
            </w:r>
          </w:p>
        </w:tc>
        <w:tc>
          <w:tcPr>
            <w:tcW w:w="1620" w:type="dxa"/>
            <w:tcBorders>
              <w:top w:val="nil"/>
              <w:left w:val="nil"/>
              <w:bottom w:val="single" w:sz="4" w:space="0" w:color="auto"/>
              <w:right w:val="single" w:sz="4" w:space="0" w:color="auto"/>
            </w:tcBorders>
            <w:shd w:val="clear" w:color="auto" w:fill="auto"/>
            <w:hideMark/>
          </w:tcPr>
          <w:p w14:paraId="6633B83C"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92FCECE"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Osa</w:t>
            </w:r>
          </w:p>
        </w:tc>
      </w:tr>
      <w:tr w:rsidR="008C038A" w:rsidRPr="002619FA" w14:paraId="2D73FBFD"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0CF9DD60"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78</w:t>
            </w:r>
          </w:p>
        </w:tc>
        <w:tc>
          <w:tcPr>
            <w:tcW w:w="1620" w:type="dxa"/>
            <w:tcBorders>
              <w:top w:val="nil"/>
              <w:left w:val="nil"/>
              <w:bottom w:val="single" w:sz="4" w:space="0" w:color="auto"/>
              <w:right w:val="single" w:sz="4" w:space="0" w:color="auto"/>
            </w:tcBorders>
            <w:shd w:val="clear" w:color="auto" w:fill="auto"/>
            <w:hideMark/>
          </w:tcPr>
          <w:p w14:paraId="68AE5622"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32B4147"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Quepos</w:t>
            </w:r>
          </w:p>
        </w:tc>
      </w:tr>
      <w:tr w:rsidR="008C038A" w:rsidRPr="002619FA" w14:paraId="6F8E2178"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596DF6B"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81</w:t>
            </w:r>
          </w:p>
        </w:tc>
        <w:tc>
          <w:tcPr>
            <w:tcW w:w="1620" w:type="dxa"/>
            <w:tcBorders>
              <w:top w:val="nil"/>
              <w:left w:val="nil"/>
              <w:bottom w:val="single" w:sz="4" w:space="0" w:color="auto"/>
              <w:right w:val="single" w:sz="4" w:space="0" w:color="auto"/>
            </w:tcBorders>
            <w:shd w:val="clear" w:color="auto" w:fill="auto"/>
            <w:hideMark/>
          </w:tcPr>
          <w:p w14:paraId="1805F9CB"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84CA621"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Tecnología de Información y Comunicaciones</w:t>
            </w:r>
          </w:p>
        </w:tc>
      </w:tr>
      <w:tr w:rsidR="008C038A" w:rsidRPr="002619FA" w14:paraId="0851806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AA6DE7F"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82</w:t>
            </w:r>
          </w:p>
        </w:tc>
        <w:tc>
          <w:tcPr>
            <w:tcW w:w="1620" w:type="dxa"/>
            <w:tcBorders>
              <w:top w:val="nil"/>
              <w:left w:val="nil"/>
              <w:bottom w:val="single" w:sz="4" w:space="0" w:color="auto"/>
              <w:right w:val="single" w:sz="4" w:space="0" w:color="auto"/>
            </w:tcBorders>
            <w:shd w:val="clear" w:color="auto" w:fill="auto"/>
            <w:hideMark/>
          </w:tcPr>
          <w:p w14:paraId="2EB2892D"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245516D"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Gestión Humana</w:t>
            </w:r>
          </w:p>
        </w:tc>
      </w:tr>
      <w:tr w:rsidR="008C038A" w:rsidRPr="002619FA" w14:paraId="57EB7248"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9B836BA"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83</w:t>
            </w:r>
          </w:p>
        </w:tc>
        <w:tc>
          <w:tcPr>
            <w:tcW w:w="1620" w:type="dxa"/>
            <w:tcBorders>
              <w:top w:val="nil"/>
              <w:left w:val="nil"/>
              <w:bottom w:val="single" w:sz="4" w:space="0" w:color="auto"/>
              <w:right w:val="single" w:sz="4" w:space="0" w:color="auto"/>
            </w:tcBorders>
            <w:shd w:val="clear" w:color="auto" w:fill="auto"/>
            <w:hideMark/>
          </w:tcPr>
          <w:p w14:paraId="6B185DB3"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0CF9DF5"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Planificación</w:t>
            </w:r>
          </w:p>
        </w:tc>
      </w:tr>
      <w:tr w:rsidR="008C038A" w:rsidRPr="002619FA" w14:paraId="6DD97D14"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E8C096C" w14:textId="77777777" w:rsidR="008C038A" w:rsidRPr="002619FA" w:rsidRDefault="008C038A" w:rsidP="00796137">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84</w:t>
            </w:r>
          </w:p>
        </w:tc>
        <w:tc>
          <w:tcPr>
            <w:tcW w:w="1620" w:type="dxa"/>
            <w:tcBorders>
              <w:top w:val="nil"/>
              <w:left w:val="nil"/>
              <w:bottom w:val="single" w:sz="4" w:space="0" w:color="auto"/>
              <w:right w:val="single" w:sz="4" w:space="0" w:color="auto"/>
            </w:tcBorders>
            <w:shd w:val="clear" w:color="auto" w:fill="auto"/>
            <w:hideMark/>
          </w:tcPr>
          <w:p w14:paraId="5D526932"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D9A91D5" w14:textId="77777777" w:rsidR="008C038A" w:rsidRPr="002619FA" w:rsidRDefault="008C038A" w:rsidP="00796137">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Departamento de Prensa y Comunicación Organizacional</w:t>
            </w:r>
          </w:p>
        </w:tc>
      </w:tr>
    </w:tbl>
    <w:p w14:paraId="4BA06D43" w14:textId="77777777" w:rsidR="008C038A" w:rsidRPr="00656A4C" w:rsidRDefault="008C038A" w:rsidP="00796137">
      <w:pPr>
        <w:spacing w:after="0" w:line="240" w:lineRule="auto"/>
        <w:ind w:right="142"/>
        <w:jc w:val="both"/>
        <w:rPr>
          <w:rFonts w:ascii="Arial" w:hAnsi="Arial" w:cs="Arial"/>
        </w:rPr>
      </w:pPr>
    </w:p>
    <w:p w14:paraId="23D5C19A" w14:textId="125C7435" w:rsidR="00EE3434" w:rsidRDefault="00EE3434" w:rsidP="00796137">
      <w:pPr>
        <w:spacing w:after="0" w:line="240" w:lineRule="auto"/>
        <w:ind w:right="142"/>
        <w:jc w:val="both"/>
        <w:rPr>
          <w:rFonts w:ascii="Arial" w:hAnsi="Arial" w:cs="Arial"/>
        </w:rPr>
      </w:pPr>
      <w:r>
        <w:rPr>
          <w:rFonts w:ascii="Arial" w:hAnsi="Arial" w:cs="Arial"/>
        </w:rPr>
        <w:t>Como parte de las labores de seguimiento, el Subproceso realizó visitas a diferentes despachos judiciales para realizar una verificación de la atención de la gestión de la continuidad del servicio, según las disposiciones emitidas al respecto y la divulgación de los planes de continuidad del servicio.</w:t>
      </w:r>
    </w:p>
    <w:p w14:paraId="7FE2BF5C" w14:textId="38D42FC6" w:rsidR="00EE3434" w:rsidRDefault="00EE3434" w:rsidP="00796137">
      <w:pPr>
        <w:spacing w:after="0" w:line="240" w:lineRule="auto"/>
        <w:ind w:right="142"/>
        <w:jc w:val="both"/>
        <w:rPr>
          <w:rFonts w:ascii="Arial" w:hAnsi="Arial" w:cs="Arial"/>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3962"/>
        <w:gridCol w:w="4536"/>
      </w:tblGrid>
      <w:tr w:rsidR="00EE3434" w:rsidRPr="00656A4C" w14:paraId="45C0ED01" w14:textId="77777777" w:rsidTr="00443AB4">
        <w:trPr>
          <w:trHeight w:val="290"/>
          <w:tblHeader/>
          <w:jc w:val="center"/>
        </w:trPr>
        <w:tc>
          <w:tcPr>
            <w:tcW w:w="1420" w:type="dxa"/>
            <w:shd w:val="clear" w:color="auto" w:fill="auto"/>
            <w:noWrap/>
            <w:vAlign w:val="center"/>
            <w:hideMark/>
          </w:tcPr>
          <w:p w14:paraId="75DAAD21" w14:textId="77777777" w:rsidR="00EE3434" w:rsidRPr="00656A4C" w:rsidRDefault="00EE3434" w:rsidP="00443AB4">
            <w:pPr>
              <w:spacing w:after="0" w:line="240" w:lineRule="auto"/>
              <w:jc w:val="center"/>
              <w:rPr>
                <w:rFonts w:ascii="Arial" w:eastAsia="Times New Roman" w:hAnsi="Arial" w:cs="Arial"/>
                <w:b/>
                <w:bCs/>
              </w:rPr>
            </w:pPr>
            <w:r w:rsidRPr="00656A4C">
              <w:rPr>
                <w:rFonts w:ascii="Arial" w:eastAsia="Times New Roman" w:hAnsi="Arial" w:cs="Arial"/>
                <w:b/>
                <w:bCs/>
              </w:rPr>
              <w:t>Fecha</w:t>
            </w:r>
          </w:p>
        </w:tc>
        <w:tc>
          <w:tcPr>
            <w:tcW w:w="3962" w:type="dxa"/>
            <w:shd w:val="clear" w:color="auto" w:fill="auto"/>
            <w:noWrap/>
            <w:vAlign w:val="center"/>
            <w:hideMark/>
          </w:tcPr>
          <w:p w14:paraId="6130C306" w14:textId="77777777" w:rsidR="00EE3434" w:rsidRPr="00656A4C" w:rsidRDefault="00EE3434" w:rsidP="00443AB4">
            <w:pPr>
              <w:spacing w:after="0" w:line="240" w:lineRule="auto"/>
              <w:jc w:val="center"/>
              <w:rPr>
                <w:rFonts w:ascii="Arial" w:eastAsia="Times New Roman" w:hAnsi="Arial" w:cs="Arial"/>
                <w:b/>
                <w:bCs/>
              </w:rPr>
            </w:pPr>
            <w:r w:rsidRPr="00656A4C">
              <w:rPr>
                <w:rFonts w:ascii="Arial" w:eastAsia="Times New Roman" w:hAnsi="Arial" w:cs="Arial"/>
                <w:b/>
                <w:bCs/>
              </w:rPr>
              <w:t>Oficina</w:t>
            </w:r>
          </w:p>
        </w:tc>
        <w:tc>
          <w:tcPr>
            <w:tcW w:w="4536" w:type="dxa"/>
            <w:shd w:val="clear" w:color="auto" w:fill="auto"/>
            <w:noWrap/>
            <w:vAlign w:val="center"/>
            <w:hideMark/>
          </w:tcPr>
          <w:p w14:paraId="26B696B9" w14:textId="77777777" w:rsidR="00EE3434" w:rsidRPr="00656A4C" w:rsidRDefault="00EE3434" w:rsidP="00443AB4">
            <w:pPr>
              <w:spacing w:after="0" w:line="240" w:lineRule="auto"/>
              <w:jc w:val="center"/>
              <w:rPr>
                <w:rFonts w:ascii="Arial" w:eastAsia="Times New Roman" w:hAnsi="Arial" w:cs="Arial"/>
                <w:b/>
                <w:bCs/>
              </w:rPr>
            </w:pPr>
            <w:r w:rsidRPr="00656A4C">
              <w:rPr>
                <w:rFonts w:ascii="Arial" w:eastAsia="Times New Roman" w:hAnsi="Arial" w:cs="Arial"/>
                <w:b/>
                <w:bCs/>
              </w:rPr>
              <w:t>Plan o escenario</w:t>
            </w:r>
          </w:p>
        </w:tc>
      </w:tr>
      <w:tr w:rsidR="00EE3434" w:rsidRPr="00656A4C" w14:paraId="04F65123" w14:textId="77777777" w:rsidTr="00443AB4">
        <w:trPr>
          <w:trHeight w:val="650"/>
          <w:jc w:val="center"/>
        </w:trPr>
        <w:tc>
          <w:tcPr>
            <w:tcW w:w="1420" w:type="dxa"/>
            <w:shd w:val="clear" w:color="auto" w:fill="auto"/>
            <w:noWrap/>
            <w:vAlign w:val="center"/>
          </w:tcPr>
          <w:p w14:paraId="4CF6481E" w14:textId="77777777" w:rsidR="00EE3434" w:rsidRPr="00656A4C" w:rsidRDefault="00EE3434" w:rsidP="00443AB4">
            <w:pPr>
              <w:spacing w:after="0" w:line="240" w:lineRule="auto"/>
              <w:rPr>
                <w:rFonts w:ascii="Arial" w:eastAsia="Times New Roman" w:hAnsi="Arial" w:cs="Arial"/>
              </w:rPr>
            </w:pPr>
            <w:r>
              <w:rPr>
                <w:rFonts w:ascii="Arial" w:eastAsia="Times New Roman" w:hAnsi="Arial" w:cs="Arial"/>
              </w:rPr>
              <w:t>17-10-2023</w:t>
            </w:r>
          </w:p>
        </w:tc>
        <w:tc>
          <w:tcPr>
            <w:tcW w:w="3962" w:type="dxa"/>
            <w:shd w:val="clear" w:color="auto" w:fill="auto"/>
            <w:noWrap/>
            <w:vAlign w:val="center"/>
          </w:tcPr>
          <w:p w14:paraId="1F39926C" w14:textId="77777777" w:rsidR="00EE3434" w:rsidRDefault="00EE3434" w:rsidP="00443AB4">
            <w:pPr>
              <w:spacing w:after="0" w:line="240" w:lineRule="auto"/>
              <w:jc w:val="both"/>
              <w:rPr>
                <w:rFonts w:ascii="Arial" w:eastAsia="Times New Roman" w:hAnsi="Arial" w:cs="Arial"/>
              </w:rPr>
            </w:pPr>
            <w:r>
              <w:rPr>
                <w:rFonts w:ascii="Arial" w:eastAsia="Times New Roman" w:hAnsi="Arial" w:cs="Arial"/>
              </w:rPr>
              <w:t>Visita a:</w:t>
            </w:r>
          </w:p>
          <w:p w14:paraId="7EB305CF"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Juzgado de Tránsito de Heredia</w:t>
            </w:r>
          </w:p>
          <w:p w14:paraId="34F2C877"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Juzgado de Familia de Heredia</w:t>
            </w:r>
          </w:p>
          <w:p w14:paraId="61015738"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Juzgado de Pensiones de Heredia</w:t>
            </w:r>
          </w:p>
          <w:p w14:paraId="0B7BDEF5"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Juzgado de Violencia Doméstica de Heredia</w:t>
            </w:r>
          </w:p>
          <w:p w14:paraId="2A2507CA"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Tribunal Penal de Heredia</w:t>
            </w:r>
          </w:p>
        </w:tc>
        <w:tc>
          <w:tcPr>
            <w:tcW w:w="4536" w:type="dxa"/>
            <w:shd w:val="clear" w:color="auto" w:fill="auto"/>
            <w:noWrap/>
            <w:vAlign w:val="center"/>
          </w:tcPr>
          <w:p w14:paraId="69A89F5B" w14:textId="77777777" w:rsidR="00EE3434" w:rsidRPr="00656A4C" w:rsidRDefault="00EE3434" w:rsidP="00443AB4">
            <w:pPr>
              <w:spacing w:after="0" w:line="240" w:lineRule="auto"/>
              <w:jc w:val="both"/>
              <w:rPr>
                <w:rFonts w:ascii="Arial" w:eastAsia="Times New Roman" w:hAnsi="Arial" w:cs="Arial"/>
              </w:rPr>
            </w:pPr>
            <w:r>
              <w:rPr>
                <w:rFonts w:ascii="Arial" w:eastAsia="Times New Roman" w:hAnsi="Arial" w:cs="Arial"/>
              </w:rPr>
              <w:t>Revisión y seguimiento a la aplicación de la gestión de la continuidad en cada despacho.</w:t>
            </w:r>
          </w:p>
        </w:tc>
      </w:tr>
      <w:tr w:rsidR="00EE3434" w:rsidRPr="00656A4C" w14:paraId="02123641" w14:textId="77777777" w:rsidTr="00443AB4">
        <w:trPr>
          <w:trHeight w:val="650"/>
          <w:jc w:val="center"/>
        </w:trPr>
        <w:tc>
          <w:tcPr>
            <w:tcW w:w="1420" w:type="dxa"/>
            <w:shd w:val="clear" w:color="auto" w:fill="auto"/>
            <w:noWrap/>
            <w:vAlign w:val="center"/>
          </w:tcPr>
          <w:p w14:paraId="1ABC8B4F" w14:textId="77777777" w:rsidR="00EE3434" w:rsidRDefault="00EE3434" w:rsidP="00443AB4">
            <w:pPr>
              <w:spacing w:after="0" w:line="240" w:lineRule="auto"/>
              <w:rPr>
                <w:rFonts w:ascii="Arial" w:eastAsia="Times New Roman" w:hAnsi="Arial" w:cs="Arial"/>
              </w:rPr>
            </w:pPr>
            <w:r>
              <w:rPr>
                <w:rFonts w:ascii="Arial" w:eastAsia="Times New Roman" w:hAnsi="Arial" w:cs="Arial"/>
              </w:rPr>
              <w:t>02-11-2023</w:t>
            </w:r>
          </w:p>
        </w:tc>
        <w:tc>
          <w:tcPr>
            <w:tcW w:w="3962" w:type="dxa"/>
            <w:shd w:val="clear" w:color="auto" w:fill="auto"/>
            <w:noWrap/>
            <w:vAlign w:val="center"/>
          </w:tcPr>
          <w:p w14:paraId="4E39196F" w14:textId="77777777" w:rsidR="00EE3434" w:rsidRDefault="00EE3434" w:rsidP="00443AB4">
            <w:pPr>
              <w:spacing w:after="0" w:line="240" w:lineRule="auto"/>
              <w:jc w:val="both"/>
              <w:rPr>
                <w:rFonts w:ascii="Arial" w:eastAsia="Times New Roman" w:hAnsi="Arial" w:cs="Arial"/>
              </w:rPr>
            </w:pPr>
            <w:r>
              <w:rPr>
                <w:rFonts w:ascii="Arial" w:eastAsia="Times New Roman" w:hAnsi="Arial" w:cs="Arial"/>
              </w:rPr>
              <w:t>Visita a:</w:t>
            </w:r>
          </w:p>
          <w:p w14:paraId="7F9198F4" w14:textId="77777777" w:rsidR="00EE3434"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w:t>
            </w:r>
            <w:r>
              <w:rPr>
                <w:rFonts w:ascii="Arial" w:hAnsi="Arial" w:cs="Arial"/>
              </w:rPr>
              <w:t>Ejecución de la Pena</w:t>
            </w:r>
            <w:r w:rsidRPr="00367E80">
              <w:rPr>
                <w:rFonts w:ascii="Arial" w:hAnsi="Arial" w:cs="Arial"/>
              </w:rPr>
              <w:t xml:space="preserve"> </w:t>
            </w:r>
            <w:r>
              <w:rPr>
                <w:rFonts w:ascii="Arial" w:hAnsi="Arial" w:cs="Arial"/>
              </w:rPr>
              <w:t>del I Circuito Judicial de San José</w:t>
            </w:r>
          </w:p>
          <w:p w14:paraId="0FA5BC7C" w14:textId="77777777" w:rsidR="00EE3434"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w:t>
            </w:r>
            <w:r>
              <w:rPr>
                <w:rFonts w:ascii="Arial" w:hAnsi="Arial" w:cs="Arial"/>
              </w:rPr>
              <w:t>Pensiones Alimentarias</w:t>
            </w:r>
            <w:r w:rsidRPr="00367E80">
              <w:rPr>
                <w:rFonts w:ascii="Arial" w:hAnsi="Arial" w:cs="Arial"/>
              </w:rPr>
              <w:t xml:space="preserve"> </w:t>
            </w:r>
            <w:r>
              <w:rPr>
                <w:rFonts w:ascii="Arial" w:hAnsi="Arial" w:cs="Arial"/>
              </w:rPr>
              <w:t>del I Circuito Judicial de San José</w:t>
            </w:r>
          </w:p>
        </w:tc>
        <w:tc>
          <w:tcPr>
            <w:tcW w:w="4536" w:type="dxa"/>
            <w:shd w:val="clear" w:color="auto" w:fill="auto"/>
            <w:noWrap/>
            <w:vAlign w:val="center"/>
          </w:tcPr>
          <w:p w14:paraId="643C8DA1" w14:textId="77777777" w:rsidR="00EE3434" w:rsidRPr="003B1BF5" w:rsidRDefault="00EE3434" w:rsidP="00443AB4">
            <w:pPr>
              <w:spacing w:after="0" w:line="240" w:lineRule="auto"/>
              <w:jc w:val="both"/>
              <w:rPr>
                <w:rFonts w:ascii="Arial" w:eastAsia="Times New Roman" w:hAnsi="Arial" w:cs="Arial"/>
              </w:rPr>
            </w:pPr>
            <w:r>
              <w:rPr>
                <w:rFonts w:ascii="Arial" w:eastAsia="Times New Roman" w:hAnsi="Arial" w:cs="Arial"/>
              </w:rPr>
              <w:t>Revisión y seguimiento a la aplicación de la gestión de la continuidad en cada despacho.</w:t>
            </w:r>
          </w:p>
        </w:tc>
      </w:tr>
      <w:tr w:rsidR="00EE3434" w:rsidRPr="00656A4C" w14:paraId="777B9A64" w14:textId="77777777" w:rsidTr="00443AB4">
        <w:trPr>
          <w:trHeight w:val="650"/>
          <w:jc w:val="center"/>
        </w:trPr>
        <w:tc>
          <w:tcPr>
            <w:tcW w:w="1420" w:type="dxa"/>
            <w:shd w:val="clear" w:color="auto" w:fill="auto"/>
            <w:noWrap/>
            <w:vAlign w:val="center"/>
          </w:tcPr>
          <w:p w14:paraId="0FB80A26" w14:textId="77777777" w:rsidR="00EE3434" w:rsidRDefault="00EE3434" w:rsidP="00443AB4">
            <w:pPr>
              <w:spacing w:after="0" w:line="240" w:lineRule="auto"/>
              <w:rPr>
                <w:rFonts w:ascii="Arial" w:eastAsia="Times New Roman" w:hAnsi="Arial" w:cs="Arial"/>
              </w:rPr>
            </w:pPr>
            <w:r>
              <w:rPr>
                <w:rFonts w:ascii="Arial" w:eastAsia="Times New Roman" w:hAnsi="Arial" w:cs="Arial"/>
              </w:rPr>
              <w:lastRenderedPageBreak/>
              <w:t>06-11-2023</w:t>
            </w:r>
          </w:p>
        </w:tc>
        <w:tc>
          <w:tcPr>
            <w:tcW w:w="3962" w:type="dxa"/>
            <w:shd w:val="clear" w:color="auto" w:fill="auto"/>
            <w:noWrap/>
            <w:vAlign w:val="center"/>
          </w:tcPr>
          <w:p w14:paraId="2269FF91" w14:textId="77777777" w:rsidR="00EE3434" w:rsidRDefault="00EE3434" w:rsidP="00443AB4">
            <w:pPr>
              <w:spacing w:after="0" w:line="240" w:lineRule="auto"/>
              <w:jc w:val="both"/>
              <w:rPr>
                <w:rFonts w:ascii="Arial" w:eastAsia="Times New Roman" w:hAnsi="Arial" w:cs="Arial"/>
              </w:rPr>
            </w:pPr>
            <w:r>
              <w:rPr>
                <w:rFonts w:ascii="Arial" w:eastAsia="Times New Roman" w:hAnsi="Arial" w:cs="Arial"/>
              </w:rPr>
              <w:t>Visita a:</w:t>
            </w:r>
          </w:p>
          <w:p w14:paraId="577E2B27" w14:textId="77777777" w:rsidR="00EE3434"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Familia </w:t>
            </w:r>
            <w:r>
              <w:rPr>
                <w:rFonts w:ascii="Arial" w:hAnsi="Arial" w:cs="Arial"/>
              </w:rPr>
              <w:t>del I Circuito Judicial de San José</w:t>
            </w:r>
          </w:p>
          <w:p w14:paraId="1E4A49F7"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w:t>
            </w:r>
            <w:r>
              <w:rPr>
                <w:rFonts w:ascii="Arial" w:hAnsi="Arial" w:cs="Arial"/>
              </w:rPr>
              <w:t>Violencia Doméstica</w:t>
            </w:r>
            <w:r w:rsidRPr="00367E80">
              <w:rPr>
                <w:rFonts w:ascii="Arial" w:hAnsi="Arial" w:cs="Arial"/>
              </w:rPr>
              <w:t xml:space="preserve"> </w:t>
            </w:r>
            <w:r>
              <w:rPr>
                <w:rFonts w:ascii="Arial" w:hAnsi="Arial" w:cs="Arial"/>
              </w:rPr>
              <w:t>del I Circuito Judicial de San José</w:t>
            </w:r>
          </w:p>
          <w:p w14:paraId="2304578F" w14:textId="77777777" w:rsidR="00EE3434" w:rsidRPr="00367E80" w:rsidRDefault="00EE3434" w:rsidP="00443AB4">
            <w:pPr>
              <w:pStyle w:val="Prrafodelista"/>
              <w:numPr>
                <w:ilvl w:val="0"/>
                <w:numId w:val="14"/>
              </w:numPr>
              <w:ind w:left="345" w:hanging="283"/>
              <w:rPr>
                <w:rFonts w:ascii="Arial" w:hAnsi="Arial" w:cs="Arial"/>
              </w:rPr>
            </w:pPr>
            <w:r>
              <w:rPr>
                <w:rFonts w:ascii="Arial" w:hAnsi="Arial" w:cs="Arial"/>
              </w:rPr>
              <w:t>Tribunal Penal</w:t>
            </w:r>
            <w:r w:rsidRPr="00367E80">
              <w:rPr>
                <w:rFonts w:ascii="Arial" w:hAnsi="Arial" w:cs="Arial"/>
              </w:rPr>
              <w:t xml:space="preserve"> </w:t>
            </w:r>
            <w:r>
              <w:rPr>
                <w:rFonts w:ascii="Arial" w:hAnsi="Arial" w:cs="Arial"/>
              </w:rPr>
              <w:t>del I Circuito Judicial de San José</w:t>
            </w:r>
          </w:p>
          <w:p w14:paraId="789FBFB8" w14:textId="77777777" w:rsidR="00EE3434"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w:t>
            </w:r>
            <w:r>
              <w:rPr>
                <w:rFonts w:ascii="Arial" w:hAnsi="Arial" w:cs="Arial"/>
              </w:rPr>
              <w:t>Penal</w:t>
            </w:r>
            <w:r w:rsidRPr="00367E80">
              <w:rPr>
                <w:rFonts w:ascii="Arial" w:hAnsi="Arial" w:cs="Arial"/>
              </w:rPr>
              <w:t xml:space="preserve"> </w:t>
            </w:r>
            <w:r>
              <w:rPr>
                <w:rFonts w:ascii="Arial" w:hAnsi="Arial" w:cs="Arial"/>
              </w:rPr>
              <w:t>del I Circuito Judicial de San José</w:t>
            </w:r>
          </w:p>
          <w:p w14:paraId="238AED95" w14:textId="77777777" w:rsidR="00EE3434" w:rsidRDefault="00EE3434" w:rsidP="00443AB4">
            <w:pPr>
              <w:pStyle w:val="Prrafodelista"/>
              <w:numPr>
                <w:ilvl w:val="0"/>
                <w:numId w:val="14"/>
              </w:numPr>
              <w:ind w:left="345" w:hanging="283"/>
              <w:rPr>
                <w:rFonts w:ascii="Arial" w:hAnsi="Arial" w:cs="Arial"/>
              </w:rPr>
            </w:pPr>
            <w:r w:rsidRPr="009F0A3B">
              <w:rPr>
                <w:rFonts w:ascii="Arial" w:hAnsi="Arial" w:cs="Arial"/>
              </w:rPr>
              <w:t>Juzgado Penal Juvenil del I Circuito Judicial de San José</w:t>
            </w:r>
          </w:p>
        </w:tc>
        <w:tc>
          <w:tcPr>
            <w:tcW w:w="4536" w:type="dxa"/>
            <w:shd w:val="clear" w:color="auto" w:fill="auto"/>
            <w:noWrap/>
            <w:vAlign w:val="center"/>
          </w:tcPr>
          <w:p w14:paraId="23C92ACC" w14:textId="77777777" w:rsidR="00EE3434" w:rsidRPr="003B1BF5" w:rsidRDefault="00EE3434" w:rsidP="00443AB4">
            <w:pPr>
              <w:spacing w:after="0" w:line="240" w:lineRule="auto"/>
              <w:jc w:val="both"/>
              <w:rPr>
                <w:rFonts w:ascii="Arial" w:eastAsia="Times New Roman" w:hAnsi="Arial" w:cs="Arial"/>
              </w:rPr>
            </w:pPr>
            <w:r>
              <w:rPr>
                <w:rFonts w:ascii="Arial" w:eastAsia="Times New Roman" w:hAnsi="Arial" w:cs="Arial"/>
              </w:rPr>
              <w:t>Revisión y seguimiento a la aplicación de la gestión de la continuidad en cada despacho.</w:t>
            </w:r>
          </w:p>
        </w:tc>
      </w:tr>
      <w:tr w:rsidR="00EE3434" w:rsidRPr="00656A4C" w14:paraId="2608A69F" w14:textId="77777777" w:rsidTr="00443AB4">
        <w:trPr>
          <w:trHeight w:val="650"/>
          <w:jc w:val="center"/>
        </w:trPr>
        <w:tc>
          <w:tcPr>
            <w:tcW w:w="1420" w:type="dxa"/>
            <w:shd w:val="clear" w:color="auto" w:fill="auto"/>
            <w:noWrap/>
            <w:vAlign w:val="center"/>
          </w:tcPr>
          <w:p w14:paraId="61F46408" w14:textId="77777777" w:rsidR="00EE3434" w:rsidRDefault="00EE3434" w:rsidP="00443AB4">
            <w:pPr>
              <w:spacing w:after="0" w:line="240" w:lineRule="auto"/>
              <w:rPr>
                <w:rFonts w:ascii="Arial" w:eastAsia="Times New Roman" w:hAnsi="Arial" w:cs="Arial"/>
              </w:rPr>
            </w:pPr>
            <w:r>
              <w:rPr>
                <w:rFonts w:ascii="Arial" w:eastAsia="Times New Roman" w:hAnsi="Arial" w:cs="Arial"/>
              </w:rPr>
              <w:t>07-11-2023</w:t>
            </w:r>
          </w:p>
        </w:tc>
        <w:tc>
          <w:tcPr>
            <w:tcW w:w="3962" w:type="dxa"/>
            <w:shd w:val="clear" w:color="auto" w:fill="auto"/>
            <w:noWrap/>
            <w:vAlign w:val="center"/>
          </w:tcPr>
          <w:p w14:paraId="77AE6563" w14:textId="77777777" w:rsidR="00EE3434" w:rsidRDefault="00EE3434" w:rsidP="00443AB4">
            <w:pPr>
              <w:spacing w:after="0" w:line="240" w:lineRule="auto"/>
              <w:jc w:val="both"/>
              <w:rPr>
                <w:rFonts w:ascii="Arial" w:eastAsia="Times New Roman" w:hAnsi="Arial" w:cs="Arial"/>
              </w:rPr>
            </w:pPr>
            <w:r>
              <w:rPr>
                <w:rFonts w:ascii="Arial" w:eastAsia="Times New Roman" w:hAnsi="Arial" w:cs="Arial"/>
              </w:rPr>
              <w:t>Visita a:</w:t>
            </w:r>
          </w:p>
          <w:p w14:paraId="7874890A"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Familia </w:t>
            </w:r>
            <w:r>
              <w:rPr>
                <w:rFonts w:ascii="Arial" w:hAnsi="Arial" w:cs="Arial"/>
              </w:rPr>
              <w:t>del II Circuito Judicial de Alajuela</w:t>
            </w:r>
          </w:p>
          <w:p w14:paraId="29BA2B10" w14:textId="77777777" w:rsidR="00EE3434" w:rsidRPr="00367E80" w:rsidRDefault="00EE3434" w:rsidP="00443AB4">
            <w:pPr>
              <w:pStyle w:val="Prrafodelista"/>
              <w:numPr>
                <w:ilvl w:val="0"/>
                <w:numId w:val="14"/>
              </w:numPr>
              <w:ind w:left="345" w:hanging="283"/>
              <w:rPr>
                <w:rFonts w:ascii="Arial" w:hAnsi="Arial" w:cs="Arial"/>
              </w:rPr>
            </w:pPr>
            <w:r w:rsidRPr="00367E80">
              <w:rPr>
                <w:rFonts w:ascii="Arial" w:hAnsi="Arial" w:cs="Arial"/>
              </w:rPr>
              <w:t xml:space="preserve">Juzgado de Pensiones </w:t>
            </w:r>
            <w:r>
              <w:rPr>
                <w:rFonts w:ascii="Arial" w:hAnsi="Arial" w:cs="Arial"/>
              </w:rPr>
              <w:t>del II Circuito Judicial de Alajuela</w:t>
            </w:r>
          </w:p>
          <w:p w14:paraId="6612C3FA" w14:textId="77777777" w:rsidR="00EE3434" w:rsidRDefault="00EE3434" w:rsidP="00443AB4">
            <w:pPr>
              <w:pStyle w:val="Prrafodelista"/>
              <w:numPr>
                <w:ilvl w:val="0"/>
                <w:numId w:val="14"/>
              </w:numPr>
              <w:ind w:left="345" w:hanging="283"/>
              <w:rPr>
                <w:rFonts w:ascii="Arial" w:hAnsi="Arial" w:cs="Arial"/>
              </w:rPr>
            </w:pPr>
            <w:r w:rsidRPr="00367E80">
              <w:rPr>
                <w:rFonts w:ascii="Arial" w:hAnsi="Arial" w:cs="Arial"/>
              </w:rPr>
              <w:t>Juzgado de Violencia Doméstic</w:t>
            </w:r>
            <w:r>
              <w:rPr>
                <w:rFonts w:ascii="Arial" w:hAnsi="Arial" w:cs="Arial"/>
              </w:rPr>
              <w:t>a del II Circuito Judicial de Alajuela</w:t>
            </w:r>
          </w:p>
          <w:p w14:paraId="78F52C60" w14:textId="77777777" w:rsidR="00EE3434" w:rsidRDefault="00EE3434" w:rsidP="00443AB4">
            <w:pPr>
              <w:pStyle w:val="Prrafodelista"/>
              <w:numPr>
                <w:ilvl w:val="0"/>
                <w:numId w:val="14"/>
              </w:numPr>
              <w:ind w:left="345" w:hanging="283"/>
              <w:rPr>
                <w:rFonts w:ascii="Arial" w:hAnsi="Arial" w:cs="Arial"/>
              </w:rPr>
            </w:pPr>
            <w:r w:rsidRPr="00617113">
              <w:rPr>
                <w:rFonts w:ascii="Arial" w:hAnsi="Arial" w:cs="Arial"/>
              </w:rPr>
              <w:t>Tribunal Penal del II Circuito Judicial de Alajuela</w:t>
            </w:r>
          </w:p>
          <w:p w14:paraId="70B467EB" w14:textId="77777777" w:rsidR="00EE3434" w:rsidRPr="00617113" w:rsidRDefault="00EE3434" w:rsidP="00443AB4">
            <w:pPr>
              <w:pStyle w:val="Prrafodelista"/>
              <w:numPr>
                <w:ilvl w:val="0"/>
                <w:numId w:val="14"/>
              </w:numPr>
              <w:ind w:left="345" w:hanging="283"/>
              <w:rPr>
                <w:rFonts w:ascii="Arial" w:hAnsi="Arial" w:cs="Arial"/>
              </w:rPr>
            </w:pPr>
            <w:r>
              <w:rPr>
                <w:rFonts w:ascii="Arial" w:hAnsi="Arial" w:cs="Arial"/>
              </w:rPr>
              <w:t>Juzgado Penal del II Circuito Judicial de Alajuela</w:t>
            </w:r>
          </w:p>
        </w:tc>
        <w:tc>
          <w:tcPr>
            <w:tcW w:w="4536" w:type="dxa"/>
            <w:shd w:val="clear" w:color="auto" w:fill="auto"/>
            <w:noWrap/>
            <w:vAlign w:val="center"/>
          </w:tcPr>
          <w:p w14:paraId="540384C0" w14:textId="77777777" w:rsidR="00EE3434" w:rsidRDefault="00EE3434" w:rsidP="00443AB4">
            <w:pPr>
              <w:spacing w:after="0" w:line="240" w:lineRule="auto"/>
              <w:jc w:val="both"/>
              <w:rPr>
                <w:rFonts w:ascii="Arial" w:eastAsia="Times New Roman" w:hAnsi="Arial" w:cs="Arial"/>
              </w:rPr>
            </w:pPr>
            <w:r>
              <w:rPr>
                <w:rFonts w:ascii="Arial" w:eastAsia="Times New Roman" w:hAnsi="Arial" w:cs="Arial"/>
              </w:rPr>
              <w:t>Revisión y seguimiento a la aplicación de la gestión de la continuidad en cada despacho.</w:t>
            </w:r>
          </w:p>
        </w:tc>
      </w:tr>
    </w:tbl>
    <w:p w14:paraId="3A78D811" w14:textId="77777777" w:rsidR="00EE3434" w:rsidRDefault="00EE3434" w:rsidP="00796137">
      <w:pPr>
        <w:spacing w:after="0" w:line="240" w:lineRule="auto"/>
        <w:ind w:right="142"/>
        <w:jc w:val="both"/>
        <w:rPr>
          <w:rFonts w:ascii="Arial" w:hAnsi="Arial" w:cs="Arial"/>
        </w:rPr>
      </w:pPr>
    </w:p>
    <w:p w14:paraId="52D2CC05" w14:textId="1BEAD4FB" w:rsidR="00E72DE5" w:rsidRDefault="008C038A" w:rsidP="00796137">
      <w:pPr>
        <w:spacing w:after="0" w:line="240" w:lineRule="auto"/>
        <w:ind w:right="142"/>
        <w:jc w:val="both"/>
        <w:rPr>
          <w:rFonts w:ascii="Arial" w:hAnsi="Arial" w:cs="Arial"/>
        </w:rPr>
      </w:pPr>
      <w:r w:rsidRPr="00E72DE5">
        <w:rPr>
          <w:rFonts w:ascii="Arial" w:hAnsi="Arial" w:cs="Arial"/>
        </w:rPr>
        <w:t xml:space="preserve">El estudio correspondiente </w:t>
      </w:r>
      <w:r w:rsidR="00EE3434">
        <w:rPr>
          <w:rFonts w:ascii="Arial" w:hAnsi="Arial" w:cs="Arial"/>
        </w:rPr>
        <w:t xml:space="preserve">al seguimiento de la implementación de la gestión de la continuidad por parte de las oficinas y despachos </w:t>
      </w:r>
      <w:r w:rsidRPr="00E72DE5">
        <w:rPr>
          <w:rFonts w:ascii="Arial" w:hAnsi="Arial" w:cs="Arial"/>
        </w:rPr>
        <w:t>está en revisión de la información generada, para elaboración de informe de diagnóstico.</w:t>
      </w:r>
    </w:p>
    <w:p w14:paraId="4E5E118D" w14:textId="77777777" w:rsidR="00E72DE5" w:rsidRDefault="00E72DE5" w:rsidP="00796137">
      <w:pPr>
        <w:spacing w:after="0" w:line="240" w:lineRule="auto"/>
        <w:ind w:right="142"/>
        <w:jc w:val="both"/>
        <w:rPr>
          <w:rFonts w:ascii="Arial" w:hAnsi="Arial" w:cs="Arial"/>
        </w:rPr>
      </w:pPr>
    </w:p>
    <w:p w14:paraId="648C8D10" w14:textId="0008F48D" w:rsidR="008C038A" w:rsidRDefault="00E72DE5" w:rsidP="00796137">
      <w:pPr>
        <w:spacing w:after="0" w:line="240" w:lineRule="auto"/>
        <w:ind w:right="142"/>
        <w:jc w:val="both"/>
        <w:rPr>
          <w:rFonts w:ascii="Arial" w:hAnsi="Arial" w:cs="Arial"/>
        </w:rPr>
      </w:pPr>
      <w:r>
        <w:rPr>
          <w:rFonts w:ascii="Arial" w:hAnsi="Arial" w:cs="Arial"/>
        </w:rPr>
        <w:t xml:space="preserve">Este informe no fue posible finalizarlo durante el periodo 2023, ya que el Subproceso tuvo que concentrar la labor en </w:t>
      </w:r>
      <w:r w:rsidR="000A4B72">
        <w:rPr>
          <w:rFonts w:ascii="Arial" w:hAnsi="Arial" w:cs="Arial"/>
        </w:rPr>
        <w:t xml:space="preserve">la </w:t>
      </w:r>
      <w:r>
        <w:rPr>
          <w:rFonts w:ascii="Arial" w:hAnsi="Arial" w:cs="Arial"/>
        </w:rPr>
        <w:t xml:space="preserve">realización del Análisis de Impacto al Servicio y para el cierre del año se tuvo que prescindir de un puesto profesional, debido a la falta de recursos en la partida de remuneraciones, que obligó a la institución al recorte de los permisos con goce de salario y sustitución otorgados para este y otros proyectos. </w:t>
      </w:r>
    </w:p>
    <w:p w14:paraId="529CBC33" w14:textId="61ECDCF2" w:rsidR="00E72DE5" w:rsidRDefault="00E72DE5" w:rsidP="00796137">
      <w:pPr>
        <w:spacing w:after="0" w:line="240" w:lineRule="auto"/>
        <w:ind w:right="142"/>
        <w:jc w:val="both"/>
        <w:rPr>
          <w:rFonts w:ascii="Arial" w:hAnsi="Arial" w:cs="Arial"/>
        </w:rPr>
      </w:pPr>
    </w:p>
    <w:p w14:paraId="56E529BF" w14:textId="1C244A6B" w:rsidR="00E72DE5" w:rsidRPr="00656A4C" w:rsidRDefault="00E72DE5" w:rsidP="00796137">
      <w:pPr>
        <w:spacing w:after="0" w:line="240" w:lineRule="auto"/>
        <w:ind w:right="142"/>
        <w:jc w:val="both"/>
        <w:rPr>
          <w:rFonts w:ascii="Arial" w:hAnsi="Arial" w:cs="Arial"/>
        </w:rPr>
      </w:pPr>
      <w:r>
        <w:rPr>
          <w:rFonts w:ascii="Arial" w:hAnsi="Arial" w:cs="Arial"/>
        </w:rPr>
        <w:t xml:space="preserve">Por tanto, el informe resultante se estará retomando en el primer trimestre del periodo 2024, para la presentación de resultados al Comité Técnico. </w:t>
      </w:r>
    </w:p>
    <w:p w14:paraId="7F0C83F6" w14:textId="77777777" w:rsidR="008C038A" w:rsidRPr="00656A4C" w:rsidRDefault="008C038A" w:rsidP="00796137">
      <w:pPr>
        <w:spacing w:after="0" w:line="240" w:lineRule="auto"/>
        <w:ind w:right="142"/>
        <w:rPr>
          <w:rFonts w:ascii="Arial" w:hAnsi="Arial" w:cs="Arial"/>
        </w:rPr>
      </w:pPr>
    </w:p>
    <w:p w14:paraId="1E2F7CD0"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Ejecución de pruebas y simulacros</w:t>
      </w:r>
    </w:p>
    <w:p w14:paraId="1ED40890" w14:textId="77777777" w:rsidR="008C038A" w:rsidRPr="00656A4C" w:rsidRDefault="008C038A" w:rsidP="00796137">
      <w:pPr>
        <w:spacing w:after="0" w:line="240" w:lineRule="auto"/>
        <w:ind w:right="142"/>
        <w:jc w:val="both"/>
        <w:rPr>
          <w:rFonts w:ascii="Arial" w:hAnsi="Arial" w:cs="Arial"/>
        </w:rPr>
      </w:pPr>
    </w:p>
    <w:p w14:paraId="47593D5A" w14:textId="77777777" w:rsidR="008C038A" w:rsidRPr="00656A4C" w:rsidRDefault="008C038A" w:rsidP="00796137">
      <w:pPr>
        <w:spacing w:after="0" w:line="240" w:lineRule="auto"/>
        <w:rPr>
          <w:rFonts w:ascii="Arial" w:hAnsi="Arial" w:cs="Arial"/>
        </w:rPr>
      </w:pPr>
      <w:r w:rsidRPr="00656A4C">
        <w:rPr>
          <w:rFonts w:ascii="Arial" w:hAnsi="Arial" w:cs="Arial"/>
        </w:rPr>
        <w:t>Durante el periodo 2023, se han realizado las siguientes pruebas a planes de continuidad:</w:t>
      </w:r>
    </w:p>
    <w:p w14:paraId="459372A6" w14:textId="77777777" w:rsidR="008C038A" w:rsidRPr="00656A4C" w:rsidRDefault="008C038A" w:rsidP="00796137">
      <w:pPr>
        <w:spacing w:after="0" w:line="240" w:lineRule="auto"/>
        <w:rPr>
          <w:rFonts w:ascii="Arial" w:hAnsi="Arial" w:cs="Arial"/>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3253"/>
        <w:gridCol w:w="4536"/>
      </w:tblGrid>
      <w:tr w:rsidR="008C038A" w:rsidRPr="00656A4C" w14:paraId="5F9ED914" w14:textId="77777777" w:rsidTr="0008581D">
        <w:trPr>
          <w:trHeight w:val="290"/>
          <w:tblHeader/>
          <w:jc w:val="center"/>
        </w:trPr>
        <w:tc>
          <w:tcPr>
            <w:tcW w:w="1420" w:type="dxa"/>
            <w:shd w:val="clear" w:color="auto" w:fill="auto"/>
            <w:noWrap/>
            <w:vAlign w:val="center"/>
            <w:hideMark/>
          </w:tcPr>
          <w:p w14:paraId="44A212AF" w14:textId="77777777" w:rsidR="008C038A" w:rsidRPr="00656A4C" w:rsidRDefault="008C038A" w:rsidP="00796137">
            <w:pPr>
              <w:spacing w:after="0" w:line="240" w:lineRule="auto"/>
              <w:jc w:val="center"/>
              <w:rPr>
                <w:rFonts w:ascii="Arial" w:eastAsia="Times New Roman" w:hAnsi="Arial" w:cs="Arial"/>
                <w:b/>
                <w:bCs/>
              </w:rPr>
            </w:pPr>
            <w:r w:rsidRPr="00656A4C">
              <w:rPr>
                <w:rFonts w:ascii="Arial" w:eastAsia="Times New Roman" w:hAnsi="Arial" w:cs="Arial"/>
                <w:b/>
                <w:bCs/>
              </w:rPr>
              <w:t>Fecha</w:t>
            </w:r>
          </w:p>
        </w:tc>
        <w:tc>
          <w:tcPr>
            <w:tcW w:w="3253" w:type="dxa"/>
            <w:shd w:val="clear" w:color="auto" w:fill="auto"/>
            <w:noWrap/>
            <w:vAlign w:val="center"/>
            <w:hideMark/>
          </w:tcPr>
          <w:p w14:paraId="18B3AF40" w14:textId="77777777" w:rsidR="008C038A" w:rsidRPr="00656A4C" w:rsidRDefault="008C038A" w:rsidP="00796137">
            <w:pPr>
              <w:spacing w:after="0" w:line="240" w:lineRule="auto"/>
              <w:jc w:val="center"/>
              <w:rPr>
                <w:rFonts w:ascii="Arial" w:eastAsia="Times New Roman" w:hAnsi="Arial" w:cs="Arial"/>
                <w:b/>
                <w:bCs/>
              </w:rPr>
            </w:pPr>
            <w:r w:rsidRPr="00656A4C">
              <w:rPr>
                <w:rFonts w:ascii="Arial" w:eastAsia="Times New Roman" w:hAnsi="Arial" w:cs="Arial"/>
                <w:b/>
                <w:bCs/>
              </w:rPr>
              <w:t>Oficina</w:t>
            </w:r>
          </w:p>
        </w:tc>
        <w:tc>
          <w:tcPr>
            <w:tcW w:w="4536" w:type="dxa"/>
            <w:shd w:val="clear" w:color="auto" w:fill="auto"/>
            <w:noWrap/>
            <w:vAlign w:val="center"/>
            <w:hideMark/>
          </w:tcPr>
          <w:p w14:paraId="4056DE67" w14:textId="77777777" w:rsidR="008C038A" w:rsidRPr="00656A4C" w:rsidRDefault="008C038A" w:rsidP="00796137">
            <w:pPr>
              <w:spacing w:after="0" w:line="240" w:lineRule="auto"/>
              <w:jc w:val="center"/>
              <w:rPr>
                <w:rFonts w:ascii="Arial" w:eastAsia="Times New Roman" w:hAnsi="Arial" w:cs="Arial"/>
                <w:b/>
                <w:bCs/>
              </w:rPr>
            </w:pPr>
            <w:r w:rsidRPr="00656A4C">
              <w:rPr>
                <w:rFonts w:ascii="Arial" w:eastAsia="Times New Roman" w:hAnsi="Arial" w:cs="Arial"/>
                <w:b/>
                <w:bCs/>
              </w:rPr>
              <w:t>Plan o escenario</w:t>
            </w:r>
          </w:p>
        </w:tc>
      </w:tr>
      <w:tr w:rsidR="008C038A" w:rsidRPr="00656A4C" w14:paraId="3418FAB1" w14:textId="77777777" w:rsidTr="0008581D">
        <w:trPr>
          <w:trHeight w:val="290"/>
          <w:jc w:val="center"/>
        </w:trPr>
        <w:tc>
          <w:tcPr>
            <w:tcW w:w="1420" w:type="dxa"/>
            <w:shd w:val="clear" w:color="auto" w:fill="auto"/>
            <w:noWrap/>
            <w:vAlign w:val="center"/>
          </w:tcPr>
          <w:p w14:paraId="6BFAAEED"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14-02-2023</w:t>
            </w:r>
          </w:p>
          <w:p w14:paraId="0B15B210"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28-03-2023</w:t>
            </w:r>
          </w:p>
        </w:tc>
        <w:tc>
          <w:tcPr>
            <w:tcW w:w="3253" w:type="dxa"/>
            <w:shd w:val="clear" w:color="auto" w:fill="auto"/>
            <w:noWrap/>
            <w:vAlign w:val="center"/>
          </w:tcPr>
          <w:p w14:paraId="5A5CBBF2"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BCR-Juzgado de Pensiones-FICO</w:t>
            </w:r>
          </w:p>
        </w:tc>
        <w:tc>
          <w:tcPr>
            <w:tcW w:w="4536" w:type="dxa"/>
            <w:shd w:val="clear" w:color="auto" w:fill="auto"/>
            <w:noWrap/>
            <w:vAlign w:val="center"/>
          </w:tcPr>
          <w:p w14:paraId="32A30C3B" w14:textId="77777777" w:rsidR="008C038A" w:rsidRPr="00656A4C" w:rsidRDefault="008C038A" w:rsidP="0008581D">
            <w:pPr>
              <w:spacing w:after="0" w:line="240" w:lineRule="auto"/>
              <w:jc w:val="both"/>
              <w:rPr>
                <w:rFonts w:ascii="Arial" w:eastAsia="Times New Roman" w:hAnsi="Arial" w:cs="Arial"/>
              </w:rPr>
            </w:pPr>
            <w:r w:rsidRPr="00656A4C">
              <w:rPr>
                <w:rFonts w:ascii="Arial" w:eastAsia="Times New Roman" w:hAnsi="Arial" w:cs="Arial"/>
              </w:rPr>
              <w:t>Procedimiento de contingencia BCR ante apagón tecnológico.</w:t>
            </w:r>
          </w:p>
        </w:tc>
      </w:tr>
      <w:tr w:rsidR="008C038A" w:rsidRPr="00656A4C" w14:paraId="2D0EAB56" w14:textId="77777777" w:rsidTr="0008581D">
        <w:trPr>
          <w:trHeight w:val="290"/>
          <w:jc w:val="center"/>
        </w:trPr>
        <w:tc>
          <w:tcPr>
            <w:tcW w:w="1420" w:type="dxa"/>
            <w:shd w:val="clear" w:color="auto" w:fill="auto"/>
            <w:noWrap/>
            <w:vAlign w:val="center"/>
          </w:tcPr>
          <w:p w14:paraId="3D56282D"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lastRenderedPageBreak/>
              <w:t>28-03-2023</w:t>
            </w:r>
          </w:p>
        </w:tc>
        <w:tc>
          <w:tcPr>
            <w:tcW w:w="3253" w:type="dxa"/>
            <w:shd w:val="clear" w:color="auto" w:fill="auto"/>
            <w:noWrap/>
            <w:vAlign w:val="center"/>
          </w:tcPr>
          <w:p w14:paraId="2D5011F4"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Limón</w:t>
            </w:r>
          </w:p>
        </w:tc>
        <w:tc>
          <w:tcPr>
            <w:tcW w:w="4536" w:type="dxa"/>
            <w:shd w:val="clear" w:color="auto" w:fill="auto"/>
            <w:noWrap/>
            <w:vAlign w:val="center"/>
          </w:tcPr>
          <w:p w14:paraId="73CD7BAE" w14:textId="77777777" w:rsidR="008C038A" w:rsidRPr="00656A4C" w:rsidRDefault="008C038A" w:rsidP="0008581D">
            <w:pPr>
              <w:spacing w:after="0" w:line="240" w:lineRule="auto"/>
              <w:jc w:val="both"/>
              <w:rPr>
                <w:rFonts w:ascii="Arial" w:eastAsia="Times New Roman" w:hAnsi="Arial" w:cs="Arial"/>
              </w:rPr>
            </w:pPr>
            <w:r w:rsidRPr="00656A4C">
              <w:rPr>
                <w:rFonts w:ascii="Arial" w:eastAsia="Times New Roman" w:hAnsi="Arial" w:cs="Arial"/>
              </w:rPr>
              <w:t>Apagón tecnológico total.</w:t>
            </w:r>
          </w:p>
        </w:tc>
      </w:tr>
      <w:tr w:rsidR="008C038A" w:rsidRPr="00656A4C" w14:paraId="55A2DFCA" w14:textId="77777777" w:rsidTr="0008581D">
        <w:trPr>
          <w:trHeight w:val="290"/>
          <w:jc w:val="center"/>
        </w:trPr>
        <w:tc>
          <w:tcPr>
            <w:tcW w:w="1420" w:type="dxa"/>
            <w:shd w:val="clear" w:color="auto" w:fill="auto"/>
            <w:noWrap/>
            <w:vAlign w:val="center"/>
          </w:tcPr>
          <w:p w14:paraId="26CFD617"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30-03-2023</w:t>
            </w:r>
          </w:p>
        </w:tc>
        <w:tc>
          <w:tcPr>
            <w:tcW w:w="3253" w:type="dxa"/>
            <w:shd w:val="clear" w:color="auto" w:fill="auto"/>
            <w:noWrap/>
            <w:vAlign w:val="center"/>
          </w:tcPr>
          <w:p w14:paraId="0E54EDA6"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Registro Judicial</w:t>
            </w:r>
          </w:p>
        </w:tc>
        <w:tc>
          <w:tcPr>
            <w:tcW w:w="4536" w:type="dxa"/>
            <w:shd w:val="clear" w:color="auto" w:fill="auto"/>
            <w:noWrap/>
            <w:vAlign w:val="center"/>
          </w:tcPr>
          <w:p w14:paraId="6B2DC31B" w14:textId="77777777" w:rsidR="008C038A" w:rsidRPr="00656A4C" w:rsidRDefault="008C038A" w:rsidP="0008581D">
            <w:pPr>
              <w:spacing w:after="0" w:line="240" w:lineRule="auto"/>
              <w:jc w:val="both"/>
              <w:rPr>
                <w:rFonts w:ascii="Arial" w:eastAsia="Times New Roman" w:hAnsi="Arial" w:cs="Arial"/>
              </w:rPr>
            </w:pPr>
            <w:r w:rsidRPr="00656A4C">
              <w:rPr>
                <w:rFonts w:ascii="Arial" w:eastAsia="Times New Roman" w:hAnsi="Arial" w:cs="Arial"/>
              </w:rPr>
              <w:t xml:space="preserve">Prueba interna del Registro Judicial: contingencia con Migración: Consulta a la base de datos del SOAP para impedimentos de salida del país, en escenario de apagón tecnológico. </w:t>
            </w:r>
          </w:p>
        </w:tc>
      </w:tr>
      <w:tr w:rsidR="008C038A" w:rsidRPr="00656A4C" w14:paraId="2081AC48" w14:textId="77777777" w:rsidTr="0008581D">
        <w:trPr>
          <w:trHeight w:val="290"/>
          <w:jc w:val="center"/>
        </w:trPr>
        <w:tc>
          <w:tcPr>
            <w:tcW w:w="1420" w:type="dxa"/>
            <w:shd w:val="clear" w:color="auto" w:fill="auto"/>
            <w:noWrap/>
            <w:vAlign w:val="center"/>
          </w:tcPr>
          <w:p w14:paraId="64702152"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14-4-2023</w:t>
            </w:r>
          </w:p>
        </w:tc>
        <w:tc>
          <w:tcPr>
            <w:tcW w:w="3253" w:type="dxa"/>
            <w:shd w:val="clear" w:color="auto" w:fill="auto"/>
            <w:noWrap/>
            <w:vAlign w:val="center"/>
          </w:tcPr>
          <w:p w14:paraId="3CBB37EE"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San Ramón</w:t>
            </w:r>
          </w:p>
        </w:tc>
        <w:tc>
          <w:tcPr>
            <w:tcW w:w="4536" w:type="dxa"/>
            <w:shd w:val="clear" w:color="auto" w:fill="auto"/>
            <w:noWrap/>
            <w:vAlign w:val="center"/>
          </w:tcPr>
          <w:p w14:paraId="755D89F0" w14:textId="77777777" w:rsidR="008C038A" w:rsidRPr="00656A4C" w:rsidRDefault="008C038A" w:rsidP="0008581D">
            <w:pPr>
              <w:spacing w:after="0" w:line="240" w:lineRule="auto"/>
              <w:jc w:val="both"/>
              <w:rPr>
                <w:rFonts w:ascii="Arial" w:eastAsia="Times New Roman" w:hAnsi="Arial" w:cs="Arial"/>
              </w:rPr>
            </w:pPr>
            <w:r w:rsidRPr="00656A4C">
              <w:rPr>
                <w:rFonts w:ascii="Arial" w:eastAsia="Times New Roman" w:hAnsi="Arial" w:cs="Arial"/>
              </w:rPr>
              <w:t>Apagón tecnológico total.</w:t>
            </w:r>
          </w:p>
        </w:tc>
      </w:tr>
      <w:tr w:rsidR="008C038A" w:rsidRPr="00656A4C" w14:paraId="6A767801" w14:textId="77777777" w:rsidTr="0008581D">
        <w:trPr>
          <w:trHeight w:val="290"/>
          <w:jc w:val="center"/>
        </w:trPr>
        <w:tc>
          <w:tcPr>
            <w:tcW w:w="1420" w:type="dxa"/>
            <w:shd w:val="clear" w:color="auto" w:fill="auto"/>
            <w:noWrap/>
            <w:vAlign w:val="center"/>
          </w:tcPr>
          <w:p w14:paraId="29BB15CF"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26-5-2023</w:t>
            </w:r>
          </w:p>
        </w:tc>
        <w:tc>
          <w:tcPr>
            <w:tcW w:w="3253" w:type="dxa"/>
            <w:shd w:val="clear" w:color="auto" w:fill="auto"/>
            <w:noWrap/>
            <w:vAlign w:val="center"/>
          </w:tcPr>
          <w:p w14:paraId="09405CE7"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Heredia</w:t>
            </w:r>
          </w:p>
        </w:tc>
        <w:tc>
          <w:tcPr>
            <w:tcW w:w="4536" w:type="dxa"/>
            <w:shd w:val="clear" w:color="auto" w:fill="auto"/>
            <w:noWrap/>
            <w:vAlign w:val="center"/>
          </w:tcPr>
          <w:p w14:paraId="0538ADF6"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8C038A" w:rsidRPr="00656A4C" w14:paraId="7B55A0DA" w14:textId="77777777" w:rsidTr="0008581D">
        <w:trPr>
          <w:trHeight w:val="650"/>
          <w:jc w:val="center"/>
        </w:trPr>
        <w:tc>
          <w:tcPr>
            <w:tcW w:w="1420" w:type="dxa"/>
            <w:shd w:val="clear" w:color="auto" w:fill="auto"/>
            <w:noWrap/>
            <w:vAlign w:val="center"/>
          </w:tcPr>
          <w:p w14:paraId="5DE69CB2"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15-6-2023</w:t>
            </w:r>
          </w:p>
        </w:tc>
        <w:tc>
          <w:tcPr>
            <w:tcW w:w="3253" w:type="dxa"/>
            <w:shd w:val="clear" w:color="auto" w:fill="auto"/>
            <w:noWrap/>
            <w:vAlign w:val="center"/>
          </w:tcPr>
          <w:p w14:paraId="73164CCD"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Oficina de Defensa Civil de la Víctima</w:t>
            </w:r>
          </w:p>
        </w:tc>
        <w:tc>
          <w:tcPr>
            <w:tcW w:w="4536" w:type="dxa"/>
            <w:shd w:val="clear" w:color="auto" w:fill="auto"/>
            <w:noWrap/>
            <w:vAlign w:val="center"/>
          </w:tcPr>
          <w:p w14:paraId="398D4324" w14:textId="77777777" w:rsidR="008C038A" w:rsidRPr="00656A4C" w:rsidRDefault="008C038A" w:rsidP="00796137">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367E80" w:rsidRPr="00656A4C" w14:paraId="5B221348" w14:textId="77777777" w:rsidTr="0008581D">
        <w:trPr>
          <w:trHeight w:val="650"/>
          <w:jc w:val="center"/>
        </w:trPr>
        <w:tc>
          <w:tcPr>
            <w:tcW w:w="1420" w:type="dxa"/>
            <w:shd w:val="clear" w:color="auto" w:fill="auto"/>
            <w:noWrap/>
            <w:vAlign w:val="center"/>
          </w:tcPr>
          <w:p w14:paraId="7B0F6356" w14:textId="5B121D7E" w:rsidR="00367E80" w:rsidRDefault="00367E80" w:rsidP="00796137">
            <w:pPr>
              <w:spacing w:after="0" w:line="240" w:lineRule="auto"/>
              <w:rPr>
                <w:rFonts w:ascii="Arial" w:eastAsia="Times New Roman" w:hAnsi="Arial" w:cs="Arial"/>
              </w:rPr>
            </w:pPr>
            <w:r>
              <w:rPr>
                <w:rFonts w:ascii="Arial" w:eastAsia="Times New Roman" w:hAnsi="Arial" w:cs="Arial"/>
              </w:rPr>
              <w:t>19-10-2023</w:t>
            </w:r>
          </w:p>
        </w:tc>
        <w:tc>
          <w:tcPr>
            <w:tcW w:w="3253" w:type="dxa"/>
            <w:shd w:val="clear" w:color="auto" w:fill="auto"/>
            <w:noWrap/>
            <w:vAlign w:val="center"/>
          </w:tcPr>
          <w:p w14:paraId="1862D700" w14:textId="264CD811" w:rsidR="00367E80" w:rsidRDefault="00367E80" w:rsidP="00796137">
            <w:pPr>
              <w:spacing w:after="0" w:line="240" w:lineRule="auto"/>
              <w:jc w:val="both"/>
              <w:rPr>
                <w:rFonts w:ascii="Arial" w:eastAsia="Times New Roman" w:hAnsi="Arial" w:cs="Arial"/>
              </w:rPr>
            </w:pPr>
            <w:r>
              <w:rPr>
                <w:rFonts w:ascii="Arial" w:eastAsia="Times New Roman" w:hAnsi="Arial" w:cs="Arial"/>
              </w:rPr>
              <w:t>Registro Judicial y Dirección General de Migración y Extranjería</w:t>
            </w:r>
          </w:p>
        </w:tc>
        <w:tc>
          <w:tcPr>
            <w:tcW w:w="4536" w:type="dxa"/>
            <w:shd w:val="clear" w:color="auto" w:fill="auto"/>
            <w:noWrap/>
            <w:vAlign w:val="center"/>
          </w:tcPr>
          <w:p w14:paraId="22DEDF1D" w14:textId="23D9B70F" w:rsidR="00367E80" w:rsidRDefault="003B1BF5" w:rsidP="00796137">
            <w:pPr>
              <w:spacing w:after="0" w:line="240" w:lineRule="auto"/>
              <w:jc w:val="both"/>
              <w:rPr>
                <w:rFonts w:ascii="Arial" w:eastAsia="Times New Roman" w:hAnsi="Arial" w:cs="Arial"/>
              </w:rPr>
            </w:pPr>
            <w:r w:rsidRPr="003B1BF5">
              <w:rPr>
                <w:rFonts w:ascii="Arial" w:eastAsia="Times New Roman" w:hAnsi="Arial" w:cs="Arial"/>
              </w:rPr>
              <w:t>Aplicación de prueba del plan de continuidad de servicio para el caso donde el Poder Judicial sufra un ciberataque que afecte la base de datos con información de impedimentos de salida del país.</w:t>
            </w:r>
          </w:p>
        </w:tc>
      </w:tr>
      <w:tr w:rsidR="002B3473" w:rsidRPr="00656A4C" w14:paraId="5146745D" w14:textId="77777777" w:rsidTr="0008581D">
        <w:trPr>
          <w:trHeight w:val="650"/>
          <w:jc w:val="center"/>
        </w:trPr>
        <w:tc>
          <w:tcPr>
            <w:tcW w:w="1420" w:type="dxa"/>
            <w:shd w:val="clear" w:color="auto" w:fill="auto"/>
            <w:noWrap/>
            <w:vAlign w:val="center"/>
          </w:tcPr>
          <w:p w14:paraId="1FACB267" w14:textId="5DB1008A" w:rsidR="002B3473" w:rsidRDefault="0079543F" w:rsidP="00796137">
            <w:pPr>
              <w:spacing w:after="0" w:line="240" w:lineRule="auto"/>
              <w:rPr>
                <w:rFonts w:ascii="Arial" w:eastAsia="Times New Roman" w:hAnsi="Arial" w:cs="Arial"/>
              </w:rPr>
            </w:pPr>
            <w:r>
              <w:rPr>
                <w:rFonts w:ascii="Arial" w:eastAsia="Times New Roman" w:hAnsi="Arial" w:cs="Arial"/>
              </w:rPr>
              <w:t>07-11-2023</w:t>
            </w:r>
          </w:p>
        </w:tc>
        <w:tc>
          <w:tcPr>
            <w:tcW w:w="3253" w:type="dxa"/>
            <w:shd w:val="clear" w:color="auto" w:fill="auto"/>
            <w:noWrap/>
            <w:vAlign w:val="center"/>
          </w:tcPr>
          <w:p w14:paraId="22CDBEDA" w14:textId="77777777" w:rsidR="002B3473" w:rsidRDefault="0079543F" w:rsidP="00796137">
            <w:pPr>
              <w:spacing w:after="0" w:line="240" w:lineRule="auto"/>
              <w:jc w:val="both"/>
              <w:rPr>
                <w:rFonts w:ascii="Arial" w:eastAsia="Times New Roman" w:hAnsi="Arial" w:cs="Arial"/>
              </w:rPr>
            </w:pPr>
            <w:r>
              <w:rPr>
                <w:rFonts w:ascii="Arial" w:eastAsia="Times New Roman" w:hAnsi="Arial" w:cs="Arial"/>
              </w:rPr>
              <w:t>Juzgado Penal Juvenil del II Circuito Judicial de Alajuela</w:t>
            </w:r>
          </w:p>
          <w:p w14:paraId="3F44CDCB" w14:textId="619A655E" w:rsidR="00617113" w:rsidRDefault="00617113" w:rsidP="00617113">
            <w:pPr>
              <w:spacing w:after="0" w:line="240" w:lineRule="auto"/>
              <w:jc w:val="center"/>
              <w:rPr>
                <w:rFonts w:ascii="Arial" w:eastAsia="Times New Roman" w:hAnsi="Arial" w:cs="Arial"/>
              </w:rPr>
            </w:pPr>
            <w:r>
              <w:rPr>
                <w:rFonts w:ascii="Arial" w:eastAsia="Times New Roman" w:hAnsi="Arial" w:cs="Arial"/>
              </w:rPr>
              <w:object w:dxaOrig="1508" w:dyaOrig="984" w14:anchorId="7B2FBC8F">
                <v:shape id="_x0000_i1029" type="#_x0000_t75" style="width:75.1pt;height:49.45pt" o:ole="">
                  <v:imagedata r:id="rId18" o:title=""/>
                </v:shape>
                <o:OLEObject Type="Embed" ProgID="Package" ShapeID="_x0000_i1029" DrawAspect="Icon" ObjectID="_1767530409" r:id="rId19"/>
              </w:object>
            </w:r>
          </w:p>
        </w:tc>
        <w:tc>
          <w:tcPr>
            <w:tcW w:w="4536" w:type="dxa"/>
            <w:shd w:val="clear" w:color="auto" w:fill="auto"/>
            <w:noWrap/>
            <w:vAlign w:val="center"/>
          </w:tcPr>
          <w:p w14:paraId="4D97BD50" w14:textId="4B0FF46F" w:rsidR="002B3473" w:rsidRDefault="0079543F" w:rsidP="00796137">
            <w:pPr>
              <w:spacing w:after="0" w:line="240" w:lineRule="auto"/>
              <w:jc w:val="both"/>
              <w:rPr>
                <w:rFonts w:ascii="Arial" w:eastAsia="Times New Roman" w:hAnsi="Arial" w:cs="Arial"/>
              </w:rPr>
            </w:pPr>
            <w:r>
              <w:rPr>
                <w:rFonts w:ascii="Arial" w:eastAsia="Times New Roman" w:hAnsi="Arial" w:cs="Arial"/>
              </w:rPr>
              <w:t xml:space="preserve">Aplicación de prueba del plan de continuidad de servicio </w:t>
            </w:r>
            <w:r w:rsidRPr="009B2FBC">
              <w:rPr>
                <w:rFonts w:ascii="Arial" w:eastAsia="Times New Roman" w:hAnsi="Arial" w:cs="Arial"/>
              </w:rPr>
              <w:t>para el caso donde el Poder Judicial sufra un ciberataque</w:t>
            </w:r>
            <w:r>
              <w:rPr>
                <w:rFonts w:ascii="Arial" w:eastAsia="Times New Roman" w:hAnsi="Arial" w:cs="Arial"/>
              </w:rPr>
              <w:t>, con l</w:t>
            </w:r>
            <w:r w:rsidR="00617113">
              <w:rPr>
                <w:rFonts w:ascii="Arial" w:eastAsia="Times New Roman" w:hAnsi="Arial" w:cs="Arial"/>
              </w:rPr>
              <w:t>a</w:t>
            </w:r>
            <w:r>
              <w:rPr>
                <w:rFonts w:ascii="Arial" w:eastAsia="Times New Roman" w:hAnsi="Arial" w:cs="Arial"/>
              </w:rPr>
              <w:t xml:space="preserve"> ejecución de un simulacro de apagón tecnológico.</w:t>
            </w:r>
          </w:p>
        </w:tc>
      </w:tr>
      <w:tr w:rsidR="00617113" w:rsidRPr="00656A4C" w14:paraId="50A4EC13" w14:textId="77777777" w:rsidTr="0008581D">
        <w:trPr>
          <w:trHeight w:val="650"/>
          <w:jc w:val="center"/>
        </w:trPr>
        <w:tc>
          <w:tcPr>
            <w:tcW w:w="1420" w:type="dxa"/>
            <w:shd w:val="clear" w:color="auto" w:fill="auto"/>
            <w:noWrap/>
            <w:vAlign w:val="center"/>
          </w:tcPr>
          <w:p w14:paraId="2A2926D1" w14:textId="6BC023AB" w:rsidR="00617113" w:rsidRDefault="00617113" w:rsidP="00617113">
            <w:pPr>
              <w:spacing w:after="0" w:line="240" w:lineRule="auto"/>
              <w:rPr>
                <w:rFonts w:ascii="Arial" w:eastAsia="Times New Roman" w:hAnsi="Arial" w:cs="Arial"/>
              </w:rPr>
            </w:pPr>
            <w:r>
              <w:rPr>
                <w:rFonts w:ascii="Arial" w:eastAsia="Times New Roman" w:hAnsi="Arial" w:cs="Arial"/>
              </w:rPr>
              <w:t>07-11-2023</w:t>
            </w:r>
          </w:p>
        </w:tc>
        <w:tc>
          <w:tcPr>
            <w:tcW w:w="3253" w:type="dxa"/>
            <w:shd w:val="clear" w:color="auto" w:fill="auto"/>
            <w:noWrap/>
            <w:vAlign w:val="center"/>
          </w:tcPr>
          <w:p w14:paraId="10F402B2" w14:textId="77777777" w:rsidR="00617113" w:rsidRDefault="00617113" w:rsidP="00617113">
            <w:pPr>
              <w:spacing w:after="0" w:line="240" w:lineRule="auto"/>
              <w:jc w:val="both"/>
              <w:rPr>
                <w:rFonts w:ascii="Arial" w:eastAsia="Times New Roman" w:hAnsi="Arial" w:cs="Arial"/>
              </w:rPr>
            </w:pPr>
            <w:r>
              <w:rPr>
                <w:rFonts w:ascii="Arial" w:eastAsia="Times New Roman" w:hAnsi="Arial" w:cs="Arial"/>
              </w:rPr>
              <w:t>Visita a:</w:t>
            </w:r>
          </w:p>
          <w:p w14:paraId="461C8CD1" w14:textId="2C0F64BB" w:rsidR="00617113" w:rsidRPr="00367E80" w:rsidRDefault="00617113" w:rsidP="00617113">
            <w:pPr>
              <w:pStyle w:val="Prrafodelista"/>
              <w:numPr>
                <w:ilvl w:val="0"/>
                <w:numId w:val="14"/>
              </w:numPr>
              <w:ind w:left="345" w:hanging="283"/>
              <w:rPr>
                <w:rFonts w:ascii="Arial" w:hAnsi="Arial" w:cs="Arial"/>
              </w:rPr>
            </w:pPr>
            <w:r w:rsidRPr="00367E80">
              <w:rPr>
                <w:rFonts w:ascii="Arial" w:hAnsi="Arial" w:cs="Arial"/>
              </w:rPr>
              <w:t xml:space="preserve">Juzgado de Familia </w:t>
            </w:r>
            <w:r>
              <w:rPr>
                <w:rFonts w:ascii="Arial" w:hAnsi="Arial" w:cs="Arial"/>
              </w:rPr>
              <w:t>del II Circuito Judicial de Alajuela</w:t>
            </w:r>
          </w:p>
          <w:p w14:paraId="5052FFAC" w14:textId="162D3C79" w:rsidR="00617113" w:rsidRPr="00367E80" w:rsidRDefault="00617113" w:rsidP="00617113">
            <w:pPr>
              <w:pStyle w:val="Prrafodelista"/>
              <w:numPr>
                <w:ilvl w:val="0"/>
                <w:numId w:val="14"/>
              </w:numPr>
              <w:ind w:left="345" w:hanging="283"/>
              <w:rPr>
                <w:rFonts w:ascii="Arial" w:hAnsi="Arial" w:cs="Arial"/>
              </w:rPr>
            </w:pPr>
            <w:r w:rsidRPr="00367E80">
              <w:rPr>
                <w:rFonts w:ascii="Arial" w:hAnsi="Arial" w:cs="Arial"/>
              </w:rPr>
              <w:t xml:space="preserve">Juzgado de Pensiones </w:t>
            </w:r>
            <w:r>
              <w:rPr>
                <w:rFonts w:ascii="Arial" w:hAnsi="Arial" w:cs="Arial"/>
              </w:rPr>
              <w:t>del II Circuito Judicial de Alajuela</w:t>
            </w:r>
          </w:p>
          <w:p w14:paraId="1B2749D8" w14:textId="1B877B29" w:rsidR="00617113" w:rsidRDefault="00617113" w:rsidP="00617113">
            <w:pPr>
              <w:pStyle w:val="Prrafodelista"/>
              <w:numPr>
                <w:ilvl w:val="0"/>
                <w:numId w:val="14"/>
              </w:numPr>
              <w:ind w:left="345" w:hanging="283"/>
              <w:rPr>
                <w:rFonts w:ascii="Arial" w:hAnsi="Arial" w:cs="Arial"/>
              </w:rPr>
            </w:pPr>
            <w:r w:rsidRPr="00367E80">
              <w:rPr>
                <w:rFonts w:ascii="Arial" w:hAnsi="Arial" w:cs="Arial"/>
              </w:rPr>
              <w:t>Juzgado de Violencia Doméstic</w:t>
            </w:r>
            <w:r>
              <w:rPr>
                <w:rFonts w:ascii="Arial" w:hAnsi="Arial" w:cs="Arial"/>
              </w:rPr>
              <w:t>a del II Circuito Judicial de Alajuela</w:t>
            </w:r>
          </w:p>
          <w:p w14:paraId="395B02BC" w14:textId="77777777" w:rsidR="00617113" w:rsidRDefault="00617113" w:rsidP="00617113">
            <w:pPr>
              <w:pStyle w:val="Prrafodelista"/>
              <w:numPr>
                <w:ilvl w:val="0"/>
                <w:numId w:val="14"/>
              </w:numPr>
              <w:ind w:left="345" w:hanging="283"/>
              <w:rPr>
                <w:rFonts w:ascii="Arial" w:hAnsi="Arial" w:cs="Arial"/>
              </w:rPr>
            </w:pPr>
            <w:r w:rsidRPr="00617113">
              <w:rPr>
                <w:rFonts w:ascii="Arial" w:hAnsi="Arial" w:cs="Arial"/>
              </w:rPr>
              <w:t>Tribunal Penal del II Circuito Judicial de Alajuela</w:t>
            </w:r>
          </w:p>
          <w:p w14:paraId="07C2F413" w14:textId="329FC7AF" w:rsidR="00617113" w:rsidRPr="00617113" w:rsidRDefault="00617113" w:rsidP="00617113">
            <w:pPr>
              <w:pStyle w:val="Prrafodelista"/>
              <w:numPr>
                <w:ilvl w:val="0"/>
                <w:numId w:val="14"/>
              </w:numPr>
              <w:ind w:left="345" w:hanging="283"/>
              <w:rPr>
                <w:rFonts w:ascii="Arial" w:hAnsi="Arial" w:cs="Arial"/>
              </w:rPr>
            </w:pPr>
            <w:r>
              <w:rPr>
                <w:rFonts w:ascii="Arial" w:hAnsi="Arial" w:cs="Arial"/>
              </w:rPr>
              <w:t>Juzgado Penal del II Circuito Judicial de Alajuela</w:t>
            </w:r>
          </w:p>
        </w:tc>
        <w:tc>
          <w:tcPr>
            <w:tcW w:w="4536" w:type="dxa"/>
            <w:shd w:val="clear" w:color="auto" w:fill="auto"/>
            <w:noWrap/>
            <w:vAlign w:val="center"/>
          </w:tcPr>
          <w:p w14:paraId="5D1A2FB4" w14:textId="7837AC87" w:rsidR="00617113" w:rsidRDefault="00617113" w:rsidP="00617113">
            <w:pPr>
              <w:spacing w:after="0" w:line="240" w:lineRule="auto"/>
              <w:jc w:val="both"/>
              <w:rPr>
                <w:rFonts w:ascii="Arial" w:eastAsia="Times New Roman" w:hAnsi="Arial" w:cs="Arial"/>
              </w:rPr>
            </w:pPr>
            <w:r>
              <w:rPr>
                <w:rFonts w:ascii="Arial" w:eastAsia="Times New Roman" w:hAnsi="Arial" w:cs="Arial"/>
              </w:rPr>
              <w:t>Revisión y seguimiento a la aplicación de la gestión de la continuidad en cada despacho.</w:t>
            </w:r>
          </w:p>
        </w:tc>
      </w:tr>
    </w:tbl>
    <w:p w14:paraId="1F08D72A" w14:textId="77777777" w:rsidR="008C038A" w:rsidRPr="00656A4C" w:rsidRDefault="008C038A" w:rsidP="00796137">
      <w:pPr>
        <w:spacing w:after="0" w:line="240" w:lineRule="auto"/>
        <w:rPr>
          <w:rFonts w:ascii="Arial" w:hAnsi="Arial" w:cs="Arial"/>
        </w:rPr>
      </w:pPr>
    </w:p>
    <w:p w14:paraId="5A14C03C" w14:textId="6D3B9EB3" w:rsidR="0008581D" w:rsidRDefault="0008581D" w:rsidP="0008581D">
      <w:pPr>
        <w:spacing w:after="0" w:line="240" w:lineRule="auto"/>
        <w:jc w:val="both"/>
        <w:rPr>
          <w:rFonts w:ascii="Arial" w:hAnsi="Arial" w:cs="Arial"/>
        </w:rPr>
      </w:pPr>
      <w:r w:rsidRPr="00FF5870">
        <w:rPr>
          <w:rFonts w:ascii="Arial" w:hAnsi="Arial" w:cs="Arial"/>
        </w:rPr>
        <w:t xml:space="preserve">En relación con la aplicación de ejercicio de prueba, si bien, estos son fundamentales en la implantación del sistema, carecen de sentido para las oficinas y despachos judiciales que no han cubierto las etapas precedentes, de concientización, capacitación, divulgación de planes ante los diferentes escenarios; de manera que no fue posible realizar más pruebas </w:t>
      </w:r>
      <w:r w:rsidRPr="00FF5870">
        <w:rPr>
          <w:rFonts w:ascii="Arial" w:hAnsi="Arial" w:cs="Arial"/>
        </w:rPr>
        <w:lastRenderedPageBreak/>
        <w:t>debido</w:t>
      </w:r>
      <w:r w:rsidR="00FF5870" w:rsidRPr="00FF5870">
        <w:rPr>
          <w:rFonts w:ascii="Arial" w:hAnsi="Arial" w:cs="Arial"/>
        </w:rPr>
        <w:t xml:space="preserve"> a</w:t>
      </w:r>
      <w:r w:rsidRPr="00FF5870">
        <w:rPr>
          <w:rFonts w:ascii="Arial" w:hAnsi="Arial" w:cs="Arial"/>
        </w:rPr>
        <w:t xml:space="preserve"> la necesidad de verificar </w:t>
      </w:r>
      <w:r w:rsidR="00FF5870" w:rsidRPr="00FF5870">
        <w:rPr>
          <w:rFonts w:ascii="Arial" w:hAnsi="Arial" w:cs="Arial"/>
        </w:rPr>
        <w:t>que</w:t>
      </w:r>
      <w:r w:rsidRPr="00FF5870">
        <w:rPr>
          <w:rFonts w:ascii="Arial" w:hAnsi="Arial" w:cs="Arial"/>
        </w:rPr>
        <w:t xml:space="preserve"> los despachos y oficinas judiciales han realizado la</w:t>
      </w:r>
      <w:r w:rsidR="00FF5870" w:rsidRPr="00FF5870">
        <w:rPr>
          <w:rFonts w:ascii="Arial" w:hAnsi="Arial" w:cs="Arial"/>
        </w:rPr>
        <w:t>s</w:t>
      </w:r>
      <w:r w:rsidRPr="00FF5870">
        <w:rPr>
          <w:rFonts w:ascii="Arial" w:hAnsi="Arial" w:cs="Arial"/>
        </w:rPr>
        <w:t xml:space="preserve"> acciones previas de conocimiento de planes y preparación interna para su ejecución.</w:t>
      </w:r>
      <w:r>
        <w:rPr>
          <w:rFonts w:ascii="Arial" w:hAnsi="Arial" w:cs="Arial"/>
        </w:rPr>
        <w:t xml:space="preserve"> </w:t>
      </w:r>
    </w:p>
    <w:p w14:paraId="35342021" w14:textId="2BC1507B" w:rsidR="0008581D" w:rsidRDefault="0008581D" w:rsidP="00796137">
      <w:pPr>
        <w:spacing w:after="0" w:line="240" w:lineRule="auto"/>
        <w:ind w:right="142"/>
        <w:jc w:val="both"/>
        <w:rPr>
          <w:rFonts w:ascii="Arial" w:hAnsi="Arial" w:cs="Arial"/>
        </w:rPr>
      </w:pPr>
    </w:p>
    <w:p w14:paraId="16603C09" w14:textId="1DBBC863" w:rsidR="00DC429C" w:rsidRDefault="00DC429C" w:rsidP="00796137">
      <w:pPr>
        <w:spacing w:after="0" w:line="240" w:lineRule="auto"/>
        <w:ind w:right="142"/>
        <w:jc w:val="both"/>
        <w:rPr>
          <w:rFonts w:ascii="Arial" w:hAnsi="Arial" w:cs="Arial"/>
        </w:rPr>
      </w:pPr>
      <w:r>
        <w:rPr>
          <w:rFonts w:ascii="Arial" w:hAnsi="Arial" w:cs="Arial"/>
        </w:rPr>
        <w:t xml:space="preserve">Para el periodo 2024, la labor del Subproceso concentrará esfuerzos en la aplicación de pruebas a los planes de continuidad del servicio para las oficinas y despachos con procesos y servicios críticos o esenciales. </w:t>
      </w:r>
    </w:p>
    <w:p w14:paraId="661DB21C" w14:textId="77777777" w:rsidR="00DC429C" w:rsidRPr="00656A4C" w:rsidRDefault="00DC429C" w:rsidP="00796137">
      <w:pPr>
        <w:spacing w:after="0" w:line="240" w:lineRule="auto"/>
        <w:ind w:right="142"/>
        <w:jc w:val="both"/>
        <w:rPr>
          <w:rFonts w:ascii="Arial" w:hAnsi="Arial" w:cs="Arial"/>
        </w:rPr>
      </w:pPr>
    </w:p>
    <w:p w14:paraId="40BC7BE7" w14:textId="77777777" w:rsidR="008C038A" w:rsidRPr="00754730" w:rsidRDefault="008C038A" w:rsidP="00796137">
      <w:pPr>
        <w:pStyle w:val="Prrafodelista"/>
        <w:numPr>
          <w:ilvl w:val="0"/>
          <w:numId w:val="11"/>
        </w:numPr>
        <w:ind w:right="142"/>
        <w:rPr>
          <w:rFonts w:ascii="Arial" w:hAnsi="Arial" w:cs="Arial"/>
          <w:b/>
          <w:bCs/>
        </w:rPr>
      </w:pPr>
      <w:r w:rsidRPr="00754730">
        <w:rPr>
          <w:rFonts w:ascii="Arial" w:hAnsi="Arial" w:cs="Arial"/>
          <w:b/>
          <w:bCs/>
        </w:rPr>
        <w:t>Actualización del Análisis de Impacto al Servicio</w:t>
      </w:r>
    </w:p>
    <w:p w14:paraId="19EA32C0" w14:textId="77777777" w:rsidR="008C038A" w:rsidRPr="00656A4C" w:rsidRDefault="008C038A" w:rsidP="00796137">
      <w:pPr>
        <w:spacing w:after="0" w:line="240" w:lineRule="auto"/>
        <w:ind w:right="142"/>
        <w:jc w:val="both"/>
        <w:rPr>
          <w:rFonts w:ascii="Arial" w:hAnsi="Arial" w:cs="Arial"/>
        </w:rPr>
      </w:pPr>
    </w:p>
    <w:p w14:paraId="37A89FE3" w14:textId="5B7A6077" w:rsidR="00FC2449" w:rsidRDefault="008C038A" w:rsidP="00796137">
      <w:pPr>
        <w:spacing w:after="0" w:line="240" w:lineRule="auto"/>
        <w:ind w:right="142"/>
        <w:jc w:val="both"/>
        <w:rPr>
          <w:rFonts w:ascii="Arial" w:hAnsi="Arial" w:cs="Arial"/>
        </w:rPr>
      </w:pPr>
      <w:r w:rsidRPr="00656A4C">
        <w:rPr>
          <w:rFonts w:ascii="Arial" w:hAnsi="Arial" w:cs="Arial"/>
        </w:rPr>
        <w:t>Se elaboró el Modelo para la Priorización de Procesos institucionales, el cual fue presentado al Comité Técnico el 11 de agosto de 2023</w:t>
      </w:r>
      <w:r w:rsidR="00FC2449">
        <w:rPr>
          <w:rFonts w:ascii="Arial" w:hAnsi="Arial" w:cs="Arial"/>
        </w:rPr>
        <w:t xml:space="preserve"> y aprobado finalmente en la sesión 05-2023 del </w:t>
      </w:r>
      <w:r w:rsidR="00FC2449" w:rsidRPr="00FC2449">
        <w:rPr>
          <w:rFonts w:ascii="Arial" w:hAnsi="Arial" w:cs="Arial"/>
        </w:rPr>
        <w:t>1 de noviembre de 2023</w:t>
      </w:r>
      <w:r w:rsidRPr="00656A4C">
        <w:rPr>
          <w:rFonts w:ascii="Arial" w:hAnsi="Arial" w:cs="Arial"/>
        </w:rPr>
        <w:t xml:space="preserve">. </w:t>
      </w:r>
      <w:r w:rsidR="006A25DB">
        <w:rPr>
          <w:rFonts w:ascii="Arial" w:hAnsi="Arial" w:cs="Arial"/>
        </w:rPr>
        <w:t>Este modelo fue puesto en consulta de varias oficinas de previo a someterlo a la consideración del Comité Técnico.</w:t>
      </w:r>
    </w:p>
    <w:p w14:paraId="42119C8D" w14:textId="77777777" w:rsidR="00FC2449" w:rsidRDefault="00FC2449" w:rsidP="00796137">
      <w:pPr>
        <w:spacing w:after="0" w:line="240" w:lineRule="auto"/>
        <w:ind w:right="142"/>
        <w:jc w:val="both"/>
        <w:rPr>
          <w:rFonts w:ascii="Arial" w:hAnsi="Arial" w:cs="Arial"/>
        </w:rPr>
      </w:pPr>
    </w:p>
    <w:p w14:paraId="48A99D75" w14:textId="335DD6A5" w:rsidR="008C038A" w:rsidRDefault="008C038A" w:rsidP="00796137">
      <w:pPr>
        <w:spacing w:after="0" w:line="240" w:lineRule="auto"/>
        <w:ind w:right="142"/>
        <w:jc w:val="both"/>
        <w:rPr>
          <w:rFonts w:ascii="Arial" w:hAnsi="Arial" w:cs="Arial"/>
        </w:rPr>
      </w:pPr>
      <w:r w:rsidRPr="00656A4C">
        <w:rPr>
          <w:rFonts w:ascii="Arial" w:hAnsi="Arial" w:cs="Arial"/>
        </w:rPr>
        <w:t>De setiembre</w:t>
      </w:r>
      <w:r w:rsidR="00FC2449">
        <w:rPr>
          <w:rFonts w:ascii="Arial" w:hAnsi="Arial" w:cs="Arial"/>
        </w:rPr>
        <w:t xml:space="preserve"> a diciembre</w:t>
      </w:r>
      <w:r w:rsidRPr="00656A4C">
        <w:rPr>
          <w:rFonts w:ascii="Arial" w:hAnsi="Arial" w:cs="Arial"/>
        </w:rPr>
        <w:t xml:space="preserve"> se realiza</w:t>
      </w:r>
      <w:r w:rsidR="00FC2449">
        <w:rPr>
          <w:rFonts w:ascii="Arial" w:hAnsi="Arial" w:cs="Arial"/>
        </w:rPr>
        <w:t>ron</w:t>
      </w:r>
      <w:r w:rsidRPr="00656A4C">
        <w:rPr>
          <w:rFonts w:ascii="Arial" w:hAnsi="Arial" w:cs="Arial"/>
        </w:rPr>
        <w:t xml:space="preserve"> </w:t>
      </w:r>
      <w:r w:rsidR="00754730">
        <w:rPr>
          <w:rFonts w:ascii="Arial" w:hAnsi="Arial" w:cs="Arial"/>
        </w:rPr>
        <w:t>48</w:t>
      </w:r>
      <w:r w:rsidR="00FC2449">
        <w:rPr>
          <w:rFonts w:ascii="Arial" w:hAnsi="Arial" w:cs="Arial"/>
        </w:rPr>
        <w:t xml:space="preserve"> reuniones</w:t>
      </w:r>
      <w:r w:rsidR="006A25DB">
        <w:rPr>
          <w:rFonts w:ascii="Arial" w:hAnsi="Arial" w:cs="Arial"/>
        </w:rPr>
        <w:t xml:space="preserve"> y talleres</w:t>
      </w:r>
      <w:r w:rsidR="00FC2449">
        <w:rPr>
          <w:rFonts w:ascii="Arial" w:hAnsi="Arial" w:cs="Arial"/>
        </w:rPr>
        <w:t xml:space="preserve"> </w:t>
      </w:r>
      <w:r w:rsidR="006A25DB" w:rsidRPr="00656A4C">
        <w:rPr>
          <w:rFonts w:ascii="Arial" w:hAnsi="Arial" w:cs="Arial"/>
        </w:rPr>
        <w:t>con las oficinas y despachos dueños de procesos</w:t>
      </w:r>
      <w:r w:rsidR="006A25DB">
        <w:rPr>
          <w:rFonts w:ascii="Arial" w:hAnsi="Arial" w:cs="Arial"/>
        </w:rPr>
        <w:t xml:space="preserve"> </w:t>
      </w:r>
      <w:r w:rsidR="00FC2449">
        <w:rPr>
          <w:rFonts w:ascii="Arial" w:hAnsi="Arial" w:cs="Arial"/>
        </w:rPr>
        <w:t xml:space="preserve">para aplicar </w:t>
      </w:r>
      <w:r w:rsidRPr="00656A4C">
        <w:rPr>
          <w:rFonts w:ascii="Arial" w:hAnsi="Arial" w:cs="Arial"/>
        </w:rPr>
        <w:t xml:space="preserve">los </w:t>
      </w:r>
      <w:r w:rsidR="006A25DB">
        <w:rPr>
          <w:rFonts w:ascii="Arial" w:hAnsi="Arial" w:cs="Arial"/>
        </w:rPr>
        <w:t xml:space="preserve">instrumentos diseñados para </w:t>
      </w:r>
      <w:r w:rsidR="00754730">
        <w:rPr>
          <w:rFonts w:ascii="Arial" w:hAnsi="Arial" w:cs="Arial"/>
        </w:rPr>
        <w:t xml:space="preserve">la </w:t>
      </w:r>
      <w:r w:rsidR="00754730" w:rsidRPr="00656A4C">
        <w:rPr>
          <w:rFonts w:ascii="Arial" w:hAnsi="Arial" w:cs="Arial"/>
        </w:rPr>
        <w:t>actualización</w:t>
      </w:r>
      <w:r w:rsidRPr="00656A4C">
        <w:rPr>
          <w:rFonts w:ascii="Arial" w:hAnsi="Arial" w:cs="Arial"/>
        </w:rPr>
        <w:t xml:space="preserve"> del SIA.</w:t>
      </w:r>
      <w:r w:rsidR="00FC2449">
        <w:rPr>
          <w:rFonts w:ascii="Arial" w:hAnsi="Arial" w:cs="Arial"/>
        </w:rPr>
        <w:t xml:space="preserve"> En total, en estas sesiones participaron más de 300 personas de los diferentes Ámbitos. </w:t>
      </w:r>
    </w:p>
    <w:p w14:paraId="3ECD15CE" w14:textId="5CCA64D6" w:rsidR="009B2FBC" w:rsidRDefault="009B2FBC" w:rsidP="00796137">
      <w:pPr>
        <w:spacing w:after="0" w:line="240" w:lineRule="auto"/>
        <w:ind w:right="142"/>
        <w:jc w:val="both"/>
        <w:rPr>
          <w:rFonts w:ascii="Arial" w:hAnsi="Arial" w:cs="Arial"/>
        </w:rPr>
      </w:pPr>
    </w:p>
    <w:p w14:paraId="5B8B6040" w14:textId="362E83C6" w:rsidR="009B2FBC" w:rsidRDefault="00FC2449" w:rsidP="00796137">
      <w:pPr>
        <w:spacing w:after="0" w:line="240" w:lineRule="auto"/>
        <w:ind w:right="142"/>
        <w:jc w:val="both"/>
        <w:rPr>
          <w:rFonts w:ascii="Arial" w:hAnsi="Arial" w:cs="Arial"/>
        </w:rPr>
      </w:pPr>
      <w:r w:rsidRPr="00754730">
        <w:rPr>
          <w:rFonts w:ascii="Arial" w:hAnsi="Arial" w:cs="Arial"/>
        </w:rPr>
        <w:t>Los resultados del SIA 2023 en resumen, indican:</w:t>
      </w:r>
      <w:r>
        <w:rPr>
          <w:rFonts w:ascii="Arial" w:hAnsi="Arial" w:cs="Arial"/>
        </w:rPr>
        <w:t xml:space="preserve"> </w:t>
      </w:r>
    </w:p>
    <w:p w14:paraId="318210EE" w14:textId="65D057AB" w:rsidR="00FC2449" w:rsidRDefault="00FC2449" w:rsidP="00796137">
      <w:pPr>
        <w:spacing w:after="0" w:line="240" w:lineRule="auto"/>
        <w:ind w:right="142"/>
        <w:jc w:val="both"/>
        <w:rPr>
          <w:rFonts w:ascii="Arial" w:hAnsi="Arial" w:cs="Arial"/>
        </w:rPr>
      </w:pPr>
    </w:p>
    <w:p w14:paraId="04C039D4" w14:textId="4709A567" w:rsidR="00FC2449" w:rsidRPr="00656A4C" w:rsidRDefault="006A25DB" w:rsidP="00796137">
      <w:pPr>
        <w:spacing w:after="0" w:line="240" w:lineRule="auto"/>
        <w:ind w:right="142"/>
        <w:jc w:val="both"/>
        <w:rPr>
          <w:rFonts w:ascii="Arial" w:hAnsi="Arial" w:cs="Arial"/>
        </w:rPr>
      </w:pPr>
      <w:r>
        <w:rPr>
          <w:rFonts w:ascii="Arial" w:hAnsi="Arial" w:cs="Arial"/>
          <w:noProof/>
        </w:rPr>
        <w:drawing>
          <wp:inline distT="0" distB="0" distL="0" distR="0" wp14:anchorId="581B4738" wp14:editId="7C2F7270">
            <wp:extent cx="5612130" cy="3156585"/>
            <wp:effectExtent l="0" t="0" r="7620" b="5715"/>
            <wp:docPr id="2"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2E0A63B4" w14:textId="11200B43" w:rsidR="008C038A" w:rsidRDefault="008C038A" w:rsidP="00796137">
      <w:pPr>
        <w:spacing w:after="0" w:line="240" w:lineRule="auto"/>
        <w:ind w:right="142"/>
        <w:jc w:val="both"/>
        <w:rPr>
          <w:rFonts w:ascii="Arial" w:hAnsi="Arial" w:cs="Arial"/>
        </w:rPr>
      </w:pPr>
    </w:p>
    <w:p w14:paraId="1C734E23" w14:textId="77777777" w:rsidR="009360EF" w:rsidRDefault="006A25DB" w:rsidP="006A25DB">
      <w:pPr>
        <w:spacing w:after="0" w:line="240" w:lineRule="auto"/>
        <w:ind w:right="142"/>
        <w:jc w:val="both"/>
        <w:rPr>
          <w:rFonts w:ascii="Arial" w:hAnsi="Arial" w:cs="Arial"/>
        </w:rPr>
      </w:pPr>
      <w:r>
        <w:rPr>
          <w:rFonts w:ascii="Arial" w:hAnsi="Arial" w:cs="Arial"/>
        </w:rPr>
        <w:t>P</w:t>
      </w:r>
      <w:r w:rsidRPr="00754730">
        <w:rPr>
          <w:rFonts w:ascii="Arial" w:hAnsi="Arial" w:cs="Arial"/>
        </w:rPr>
        <w:t>roducto del ejercicio realizado se obtienen 119 procesos críticos</w:t>
      </w:r>
      <w:r w:rsidR="009360EF" w:rsidRPr="009360EF">
        <w:t xml:space="preserve"> </w:t>
      </w:r>
      <w:r w:rsidR="009360EF" w:rsidRPr="00754730">
        <w:rPr>
          <w:rFonts w:ascii="Arial" w:hAnsi="Arial" w:cs="Arial"/>
        </w:rPr>
        <w:t>de los cuales 60 corresponden a procesos nuevos; además, se mantienen la gran mayoría de los procesos identificados en el 2019 (59)</w:t>
      </w:r>
      <w:r w:rsidRPr="00754730">
        <w:rPr>
          <w:rFonts w:ascii="Arial" w:hAnsi="Arial" w:cs="Arial"/>
        </w:rPr>
        <w:t xml:space="preserve">. </w:t>
      </w:r>
    </w:p>
    <w:p w14:paraId="5CF459D2" w14:textId="77777777" w:rsidR="009360EF" w:rsidRDefault="009360EF" w:rsidP="006A25DB">
      <w:pPr>
        <w:spacing w:after="0" w:line="240" w:lineRule="auto"/>
        <w:ind w:right="142"/>
        <w:jc w:val="both"/>
        <w:rPr>
          <w:rFonts w:ascii="Arial" w:hAnsi="Arial" w:cs="Arial"/>
        </w:rPr>
      </w:pPr>
    </w:p>
    <w:p w14:paraId="7FF3D9C4" w14:textId="59131AAD" w:rsidR="006A25DB" w:rsidRDefault="009360EF" w:rsidP="006A25DB">
      <w:pPr>
        <w:spacing w:after="0" w:line="240" w:lineRule="auto"/>
        <w:ind w:right="142"/>
        <w:jc w:val="both"/>
        <w:rPr>
          <w:rFonts w:ascii="Arial" w:hAnsi="Arial" w:cs="Arial"/>
        </w:rPr>
      </w:pPr>
      <w:r>
        <w:rPr>
          <w:rFonts w:ascii="Arial" w:hAnsi="Arial" w:cs="Arial"/>
        </w:rPr>
        <w:lastRenderedPageBreak/>
        <w:t xml:space="preserve">El análisis determina que los procesos críticos </w:t>
      </w:r>
      <w:r w:rsidR="006A25DB" w:rsidRPr="00754730">
        <w:rPr>
          <w:rFonts w:ascii="Arial" w:hAnsi="Arial" w:cs="Arial"/>
        </w:rPr>
        <w:t>presentan tiempos objetivo de recuperación (RTO) que van de los 10 minutos a 1 semana. Asimismo, el máximo tiempo de disrupción tolerable (MTPD) oscila entre 1 hora y 2 semanas y el rango para el punto objetivo de recuperación (RPO) va de los 0 segundos hasta los 3 meses.</w:t>
      </w:r>
    </w:p>
    <w:p w14:paraId="22E6A835" w14:textId="77777777" w:rsidR="006A25DB" w:rsidRPr="00754730" w:rsidRDefault="006A25DB" w:rsidP="00754730">
      <w:pPr>
        <w:spacing w:after="0" w:line="240" w:lineRule="auto"/>
        <w:ind w:right="142"/>
        <w:jc w:val="both"/>
        <w:rPr>
          <w:rFonts w:ascii="Arial" w:hAnsi="Arial" w:cs="Arial"/>
        </w:rPr>
      </w:pPr>
    </w:p>
    <w:p w14:paraId="48F626D8" w14:textId="334EBFBD" w:rsidR="006A25DB" w:rsidRDefault="009360EF" w:rsidP="006A25DB">
      <w:pPr>
        <w:spacing w:after="0" w:line="240" w:lineRule="auto"/>
        <w:ind w:right="142"/>
        <w:jc w:val="both"/>
        <w:rPr>
          <w:rFonts w:ascii="Arial" w:hAnsi="Arial" w:cs="Arial"/>
        </w:rPr>
      </w:pPr>
      <w:r>
        <w:rPr>
          <w:rFonts w:ascii="Arial" w:hAnsi="Arial" w:cs="Arial"/>
        </w:rPr>
        <w:t>A</w:t>
      </w:r>
      <w:r w:rsidR="006A25DB" w:rsidRPr="00754730">
        <w:rPr>
          <w:rFonts w:ascii="Arial" w:hAnsi="Arial" w:cs="Arial"/>
        </w:rPr>
        <w:t>demás, los procesos se agrupan</w:t>
      </w:r>
      <w:r>
        <w:rPr>
          <w:rFonts w:ascii="Arial" w:hAnsi="Arial" w:cs="Arial"/>
        </w:rPr>
        <w:t>, p</w:t>
      </w:r>
      <w:r w:rsidRPr="0036492F">
        <w:rPr>
          <w:rFonts w:ascii="Arial" w:hAnsi="Arial" w:cs="Arial"/>
        </w:rPr>
        <w:t>orcentualmente</w:t>
      </w:r>
      <w:r>
        <w:rPr>
          <w:rFonts w:ascii="Arial" w:hAnsi="Arial" w:cs="Arial"/>
        </w:rPr>
        <w:t>,</w:t>
      </w:r>
      <w:r w:rsidR="006A25DB" w:rsidRPr="00754730">
        <w:rPr>
          <w:rFonts w:ascii="Arial" w:hAnsi="Arial" w:cs="Arial"/>
        </w:rPr>
        <w:t xml:space="preserve"> de la siguiente forma:</w:t>
      </w:r>
    </w:p>
    <w:p w14:paraId="79060BC9" w14:textId="77777777" w:rsidR="009360EF" w:rsidRPr="00754730" w:rsidRDefault="009360EF" w:rsidP="00754730">
      <w:pPr>
        <w:spacing w:after="0" w:line="240" w:lineRule="auto"/>
        <w:ind w:right="142"/>
        <w:jc w:val="both"/>
        <w:rPr>
          <w:rFonts w:ascii="Arial" w:hAnsi="Arial" w:cs="Arial"/>
        </w:rPr>
      </w:pPr>
    </w:p>
    <w:p w14:paraId="263D0303" w14:textId="2E085F8C" w:rsidR="006A25DB" w:rsidRPr="00754730" w:rsidRDefault="006A25DB" w:rsidP="006A25DB">
      <w:pPr>
        <w:pStyle w:val="Prrafodelista"/>
        <w:widowControl/>
        <w:numPr>
          <w:ilvl w:val="0"/>
          <w:numId w:val="21"/>
        </w:numPr>
        <w:autoSpaceDE/>
        <w:autoSpaceDN/>
        <w:adjustRightInd/>
        <w:spacing w:after="120" w:line="360" w:lineRule="auto"/>
        <w:contextualSpacing/>
        <w:rPr>
          <w:rFonts w:ascii="Arial" w:hAnsi="Arial" w:cs="Arial"/>
        </w:rPr>
      </w:pPr>
      <w:r w:rsidRPr="00754730">
        <w:rPr>
          <w:rFonts w:ascii="Arial" w:hAnsi="Arial" w:cs="Arial"/>
        </w:rPr>
        <w:t xml:space="preserve">41% para el </w:t>
      </w:r>
      <w:r w:rsidR="00754730">
        <w:rPr>
          <w:rFonts w:ascii="Arial" w:hAnsi="Arial" w:cs="Arial"/>
        </w:rPr>
        <w:t>Á</w:t>
      </w:r>
      <w:r w:rsidRPr="00754730">
        <w:rPr>
          <w:rFonts w:ascii="Arial" w:hAnsi="Arial" w:cs="Arial"/>
        </w:rPr>
        <w:t xml:space="preserve">mbito </w:t>
      </w:r>
      <w:r w:rsidR="00754730">
        <w:rPr>
          <w:rFonts w:ascii="Arial" w:hAnsi="Arial" w:cs="Arial"/>
        </w:rPr>
        <w:t>J</w:t>
      </w:r>
      <w:r w:rsidRPr="00754730">
        <w:rPr>
          <w:rFonts w:ascii="Arial" w:hAnsi="Arial" w:cs="Arial"/>
        </w:rPr>
        <w:t>urisdiccional</w:t>
      </w:r>
    </w:p>
    <w:p w14:paraId="0DA95C11" w14:textId="2B60B096" w:rsidR="006A25DB" w:rsidRPr="00754730" w:rsidRDefault="006A25DB" w:rsidP="006A25DB">
      <w:pPr>
        <w:pStyle w:val="Prrafodelista"/>
        <w:widowControl/>
        <w:numPr>
          <w:ilvl w:val="0"/>
          <w:numId w:val="21"/>
        </w:numPr>
        <w:autoSpaceDE/>
        <w:autoSpaceDN/>
        <w:adjustRightInd/>
        <w:spacing w:after="120" w:line="360" w:lineRule="auto"/>
        <w:contextualSpacing/>
        <w:rPr>
          <w:rFonts w:ascii="Arial" w:hAnsi="Arial" w:cs="Arial"/>
        </w:rPr>
      </w:pPr>
      <w:r w:rsidRPr="00754730">
        <w:rPr>
          <w:rFonts w:ascii="Arial" w:hAnsi="Arial" w:cs="Arial"/>
        </w:rPr>
        <w:t xml:space="preserve">39% para el </w:t>
      </w:r>
      <w:r w:rsidR="00754730">
        <w:rPr>
          <w:rFonts w:ascii="Arial" w:hAnsi="Arial" w:cs="Arial"/>
        </w:rPr>
        <w:t>Á</w:t>
      </w:r>
      <w:r w:rsidRPr="00754730">
        <w:rPr>
          <w:rFonts w:ascii="Arial" w:hAnsi="Arial" w:cs="Arial"/>
        </w:rPr>
        <w:t xml:space="preserve">mbito </w:t>
      </w:r>
      <w:r w:rsidR="00754730">
        <w:rPr>
          <w:rFonts w:ascii="Arial" w:hAnsi="Arial" w:cs="Arial"/>
        </w:rPr>
        <w:t>A</w:t>
      </w:r>
      <w:r w:rsidRPr="00754730">
        <w:rPr>
          <w:rFonts w:ascii="Arial" w:hAnsi="Arial" w:cs="Arial"/>
        </w:rPr>
        <w:t>dministrativo</w:t>
      </w:r>
    </w:p>
    <w:p w14:paraId="353DA0B7" w14:textId="276CEB5B" w:rsidR="006A25DB" w:rsidRPr="00754730" w:rsidRDefault="006A25DB" w:rsidP="006A25DB">
      <w:pPr>
        <w:pStyle w:val="Prrafodelista"/>
        <w:widowControl/>
        <w:numPr>
          <w:ilvl w:val="0"/>
          <w:numId w:val="21"/>
        </w:numPr>
        <w:autoSpaceDE/>
        <w:autoSpaceDN/>
        <w:adjustRightInd/>
        <w:spacing w:after="120" w:line="360" w:lineRule="auto"/>
        <w:contextualSpacing/>
        <w:rPr>
          <w:rFonts w:ascii="Arial" w:hAnsi="Arial" w:cs="Arial"/>
        </w:rPr>
      </w:pPr>
      <w:r w:rsidRPr="00754730">
        <w:rPr>
          <w:rFonts w:ascii="Arial" w:hAnsi="Arial" w:cs="Arial"/>
        </w:rPr>
        <w:t xml:space="preserve">20% para el </w:t>
      </w:r>
      <w:r w:rsidR="00754730">
        <w:rPr>
          <w:rFonts w:ascii="Arial" w:hAnsi="Arial" w:cs="Arial"/>
        </w:rPr>
        <w:t>Á</w:t>
      </w:r>
      <w:r w:rsidRPr="00754730">
        <w:rPr>
          <w:rFonts w:ascii="Arial" w:hAnsi="Arial" w:cs="Arial"/>
        </w:rPr>
        <w:t xml:space="preserve">mbito </w:t>
      </w:r>
      <w:r w:rsidR="00754730">
        <w:rPr>
          <w:rFonts w:ascii="Arial" w:hAnsi="Arial" w:cs="Arial"/>
        </w:rPr>
        <w:t>A</w:t>
      </w:r>
      <w:r w:rsidRPr="00754730">
        <w:rPr>
          <w:rFonts w:ascii="Arial" w:hAnsi="Arial" w:cs="Arial"/>
        </w:rPr>
        <w:t xml:space="preserve">uxiliar de </w:t>
      </w:r>
      <w:r w:rsidR="00754730">
        <w:rPr>
          <w:rFonts w:ascii="Arial" w:hAnsi="Arial" w:cs="Arial"/>
        </w:rPr>
        <w:t>J</w:t>
      </w:r>
      <w:r w:rsidRPr="00754730">
        <w:rPr>
          <w:rFonts w:ascii="Arial" w:hAnsi="Arial" w:cs="Arial"/>
        </w:rPr>
        <w:t>usticia</w:t>
      </w:r>
    </w:p>
    <w:p w14:paraId="155CCFED" w14:textId="77777777" w:rsidR="006A25DB" w:rsidRPr="00656A4C" w:rsidRDefault="006A25DB" w:rsidP="00796137">
      <w:pPr>
        <w:spacing w:after="0" w:line="240" w:lineRule="auto"/>
        <w:ind w:right="142"/>
        <w:jc w:val="both"/>
        <w:rPr>
          <w:rFonts w:ascii="Arial" w:hAnsi="Arial" w:cs="Arial"/>
        </w:rPr>
      </w:pPr>
    </w:p>
    <w:p w14:paraId="0BDC9C20"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Actualización del Análisis de Riesgos</w:t>
      </w:r>
    </w:p>
    <w:p w14:paraId="295E1FA3" w14:textId="77777777" w:rsidR="008C038A" w:rsidRPr="00656A4C" w:rsidRDefault="008C038A" w:rsidP="00796137">
      <w:pPr>
        <w:pStyle w:val="Prrafodelista"/>
        <w:rPr>
          <w:rFonts w:ascii="Arial" w:hAnsi="Arial" w:cs="Arial"/>
        </w:rPr>
      </w:pPr>
    </w:p>
    <w:p w14:paraId="1AF089E8" w14:textId="47342D97" w:rsidR="008C038A" w:rsidRDefault="00B6627F" w:rsidP="00796137">
      <w:pPr>
        <w:spacing w:after="0" w:line="240" w:lineRule="auto"/>
        <w:jc w:val="both"/>
        <w:rPr>
          <w:rFonts w:ascii="Arial" w:hAnsi="Arial" w:cs="Arial"/>
        </w:rPr>
      </w:pPr>
      <w:r>
        <w:rPr>
          <w:rFonts w:ascii="Arial" w:hAnsi="Arial" w:cs="Arial"/>
        </w:rPr>
        <w:t xml:space="preserve">El </w:t>
      </w:r>
      <w:r w:rsidR="00964607">
        <w:rPr>
          <w:rFonts w:ascii="Arial" w:hAnsi="Arial" w:cs="Arial"/>
        </w:rPr>
        <w:t>Subproceso</w:t>
      </w:r>
      <w:r>
        <w:rPr>
          <w:rFonts w:ascii="Arial" w:hAnsi="Arial" w:cs="Arial"/>
        </w:rPr>
        <w:t xml:space="preserve"> de Gestión de la Continuidad del Servicio elaboró el informe </w:t>
      </w:r>
      <w:r w:rsidR="00964607">
        <w:rPr>
          <w:rFonts w:ascii="Arial" w:hAnsi="Arial" w:cs="Arial"/>
        </w:rPr>
        <w:t xml:space="preserve">de </w:t>
      </w:r>
      <w:r w:rsidR="00964607" w:rsidRPr="00FB66BE">
        <w:rPr>
          <w:rFonts w:ascii="Arial" w:hAnsi="Arial" w:cs="Arial"/>
          <w:i/>
          <w:iCs/>
        </w:rPr>
        <w:t>“Actualización de Análisis de Riesgos de Continuidad”</w:t>
      </w:r>
      <w:r w:rsidR="00964607">
        <w:rPr>
          <w:rFonts w:ascii="Arial" w:hAnsi="Arial" w:cs="Arial"/>
          <w:i/>
          <w:iCs/>
        </w:rPr>
        <w:t xml:space="preserve">, </w:t>
      </w:r>
      <w:r w:rsidR="00964607" w:rsidRPr="00964607">
        <w:rPr>
          <w:rFonts w:ascii="Arial" w:hAnsi="Arial" w:cs="Arial"/>
        </w:rPr>
        <w:t xml:space="preserve">el cual es presentado al Comité en la sesión 01-2024 del 22 de enero de 2024. </w:t>
      </w:r>
    </w:p>
    <w:p w14:paraId="6A0E8CB7" w14:textId="4B392DE5" w:rsidR="00964607" w:rsidRDefault="00964607" w:rsidP="00796137">
      <w:pPr>
        <w:spacing w:after="0" w:line="240" w:lineRule="auto"/>
        <w:jc w:val="both"/>
        <w:rPr>
          <w:rFonts w:ascii="Arial" w:hAnsi="Arial" w:cs="Arial"/>
        </w:rPr>
      </w:pPr>
    </w:p>
    <w:p w14:paraId="6BA29171" w14:textId="2227A3D5" w:rsidR="00964607" w:rsidRDefault="00964607" w:rsidP="00796137">
      <w:pPr>
        <w:spacing w:after="0" w:line="240" w:lineRule="auto"/>
        <w:jc w:val="both"/>
        <w:rPr>
          <w:rFonts w:ascii="Arial" w:hAnsi="Arial" w:cs="Arial"/>
        </w:rPr>
      </w:pPr>
      <w:r>
        <w:rPr>
          <w:rFonts w:ascii="Arial" w:hAnsi="Arial" w:cs="Arial"/>
        </w:rPr>
        <w:t xml:space="preserve">A modo de resumen, el informe revela: </w:t>
      </w:r>
    </w:p>
    <w:p w14:paraId="65C4D866" w14:textId="4BAEBFD5" w:rsidR="00964607" w:rsidRDefault="00964607" w:rsidP="00796137">
      <w:pPr>
        <w:spacing w:after="0" w:line="240" w:lineRule="auto"/>
        <w:jc w:val="both"/>
        <w:rPr>
          <w:rFonts w:ascii="Arial" w:hAnsi="Arial" w:cs="Arial"/>
        </w:rPr>
      </w:pPr>
    </w:p>
    <w:p w14:paraId="5EED9D23" w14:textId="6E65A5B7" w:rsidR="00964607" w:rsidRPr="00964607" w:rsidRDefault="00964607" w:rsidP="00964607">
      <w:pPr>
        <w:pStyle w:val="Prrafodelista"/>
        <w:numPr>
          <w:ilvl w:val="0"/>
          <w:numId w:val="19"/>
        </w:numPr>
        <w:rPr>
          <w:rFonts w:ascii="Arial" w:hAnsi="Arial" w:cs="Arial"/>
        </w:rPr>
      </w:pPr>
      <w:r w:rsidRPr="00964607">
        <w:rPr>
          <w:rFonts w:ascii="Arial" w:hAnsi="Arial" w:cs="Arial"/>
        </w:rPr>
        <w:t>Se cuantificaron 530 recurrencias de factores o fuentes de riesgo</w:t>
      </w:r>
      <w:r>
        <w:rPr>
          <w:rFonts w:ascii="Arial" w:hAnsi="Arial" w:cs="Arial"/>
        </w:rPr>
        <w:t xml:space="preserve"> de continuidad</w:t>
      </w:r>
      <w:r w:rsidRPr="00964607">
        <w:rPr>
          <w:rFonts w:ascii="Arial" w:hAnsi="Arial" w:cs="Arial"/>
        </w:rPr>
        <w:t>. Estos son, elementos que solos o en combinación, tiene el potencial intrínseco para generar un riesgo (ISO 31000).</w:t>
      </w:r>
    </w:p>
    <w:p w14:paraId="5CB22FF0" w14:textId="77777777" w:rsidR="00964607" w:rsidRPr="00964607" w:rsidRDefault="00964607" w:rsidP="00964607">
      <w:pPr>
        <w:spacing w:after="0" w:line="240" w:lineRule="auto"/>
        <w:jc w:val="both"/>
        <w:rPr>
          <w:rFonts w:ascii="Arial" w:hAnsi="Arial" w:cs="Arial"/>
        </w:rPr>
      </w:pPr>
      <w:r w:rsidRPr="00964607">
        <w:rPr>
          <w:rFonts w:ascii="Arial" w:hAnsi="Arial" w:cs="Arial"/>
        </w:rPr>
        <w:t> </w:t>
      </w:r>
    </w:p>
    <w:p w14:paraId="0A02351C" w14:textId="4C9359DC" w:rsidR="00964607" w:rsidRDefault="00964607" w:rsidP="00964607">
      <w:pPr>
        <w:pStyle w:val="Prrafodelista"/>
        <w:numPr>
          <w:ilvl w:val="0"/>
          <w:numId w:val="19"/>
        </w:numPr>
        <w:rPr>
          <w:rFonts w:ascii="Arial" w:hAnsi="Arial" w:cs="Arial"/>
        </w:rPr>
      </w:pPr>
      <w:r w:rsidRPr="00964607">
        <w:rPr>
          <w:rFonts w:ascii="Arial" w:hAnsi="Arial" w:cs="Arial"/>
        </w:rPr>
        <w:t>Los factores fueron agrupados, según su afectación, en cinco escenarios de riesgo: a) Indisponibilidad del Recurso Humano, b) Indisponibilidad de la infraestructura física, c) Indisponibilidad tecnológica, d) Dependencia de proveedores externos y e) Carencia de insumos.</w:t>
      </w:r>
    </w:p>
    <w:p w14:paraId="1A3D35DB" w14:textId="77777777" w:rsidR="00964607" w:rsidRPr="00964607" w:rsidRDefault="00964607" w:rsidP="00964607">
      <w:pPr>
        <w:pStyle w:val="Prrafodelista"/>
        <w:rPr>
          <w:rFonts w:ascii="Arial" w:hAnsi="Arial" w:cs="Arial"/>
        </w:rPr>
      </w:pPr>
    </w:p>
    <w:p w14:paraId="4BEB3AD7" w14:textId="39B898C1" w:rsidR="00964607" w:rsidRPr="00964607" w:rsidRDefault="00964607" w:rsidP="00964607">
      <w:pPr>
        <w:pStyle w:val="Prrafodelista"/>
        <w:ind w:left="720"/>
        <w:rPr>
          <w:rFonts w:ascii="Arial" w:hAnsi="Arial" w:cs="Arial"/>
        </w:rPr>
      </w:pPr>
      <w:r>
        <w:rPr>
          <w:noProof/>
        </w:rPr>
        <w:drawing>
          <wp:inline distT="0" distB="0" distL="0" distR="0" wp14:anchorId="79C8FB8D" wp14:editId="759D4260">
            <wp:extent cx="5137554" cy="1545684"/>
            <wp:effectExtent l="0" t="0" r="6350" b="0"/>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Tabla&#10;&#10;Descripción generada automáticamente"/>
                    <pic:cNvPicPr/>
                  </pic:nvPicPr>
                  <pic:blipFill>
                    <a:blip r:embed="rId21"/>
                    <a:stretch>
                      <a:fillRect/>
                    </a:stretch>
                  </pic:blipFill>
                  <pic:spPr>
                    <a:xfrm>
                      <a:off x="0" y="0"/>
                      <a:ext cx="5151235" cy="1549800"/>
                    </a:xfrm>
                    <a:prstGeom prst="rect">
                      <a:avLst/>
                    </a:prstGeom>
                  </pic:spPr>
                </pic:pic>
              </a:graphicData>
            </a:graphic>
          </wp:inline>
        </w:drawing>
      </w:r>
    </w:p>
    <w:p w14:paraId="18E74D05" w14:textId="203F98F6" w:rsidR="008C038A" w:rsidRDefault="008C038A" w:rsidP="00796137">
      <w:pPr>
        <w:pStyle w:val="Prrafodelista"/>
        <w:rPr>
          <w:rFonts w:ascii="Arial" w:hAnsi="Arial" w:cs="Arial"/>
        </w:rPr>
      </w:pPr>
    </w:p>
    <w:p w14:paraId="42DBE311" w14:textId="52FF364B" w:rsidR="00964607" w:rsidRDefault="00964607" w:rsidP="00964607">
      <w:pPr>
        <w:pStyle w:val="Prrafodelista"/>
        <w:numPr>
          <w:ilvl w:val="0"/>
          <w:numId w:val="14"/>
        </w:numPr>
        <w:ind w:left="709" w:hanging="349"/>
        <w:rPr>
          <w:rFonts w:ascii="Arial" w:hAnsi="Arial" w:cs="Arial"/>
        </w:rPr>
      </w:pPr>
      <w:r>
        <w:rPr>
          <w:rFonts w:ascii="Arial" w:hAnsi="Arial" w:cs="Arial"/>
        </w:rPr>
        <w:t xml:space="preserve">En el informe se indica que </w:t>
      </w:r>
      <w:r w:rsidRPr="00964607">
        <w:rPr>
          <w:rFonts w:ascii="Arial" w:hAnsi="Arial" w:cs="Arial"/>
          <w:i/>
          <w:iCs/>
        </w:rPr>
        <w:t xml:space="preserve">“El propósito de la norma no es necesariamente lograr la mitigación total del impacto de la interrupción, sino de ayudar a una organización a comprender la magnitud y el tipo de impacto que está dispuesta a aceptar después de una interrupción” </w:t>
      </w:r>
      <w:r w:rsidRPr="00964607">
        <w:rPr>
          <w:rFonts w:ascii="Arial" w:hAnsi="Arial" w:cs="Arial"/>
        </w:rPr>
        <w:t xml:space="preserve">(ISO 22301:2019 Guía de Implementación). Por tanto, en principio, no se procura evitar los riesgos, pues la gestión de la continuidad parte de la base de la materialización de estos, y a partir de ello, determinar la manera de </w:t>
      </w:r>
      <w:r w:rsidRPr="00964607">
        <w:rPr>
          <w:rFonts w:ascii="Arial" w:hAnsi="Arial" w:cs="Arial"/>
        </w:rPr>
        <w:lastRenderedPageBreak/>
        <w:t xml:space="preserve">responder a un incidente disruptivo y definir cómo continuar o recuperar las actividades dentro de un plazo predeterminado, a nivel aceptable. Esto se logra a través de </w:t>
      </w:r>
      <w:r w:rsidRPr="00FC6A8C">
        <w:rPr>
          <w:rFonts w:ascii="Arial" w:hAnsi="Arial" w:cs="Arial"/>
          <w:b/>
          <w:bCs/>
        </w:rPr>
        <w:t>estrategias de continuidad del servicio</w:t>
      </w:r>
      <w:r w:rsidRPr="00964607">
        <w:rPr>
          <w:rFonts w:ascii="Arial" w:hAnsi="Arial" w:cs="Arial"/>
        </w:rPr>
        <w:t xml:space="preserve"> que ayuden a prevenir los riesgos y reducir sus efectos (impacto) y los </w:t>
      </w:r>
      <w:r w:rsidRPr="00FC6A8C">
        <w:rPr>
          <w:rFonts w:ascii="Arial" w:hAnsi="Arial" w:cs="Arial"/>
          <w:b/>
          <w:bCs/>
        </w:rPr>
        <w:t>planes de continuidad del servicio</w:t>
      </w:r>
      <w:r w:rsidRPr="00964607">
        <w:rPr>
          <w:rFonts w:ascii="Arial" w:hAnsi="Arial" w:cs="Arial"/>
        </w:rPr>
        <w:t xml:space="preserve"> que guían en cómo responder a un incidente disruptivo y en establecer cómo continuar o recuperar las actividades dentro de un plazo predeterminado, en función del tipo de amenaza o escenario disruptivo; de manera que su propósito es mitigar el riesgo para reducir su impacto.</w:t>
      </w:r>
    </w:p>
    <w:p w14:paraId="23D2B96F" w14:textId="77777777" w:rsidR="00964607" w:rsidRDefault="00964607" w:rsidP="00964607">
      <w:pPr>
        <w:pStyle w:val="Prrafodelista"/>
        <w:ind w:left="709"/>
        <w:rPr>
          <w:rFonts w:ascii="Arial" w:hAnsi="Arial" w:cs="Arial"/>
        </w:rPr>
      </w:pPr>
    </w:p>
    <w:p w14:paraId="6FE8D9FA" w14:textId="264B7534" w:rsidR="00964607" w:rsidRDefault="00964607" w:rsidP="00964607">
      <w:pPr>
        <w:pStyle w:val="Prrafodelista"/>
        <w:numPr>
          <w:ilvl w:val="0"/>
          <w:numId w:val="14"/>
        </w:numPr>
        <w:ind w:left="709" w:hanging="349"/>
        <w:rPr>
          <w:rFonts w:ascii="Arial" w:hAnsi="Arial" w:cs="Arial"/>
        </w:rPr>
      </w:pPr>
      <w:r>
        <w:rPr>
          <w:rFonts w:ascii="Arial" w:hAnsi="Arial" w:cs="Arial"/>
        </w:rPr>
        <w:t xml:space="preserve">A partir de lo anterior, se generaron recomendaciones para el aprovechamiento de los resultados de dicho informe, los cuales, posterior a la aprobación del Comité Técnico, deben ser trasladados al Consejo Superior para su conocimiento. </w:t>
      </w:r>
    </w:p>
    <w:p w14:paraId="2388C097" w14:textId="77777777" w:rsidR="00964607" w:rsidRPr="00656A4C" w:rsidRDefault="00964607" w:rsidP="00964607">
      <w:pPr>
        <w:pStyle w:val="Prrafodelista"/>
        <w:ind w:left="1080"/>
        <w:rPr>
          <w:rFonts w:ascii="Arial" w:hAnsi="Arial" w:cs="Arial"/>
        </w:rPr>
      </w:pPr>
    </w:p>
    <w:p w14:paraId="33AC3D78" w14:textId="77777777" w:rsidR="008C038A" w:rsidRPr="00656A4C" w:rsidRDefault="008C038A" w:rsidP="00796137">
      <w:pPr>
        <w:pStyle w:val="Prrafodelista"/>
        <w:numPr>
          <w:ilvl w:val="0"/>
          <w:numId w:val="11"/>
        </w:numPr>
        <w:ind w:right="142"/>
        <w:rPr>
          <w:rFonts w:ascii="Arial" w:hAnsi="Arial" w:cs="Arial"/>
          <w:b/>
          <w:bCs/>
        </w:rPr>
      </w:pPr>
      <w:r w:rsidRPr="00656A4C">
        <w:rPr>
          <w:rFonts w:ascii="Arial" w:hAnsi="Arial" w:cs="Arial"/>
          <w:b/>
          <w:bCs/>
        </w:rPr>
        <w:t>Gestión del proyecto</w:t>
      </w:r>
    </w:p>
    <w:p w14:paraId="71BEF789" w14:textId="77777777" w:rsidR="008C038A" w:rsidRPr="00656A4C" w:rsidRDefault="008C038A" w:rsidP="00796137">
      <w:pPr>
        <w:spacing w:after="0" w:line="240" w:lineRule="auto"/>
        <w:ind w:right="142"/>
        <w:jc w:val="both"/>
        <w:rPr>
          <w:rFonts w:ascii="Arial" w:hAnsi="Arial" w:cs="Arial"/>
        </w:rPr>
      </w:pPr>
    </w:p>
    <w:p w14:paraId="462B45E5" w14:textId="77777777" w:rsidR="008C038A" w:rsidRPr="00656A4C" w:rsidRDefault="008C038A" w:rsidP="00796137">
      <w:pPr>
        <w:spacing w:after="0" w:line="240" w:lineRule="auto"/>
        <w:ind w:right="142"/>
        <w:jc w:val="both"/>
        <w:rPr>
          <w:rFonts w:ascii="Arial" w:hAnsi="Arial" w:cs="Arial"/>
        </w:rPr>
      </w:pPr>
      <w:r w:rsidRPr="00656A4C">
        <w:rPr>
          <w:rFonts w:ascii="Arial" w:hAnsi="Arial" w:cs="Arial"/>
        </w:rPr>
        <w:t xml:space="preserve">Se mantiene actualizado el portafolio del proyecto, conforme con los informes de avance y otros, requeridos por la Dirección de Planificación. </w:t>
      </w:r>
    </w:p>
    <w:p w14:paraId="0525373D" w14:textId="77777777" w:rsidR="008C038A" w:rsidRPr="00656A4C" w:rsidRDefault="008C038A" w:rsidP="00796137">
      <w:pPr>
        <w:spacing w:after="0" w:line="240" w:lineRule="auto"/>
        <w:ind w:right="142"/>
        <w:jc w:val="both"/>
        <w:rPr>
          <w:rFonts w:ascii="Arial" w:hAnsi="Arial" w:cs="Arial"/>
        </w:rPr>
      </w:pPr>
    </w:p>
    <w:p w14:paraId="7FC4D8DA" w14:textId="77777777" w:rsidR="008C038A" w:rsidRPr="00656A4C" w:rsidRDefault="008C038A" w:rsidP="00796137">
      <w:pPr>
        <w:spacing w:after="0" w:line="240" w:lineRule="auto"/>
        <w:ind w:right="142"/>
        <w:jc w:val="both"/>
        <w:rPr>
          <w:rFonts w:ascii="Arial" w:hAnsi="Arial" w:cs="Arial"/>
        </w:rPr>
      </w:pPr>
    </w:p>
    <w:p w14:paraId="3DC01E27" w14:textId="77777777" w:rsidR="008C038A" w:rsidRPr="007E2695" w:rsidRDefault="008C038A" w:rsidP="00796137">
      <w:pPr>
        <w:spacing w:after="0" w:line="240" w:lineRule="auto"/>
        <w:ind w:right="142"/>
        <w:jc w:val="both"/>
        <w:rPr>
          <w:rFonts w:ascii="Arial" w:hAnsi="Arial" w:cs="Arial"/>
          <w:b/>
          <w:bCs/>
        </w:rPr>
      </w:pPr>
      <w:r w:rsidRPr="007E2695">
        <w:rPr>
          <w:rFonts w:ascii="Arial" w:hAnsi="Arial" w:cs="Arial"/>
          <w:b/>
          <w:bCs/>
        </w:rPr>
        <w:t>En resumen, el resultado al I semestre del Plan de Trabajo 2023, se muestra en la siguiente tabla:</w:t>
      </w:r>
    </w:p>
    <w:p w14:paraId="0E519ADC" w14:textId="77777777" w:rsidR="008C038A" w:rsidRPr="007E2695" w:rsidRDefault="008C038A" w:rsidP="00796137">
      <w:pPr>
        <w:spacing w:after="0" w:line="240" w:lineRule="auto"/>
        <w:ind w:right="142"/>
        <w:jc w:val="both"/>
        <w:rPr>
          <w:rFonts w:ascii="Arial" w:hAnsi="Arial" w:cs="Arial"/>
        </w:rPr>
      </w:pPr>
    </w:p>
    <w:tbl>
      <w:tblPr>
        <w:tblW w:w="90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689"/>
        <w:gridCol w:w="1842"/>
        <w:gridCol w:w="3959"/>
      </w:tblGrid>
      <w:tr w:rsidR="007E2695" w:rsidRPr="007E2695" w14:paraId="523D0E39" w14:textId="77777777" w:rsidTr="0007679B">
        <w:trPr>
          <w:trHeight w:val="841"/>
          <w:tblHeader/>
          <w:jc w:val="right"/>
        </w:trPr>
        <w:tc>
          <w:tcPr>
            <w:tcW w:w="3256" w:type="dxa"/>
            <w:gridSpan w:val="2"/>
            <w:shd w:val="clear" w:color="auto" w:fill="auto"/>
            <w:noWrap/>
            <w:vAlign w:val="center"/>
            <w:hideMark/>
          </w:tcPr>
          <w:p w14:paraId="6BAE917B" w14:textId="77777777" w:rsidR="008C038A" w:rsidRPr="007E2695" w:rsidRDefault="008C038A" w:rsidP="00796137">
            <w:pPr>
              <w:spacing w:after="0" w:line="240" w:lineRule="auto"/>
              <w:jc w:val="center"/>
              <w:rPr>
                <w:rFonts w:ascii="Arial" w:hAnsi="Arial" w:cs="Arial"/>
                <w:b/>
                <w:bCs/>
              </w:rPr>
            </w:pPr>
            <w:r w:rsidRPr="007E2695">
              <w:rPr>
                <w:rFonts w:ascii="Arial" w:hAnsi="Arial" w:cs="Arial"/>
                <w:b/>
                <w:bCs/>
              </w:rPr>
              <w:t>Actividades</w:t>
            </w:r>
          </w:p>
        </w:tc>
        <w:tc>
          <w:tcPr>
            <w:tcW w:w="1842" w:type="dxa"/>
            <w:shd w:val="clear" w:color="auto" w:fill="auto"/>
            <w:noWrap/>
            <w:vAlign w:val="center"/>
            <w:hideMark/>
          </w:tcPr>
          <w:p w14:paraId="2310184B" w14:textId="77777777" w:rsidR="008C038A" w:rsidRPr="007E2695" w:rsidRDefault="008C038A" w:rsidP="00796137">
            <w:pPr>
              <w:spacing w:after="0" w:line="240" w:lineRule="auto"/>
              <w:jc w:val="center"/>
              <w:rPr>
                <w:rFonts w:ascii="Arial" w:hAnsi="Arial" w:cs="Arial"/>
                <w:b/>
                <w:bCs/>
              </w:rPr>
            </w:pPr>
            <w:r w:rsidRPr="007E2695">
              <w:rPr>
                <w:rFonts w:ascii="Arial" w:hAnsi="Arial" w:cs="Arial"/>
                <w:b/>
                <w:bCs/>
              </w:rPr>
              <w:t>% de avance</w:t>
            </w:r>
          </w:p>
        </w:tc>
        <w:tc>
          <w:tcPr>
            <w:tcW w:w="3959" w:type="dxa"/>
            <w:shd w:val="clear" w:color="auto" w:fill="auto"/>
            <w:noWrap/>
            <w:vAlign w:val="center"/>
            <w:hideMark/>
          </w:tcPr>
          <w:p w14:paraId="3B80AB6B" w14:textId="77777777" w:rsidR="008C038A" w:rsidRPr="007E2695" w:rsidRDefault="008C038A" w:rsidP="00796137">
            <w:pPr>
              <w:spacing w:after="0" w:line="240" w:lineRule="auto"/>
              <w:jc w:val="center"/>
              <w:rPr>
                <w:rFonts w:ascii="Arial" w:hAnsi="Arial" w:cs="Arial"/>
                <w:b/>
                <w:bCs/>
              </w:rPr>
            </w:pPr>
            <w:r w:rsidRPr="007E2695">
              <w:rPr>
                <w:rFonts w:ascii="Arial" w:hAnsi="Arial" w:cs="Arial"/>
                <w:b/>
                <w:bCs/>
              </w:rPr>
              <w:t>Observaciones</w:t>
            </w:r>
          </w:p>
        </w:tc>
      </w:tr>
      <w:tr w:rsidR="007E2695" w:rsidRPr="007E2695" w14:paraId="6781D7DF" w14:textId="77777777" w:rsidTr="0007679B">
        <w:trPr>
          <w:trHeight w:val="310"/>
          <w:jc w:val="right"/>
        </w:trPr>
        <w:tc>
          <w:tcPr>
            <w:tcW w:w="567" w:type="dxa"/>
            <w:shd w:val="clear" w:color="auto" w:fill="auto"/>
            <w:noWrap/>
            <w:vAlign w:val="center"/>
            <w:hideMark/>
          </w:tcPr>
          <w:p w14:paraId="0B577F32" w14:textId="77777777" w:rsidR="008C038A" w:rsidRPr="007E2695" w:rsidRDefault="008C038A" w:rsidP="00796137">
            <w:pPr>
              <w:spacing w:after="0" w:line="240" w:lineRule="auto"/>
              <w:jc w:val="center"/>
              <w:rPr>
                <w:rFonts w:ascii="Arial" w:hAnsi="Arial" w:cs="Arial"/>
              </w:rPr>
            </w:pPr>
            <w:r w:rsidRPr="007E2695">
              <w:rPr>
                <w:rFonts w:ascii="Arial" w:hAnsi="Arial" w:cs="Arial"/>
              </w:rPr>
              <w:t>1</w:t>
            </w:r>
          </w:p>
        </w:tc>
        <w:tc>
          <w:tcPr>
            <w:tcW w:w="2689" w:type="dxa"/>
            <w:shd w:val="clear" w:color="auto" w:fill="auto"/>
            <w:noWrap/>
            <w:vAlign w:val="center"/>
          </w:tcPr>
          <w:p w14:paraId="36B75684" w14:textId="77777777" w:rsidR="008C038A" w:rsidRPr="007E2695" w:rsidRDefault="008C038A" w:rsidP="00796137">
            <w:pPr>
              <w:spacing w:after="0" w:line="240" w:lineRule="auto"/>
              <w:jc w:val="both"/>
              <w:rPr>
                <w:rFonts w:ascii="Arial" w:hAnsi="Arial" w:cs="Arial"/>
              </w:rPr>
            </w:pPr>
            <w:r w:rsidRPr="007E2695">
              <w:rPr>
                <w:rFonts w:ascii="Arial" w:hAnsi="Arial" w:cs="Arial"/>
              </w:rPr>
              <w:t>Análisis de Requerimientos para la Adquisición herramienta Continuidad</w:t>
            </w:r>
          </w:p>
        </w:tc>
        <w:tc>
          <w:tcPr>
            <w:tcW w:w="1842" w:type="dxa"/>
            <w:shd w:val="clear" w:color="auto" w:fill="auto"/>
            <w:noWrap/>
            <w:vAlign w:val="center"/>
          </w:tcPr>
          <w:p w14:paraId="327EC605" w14:textId="52805717" w:rsidR="008C038A" w:rsidRPr="007E2695" w:rsidRDefault="008D22AE" w:rsidP="00796137">
            <w:pPr>
              <w:spacing w:after="0" w:line="240" w:lineRule="auto"/>
              <w:jc w:val="right"/>
              <w:rPr>
                <w:rFonts w:ascii="Arial" w:hAnsi="Arial" w:cs="Arial"/>
              </w:rPr>
            </w:pPr>
            <w:r w:rsidRPr="007E2695">
              <w:rPr>
                <w:rFonts w:ascii="Arial" w:hAnsi="Arial" w:cs="Arial"/>
              </w:rPr>
              <w:t>10</w:t>
            </w:r>
            <w:r w:rsidR="008C038A" w:rsidRPr="007E2695">
              <w:rPr>
                <w:rFonts w:ascii="Arial" w:hAnsi="Arial" w:cs="Arial"/>
              </w:rPr>
              <w:t>0%</w:t>
            </w:r>
          </w:p>
        </w:tc>
        <w:tc>
          <w:tcPr>
            <w:tcW w:w="3959" w:type="dxa"/>
            <w:shd w:val="clear" w:color="auto" w:fill="auto"/>
            <w:noWrap/>
            <w:vAlign w:val="center"/>
          </w:tcPr>
          <w:p w14:paraId="447F6CE8" w14:textId="137B39DC" w:rsidR="008C038A" w:rsidRPr="007E2695" w:rsidRDefault="008D22AE" w:rsidP="00796137">
            <w:pPr>
              <w:spacing w:after="0" w:line="240" w:lineRule="auto"/>
              <w:jc w:val="both"/>
              <w:rPr>
                <w:rFonts w:ascii="Arial" w:hAnsi="Arial" w:cs="Arial"/>
              </w:rPr>
            </w:pPr>
            <w:r w:rsidRPr="007E2695">
              <w:rPr>
                <w:rFonts w:ascii="Arial" w:hAnsi="Arial" w:cs="Arial"/>
              </w:rPr>
              <w:t>Como labor adicional, está p</w:t>
            </w:r>
            <w:r w:rsidR="008C038A" w:rsidRPr="007E2695">
              <w:rPr>
                <w:rFonts w:ascii="Arial" w:hAnsi="Arial" w:cs="Arial"/>
              </w:rPr>
              <w:t>endiente la elaboración del “Caso de negocio” para trasladar el requerimiento de manera formal a la DTIC, para la valoración técnica.</w:t>
            </w:r>
          </w:p>
        </w:tc>
      </w:tr>
      <w:tr w:rsidR="007E2695" w:rsidRPr="007E2695" w14:paraId="1F1E3A67" w14:textId="77777777" w:rsidTr="0007679B">
        <w:trPr>
          <w:trHeight w:val="310"/>
          <w:jc w:val="right"/>
        </w:trPr>
        <w:tc>
          <w:tcPr>
            <w:tcW w:w="567" w:type="dxa"/>
            <w:shd w:val="clear" w:color="auto" w:fill="auto"/>
            <w:noWrap/>
            <w:vAlign w:val="center"/>
            <w:hideMark/>
          </w:tcPr>
          <w:p w14:paraId="7B436CCF" w14:textId="77777777" w:rsidR="008C038A" w:rsidRPr="007E2695" w:rsidRDefault="008C038A" w:rsidP="00796137">
            <w:pPr>
              <w:spacing w:after="0" w:line="240" w:lineRule="auto"/>
              <w:jc w:val="center"/>
              <w:rPr>
                <w:rFonts w:ascii="Arial" w:hAnsi="Arial" w:cs="Arial"/>
              </w:rPr>
            </w:pPr>
            <w:r w:rsidRPr="007E2695">
              <w:rPr>
                <w:rFonts w:ascii="Arial" w:hAnsi="Arial" w:cs="Arial"/>
              </w:rPr>
              <w:t>2</w:t>
            </w:r>
          </w:p>
        </w:tc>
        <w:tc>
          <w:tcPr>
            <w:tcW w:w="2689" w:type="dxa"/>
            <w:shd w:val="clear" w:color="auto" w:fill="auto"/>
            <w:noWrap/>
            <w:vAlign w:val="center"/>
          </w:tcPr>
          <w:p w14:paraId="64B2497E" w14:textId="77777777" w:rsidR="008C038A" w:rsidRPr="007E2695" w:rsidRDefault="008C038A" w:rsidP="00796137">
            <w:pPr>
              <w:spacing w:after="0" w:line="240" w:lineRule="auto"/>
              <w:jc w:val="both"/>
              <w:rPr>
                <w:rFonts w:ascii="Arial" w:hAnsi="Arial" w:cs="Arial"/>
              </w:rPr>
            </w:pPr>
            <w:r w:rsidRPr="007E2695">
              <w:rPr>
                <w:rFonts w:ascii="Arial" w:hAnsi="Arial" w:cs="Arial"/>
              </w:rPr>
              <w:t>Concientización y capacitación al personal judicial</w:t>
            </w:r>
          </w:p>
        </w:tc>
        <w:tc>
          <w:tcPr>
            <w:tcW w:w="1842" w:type="dxa"/>
            <w:shd w:val="clear" w:color="auto" w:fill="auto"/>
            <w:noWrap/>
            <w:vAlign w:val="center"/>
          </w:tcPr>
          <w:p w14:paraId="26BA5033" w14:textId="77777777" w:rsidR="008C038A" w:rsidRPr="007E2695" w:rsidRDefault="008C038A" w:rsidP="00796137">
            <w:pPr>
              <w:spacing w:after="0" w:line="240" w:lineRule="auto"/>
              <w:jc w:val="right"/>
              <w:rPr>
                <w:rFonts w:ascii="Arial" w:hAnsi="Arial" w:cs="Arial"/>
              </w:rPr>
            </w:pPr>
            <w:r w:rsidRPr="007E2695">
              <w:rPr>
                <w:rFonts w:ascii="Arial" w:hAnsi="Arial" w:cs="Arial"/>
              </w:rPr>
              <w:t>100%</w:t>
            </w:r>
          </w:p>
        </w:tc>
        <w:tc>
          <w:tcPr>
            <w:tcW w:w="3959" w:type="dxa"/>
            <w:shd w:val="clear" w:color="auto" w:fill="auto"/>
            <w:noWrap/>
            <w:vAlign w:val="center"/>
          </w:tcPr>
          <w:p w14:paraId="54A37DCE" w14:textId="77777777" w:rsidR="008C038A" w:rsidRPr="007E2695" w:rsidRDefault="008C038A" w:rsidP="00796137">
            <w:pPr>
              <w:spacing w:after="0" w:line="240" w:lineRule="auto"/>
              <w:jc w:val="both"/>
              <w:rPr>
                <w:rFonts w:ascii="Arial" w:hAnsi="Arial" w:cs="Arial"/>
              </w:rPr>
            </w:pPr>
            <w:r w:rsidRPr="007E2695">
              <w:rPr>
                <w:rFonts w:ascii="Arial" w:hAnsi="Arial" w:cs="Arial"/>
              </w:rPr>
              <w:t xml:space="preserve">Meta cumplida en cuanto a personal Monitor. Se amplía la capacitación a despachos judiciales. </w:t>
            </w:r>
          </w:p>
        </w:tc>
      </w:tr>
      <w:tr w:rsidR="007E2695" w:rsidRPr="007E2695" w14:paraId="71646D4A" w14:textId="77777777" w:rsidTr="0007679B">
        <w:trPr>
          <w:trHeight w:val="310"/>
          <w:jc w:val="right"/>
        </w:trPr>
        <w:tc>
          <w:tcPr>
            <w:tcW w:w="567" w:type="dxa"/>
            <w:shd w:val="clear" w:color="auto" w:fill="auto"/>
            <w:noWrap/>
            <w:vAlign w:val="center"/>
            <w:hideMark/>
          </w:tcPr>
          <w:p w14:paraId="65B350D7" w14:textId="77777777" w:rsidR="008C038A" w:rsidRPr="007E2695" w:rsidRDefault="008C038A" w:rsidP="00796137">
            <w:pPr>
              <w:spacing w:after="0" w:line="240" w:lineRule="auto"/>
              <w:jc w:val="center"/>
              <w:rPr>
                <w:rFonts w:ascii="Arial" w:hAnsi="Arial" w:cs="Arial"/>
              </w:rPr>
            </w:pPr>
            <w:r w:rsidRPr="007E2695">
              <w:rPr>
                <w:rFonts w:ascii="Arial" w:hAnsi="Arial" w:cs="Arial"/>
              </w:rPr>
              <w:t>3</w:t>
            </w:r>
          </w:p>
        </w:tc>
        <w:tc>
          <w:tcPr>
            <w:tcW w:w="2689" w:type="dxa"/>
            <w:shd w:val="clear" w:color="auto" w:fill="auto"/>
            <w:noWrap/>
            <w:vAlign w:val="center"/>
          </w:tcPr>
          <w:p w14:paraId="2B3136A0" w14:textId="77777777" w:rsidR="008C038A" w:rsidRPr="007E2695" w:rsidRDefault="008C038A" w:rsidP="00796137">
            <w:pPr>
              <w:spacing w:after="0" w:line="240" w:lineRule="auto"/>
              <w:jc w:val="both"/>
              <w:rPr>
                <w:rFonts w:ascii="Arial" w:hAnsi="Arial" w:cs="Arial"/>
              </w:rPr>
            </w:pPr>
            <w:r w:rsidRPr="007E2695">
              <w:rPr>
                <w:rFonts w:ascii="Arial" w:hAnsi="Arial" w:cs="Arial"/>
              </w:rPr>
              <w:t>Divulgación de planes de continuidad ante diferentes escenarios</w:t>
            </w:r>
          </w:p>
        </w:tc>
        <w:tc>
          <w:tcPr>
            <w:tcW w:w="1842" w:type="dxa"/>
            <w:shd w:val="clear" w:color="auto" w:fill="auto"/>
            <w:noWrap/>
            <w:vAlign w:val="center"/>
          </w:tcPr>
          <w:p w14:paraId="1A096EE5" w14:textId="77777777" w:rsidR="008C038A" w:rsidRPr="007E2695" w:rsidRDefault="008C038A" w:rsidP="00796137">
            <w:pPr>
              <w:spacing w:after="0" w:line="240" w:lineRule="auto"/>
              <w:jc w:val="right"/>
              <w:rPr>
                <w:rFonts w:ascii="Arial" w:hAnsi="Arial" w:cs="Arial"/>
              </w:rPr>
            </w:pPr>
            <w:r w:rsidRPr="007E2695">
              <w:rPr>
                <w:rFonts w:ascii="Arial" w:hAnsi="Arial" w:cs="Arial"/>
              </w:rPr>
              <w:t>100%</w:t>
            </w:r>
          </w:p>
        </w:tc>
        <w:tc>
          <w:tcPr>
            <w:tcW w:w="3959" w:type="dxa"/>
            <w:shd w:val="clear" w:color="auto" w:fill="auto"/>
            <w:noWrap/>
            <w:vAlign w:val="center"/>
          </w:tcPr>
          <w:p w14:paraId="76F007B4" w14:textId="77777777" w:rsidR="008C038A" w:rsidRPr="007E2695" w:rsidRDefault="008C038A" w:rsidP="00796137">
            <w:pPr>
              <w:spacing w:after="0" w:line="240" w:lineRule="auto"/>
              <w:jc w:val="both"/>
              <w:rPr>
                <w:rFonts w:ascii="Arial" w:hAnsi="Arial" w:cs="Arial"/>
              </w:rPr>
            </w:pPr>
            <w:r w:rsidRPr="007E2695">
              <w:rPr>
                <w:rFonts w:ascii="Arial" w:hAnsi="Arial" w:cs="Arial"/>
              </w:rPr>
              <w:t xml:space="preserve">Se realizó la divulgación de los planes y se actualizó la información en el Repositorio del Subproceso. </w:t>
            </w:r>
          </w:p>
        </w:tc>
      </w:tr>
      <w:tr w:rsidR="00DD515B" w:rsidRPr="00DD515B" w14:paraId="6F806E60" w14:textId="77777777" w:rsidTr="0007679B">
        <w:trPr>
          <w:trHeight w:val="310"/>
          <w:jc w:val="right"/>
        </w:trPr>
        <w:tc>
          <w:tcPr>
            <w:tcW w:w="567" w:type="dxa"/>
            <w:shd w:val="clear" w:color="auto" w:fill="auto"/>
            <w:noWrap/>
            <w:vAlign w:val="center"/>
            <w:hideMark/>
          </w:tcPr>
          <w:p w14:paraId="34C1951D" w14:textId="77777777" w:rsidR="008C038A" w:rsidRPr="00DD515B" w:rsidRDefault="008C038A" w:rsidP="00796137">
            <w:pPr>
              <w:spacing w:after="0" w:line="240" w:lineRule="auto"/>
              <w:jc w:val="center"/>
              <w:rPr>
                <w:rFonts w:ascii="Arial" w:hAnsi="Arial" w:cs="Arial"/>
                <w:color w:val="C00000"/>
              </w:rPr>
            </w:pPr>
            <w:r w:rsidRPr="00754730">
              <w:rPr>
                <w:rFonts w:ascii="Arial" w:hAnsi="Arial" w:cs="Arial"/>
              </w:rPr>
              <w:t>4</w:t>
            </w:r>
          </w:p>
        </w:tc>
        <w:tc>
          <w:tcPr>
            <w:tcW w:w="2689" w:type="dxa"/>
            <w:shd w:val="clear" w:color="auto" w:fill="auto"/>
            <w:noWrap/>
            <w:vAlign w:val="center"/>
          </w:tcPr>
          <w:p w14:paraId="01823C4D" w14:textId="77777777" w:rsidR="008C038A" w:rsidRPr="00754730" w:rsidRDefault="008C038A" w:rsidP="00796137">
            <w:pPr>
              <w:spacing w:after="0" w:line="240" w:lineRule="auto"/>
              <w:jc w:val="both"/>
              <w:rPr>
                <w:rFonts w:ascii="Arial" w:hAnsi="Arial" w:cs="Arial"/>
              </w:rPr>
            </w:pPr>
            <w:r w:rsidRPr="00754730">
              <w:rPr>
                <w:rFonts w:ascii="Arial" w:hAnsi="Arial" w:cs="Arial"/>
              </w:rPr>
              <w:t>Seguimiento y actualización de planes y estrategias de continuidad</w:t>
            </w:r>
          </w:p>
        </w:tc>
        <w:tc>
          <w:tcPr>
            <w:tcW w:w="1842" w:type="dxa"/>
            <w:shd w:val="clear" w:color="auto" w:fill="auto"/>
            <w:noWrap/>
            <w:vAlign w:val="center"/>
          </w:tcPr>
          <w:p w14:paraId="7C500360" w14:textId="1A8378D9" w:rsidR="008C038A" w:rsidRPr="00754730" w:rsidRDefault="00331422" w:rsidP="00796137">
            <w:pPr>
              <w:spacing w:after="0" w:line="240" w:lineRule="auto"/>
              <w:jc w:val="right"/>
              <w:rPr>
                <w:rFonts w:ascii="Arial" w:hAnsi="Arial" w:cs="Arial"/>
              </w:rPr>
            </w:pPr>
            <w:r w:rsidRPr="00754730">
              <w:rPr>
                <w:rFonts w:ascii="Arial" w:hAnsi="Arial" w:cs="Arial"/>
              </w:rPr>
              <w:t>85</w:t>
            </w:r>
            <w:r w:rsidR="008C038A" w:rsidRPr="00754730">
              <w:rPr>
                <w:rFonts w:ascii="Arial" w:hAnsi="Arial" w:cs="Arial"/>
              </w:rPr>
              <w:t>%</w:t>
            </w:r>
          </w:p>
        </w:tc>
        <w:tc>
          <w:tcPr>
            <w:tcW w:w="3959" w:type="dxa"/>
            <w:shd w:val="clear" w:color="auto" w:fill="auto"/>
            <w:noWrap/>
            <w:vAlign w:val="center"/>
          </w:tcPr>
          <w:p w14:paraId="21878062" w14:textId="77777777" w:rsidR="008C038A" w:rsidRPr="00754730" w:rsidRDefault="008C038A" w:rsidP="00796137">
            <w:pPr>
              <w:spacing w:after="0" w:line="240" w:lineRule="auto"/>
              <w:jc w:val="both"/>
              <w:rPr>
                <w:rFonts w:ascii="Arial" w:hAnsi="Arial" w:cs="Arial"/>
              </w:rPr>
            </w:pPr>
            <w:r w:rsidRPr="00754730">
              <w:rPr>
                <w:rFonts w:ascii="Arial" w:hAnsi="Arial" w:cs="Arial"/>
              </w:rPr>
              <w:t>La revisión de estrategias se valid</w:t>
            </w:r>
            <w:r w:rsidR="0029789B" w:rsidRPr="00754730">
              <w:rPr>
                <w:rFonts w:ascii="Arial" w:hAnsi="Arial" w:cs="Arial"/>
              </w:rPr>
              <w:t>ó</w:t>
            </w:r>
            <w:r w:rsidRPr="00754730">
              <w:rPr>
                <w:rFonts w:ascii="Arial" w:hAnsi="Arial" w:cs="Arial"/>
              </w:rPr>
              <w:t xml:space="preserve"> con la actualización del SIA 2023.</w:t>
            </w:r>
          </w:p>
          <w:p w14:paraId="642A8A52" w14:textId="77777777" w:rsidR="0029789B" w:rsidRPr="00754730" w:rsidRDefault="0029789B" w:rsidP="00796137">
            <w:pPr>
              <w:spacing w:after="0" w:line="240" w:lineRule="auto"/>
              <w:jc w:val="both"/>
              <w:rPr>
                <w:rFonts w:ascii="Arial" w:hAnsi="Arial" w:cs="Arial"/>
              </w:rPr>
            </w:pPr>
          </w:p>
          <w:p w14:paraId="6F2B69A2" w14:textId="5D27CF40" w:rsidR="0029789B" w:rsidRPr="00754730" w:rsidRDefault="0029789B" w:rsidP="00796137">
            <w:pPr>
              <w:spacing w:after="0" w:line="240" w:lineRule="auto"/>
              <w:jc w:val="both"/>
              <w:rPr>
                <w:rFonts w:ascii="Arial" w:hAnsi="Arial" w:cs="Arial"/>
              </w:rPr>
            </w:pPr>
            <w:r w:rsidRPr="00754730">
              <w:rPr>
                <w:rFonts w:ascii="Arial" w:hAnsi="Arial" w:cs="Arial"/>
              </w:rPr>
              <w:t xml:space="preserve">El informe de seguimiento está pendiente para presentar en el primer trimestre del año 2024. </w:t>
            </w:r>
          </w:p>
        </w:tc>
      </w:tr>
      <w:tr w:rsidR="00DD515B" w:rsidRPr="00DD515B" w14:paraId="3B141EBF" w14:textId="77777777" w:rsidTr="0007679B">
        <w:trPr>
          <w:trHeight w:val="310"/>
          <w:jc w:val="right"/>
        </w:trPr>
        <w:tc>
          <w:tcPr>
            <w:tcW w:w="567" w:type="dxa"/>
            <w:shd w:val="clear" w:color="auto" w:fill="auto"/>
            <w:noWrap/>
            <w:vAlign w:val="center"/>
            <w:hideMark/>
          </w:tcPr>
          <w:p w14:paraId="2D1742E6" w14:textId="77777777" w:rsidR="008C038A" w:rsidRPr="007E2695" w:rsidRDefault="008C038A" w:rsidP="00796137">
            <w:pPr>
              <w:spacing w:after="0" w:line="240" w:lineRule="auto"/>
              <w:jc w:val="center"/>
              <w:rPr>
                <w:rFonts w:ascii="Arial" w:hAnsi="Arial" w:cs="Arial"/>
              </w:rPr>
            </w:pPr>
            <w:r w:rsidRPr="007E2695">
              <w:rPr>
                <w:rFonts w:ascii="Arial" w:hAnsi="Arial" w:cs="Arial"/>
              </w:rPr>
              <w:t>5</w:t>
            </w:r>
          </w:p>
        </w:tc>
        <w:tc>
          <w:tcPr>
            <w:tcW w:w="2689" w:type="dxa"/>
            <w:shd w:val="clear" w:color="auto" w:fill="auto"/>
            <w:noWrap/>
            <w:vAlign w:val="center"/>
          </w:tcPr>
          <w:p w14:paraId="706E4C4A" w14:textId="77777777" w:rsidR="008C038A" w:rsidRPr="007E2695" w:rsidRDefault="008C038A" w:rsidP="00796137">
            <w:pPr>
              <w:spacing w:after="0" w:line="240" w:lineRule="auto"/>
              <w:jc w:val="both"/>
              <w:rPr>
                <w:rFonts w:ascii="Arial" w:hAnsi="Arial" w:cs="Arial"/>
              </w:rPr>
            </w:pPr>
            <w:r w:rsidRPr="007E2695">
              <w:rPr>
                <w:rFonts w:ascii="Arial" w:hAnsi="Arial" w:cs="Arial"/>
              </w:rPr>
              <w:t>Ejecución de pruebas y simulacros</w:t>
            </w:r>
          </w:p>
        </w:tc>
        <w:tc>
          <w:tcPr>
            <w:tcW w:w="1842" w:type="dxa"/>
            <w:shd w:val="clear" w:color="auto" w:fill="auto"/>
            <w:noWrap/>
            <w:vAlign w:val="center"/>
          </w:tcPr>
          <w:p w14:paraId="5271B1D0" w14:textId="715235CE" w:rsidR="008C038A" w:rsidRPr="007E2695" w:rsidRDefault="00331422" w:rsidP="00796137">
            <w:pPr>
              <w:spacing w:after="0" w:line="240" w:lineRule="auto"/>
              <w:jc w:val="right"/>
              <w:rPr>
                <w:rFonts w:ascii="Arial" w:hAnsi="Arial" w:cs="Arial"/>
              </w:rPr>
            </w:pPr>
            <w:r w:rsidRPr="007E2695">
              <w:rPr>
                <w:rFonts w:ascii="Arial" w:hAnsi="Arial" w:cs="Arial"/>
              </w:rPr>
              <w:t>100</w:t>
            </w:r>
            <w:r w:rsidR="008C038A" w:rsidRPr="007E2695">
              <w:rPr>
                <w:rFonts w:ascii="Arial" w:hAnsi="Arial" w:cs="Arial"/>
              </w:rPr>
              <w:t>%</w:t>
            </w:r>
          </w:p>
        </w:tc>
        <w:tc>
          <w:tcPr>
            <w:tcW w:w="3959" w:type="dxa"/>
            <w:shd w:val="clear" w:color="auto" w:fill="auto"/>
            <w:noWrap/>
            <w:vAlign w:val="center"/>
          </w:tcPr>
          <w:p w14:paraId="1E8781F2" w14:textId="77777777" w:rsidR="008C038A" w:rsidRPr="007E2695" w:rsidRDefault="00331422" w:rsidP="00796137">
            <w:pPr>
              <w:spacing w:after="0" w:line="240" w:lineRule="auto"/>
              <w:jc w:val="both"/>
              <w:rPr>
                <w:rFonts w:ascii="Arial" w:hAnsi="Arial" w:cs="Arial"/>
              </w:rPr>
            </w:pPr>
            <w:r w:rsidRPr="007E2695">
              <w:rPr>
                <w:rFonts w:ascii="Arial" w:hAnsi="Arial" w:cs="Arial"/>
              </w:rPr>
              <w:t xml:space="preserve">De acuerdo con las limitaciones de recursos del año 2023 y según los ensayos que fue posible coordinar. </w:t>
            </w:r>
            <w:r w:rsidR="008C038A" w:rsidRPr="007E2695">
              <w:rPr>
                <w:rFonts w:ascii="Arial" w:hAnsi="Arial" w:cs="Arial"/>
              </w:rPr>
              <w:t xml:space="preserve"> </w:t>
            </w:r>
          </w:p>
          <w:p w14:paraId="0680A058" w14:textId="77777777" w:rsidR="00331422" w:rsidRPr="007E2695" w:rsidRDefault="00331422" w:rsidP="00796137">
            <w:pPr>
              <w:spacing w:after="0" w:line="240" w:lineRule="auto"/>
              <w:jc w:val="both"/>
              <w:rPr>
                <w:rFonts w:ascii="Arial" w:hAnsi="Arial" w:cs="Arial"/>
              </w:rPr>
            </w:pPr>
          </w:p>
          <w:p w14:paraId="6EBF4703" w14:textId="73F7F040" w:rsidR="00331422" w:rsidRPr="007E2695" w:rsidRDefault="00331422" w:rsidP="00796137">
            <w:pPr>
              <w:spacing w:after="0" w:line="240" w:lineRule="auto"/>
              <w:jc w:val="both"/>
              <w:rPr>
                <w:rFonts w:ascii="Arial" w:hAnsi="Arial" w:cs="Arial"/>
              </w:rPr>
            </w:pPr>
            <w:r w:rsidRPr="007E2695">
              <w:rPr>
                <w:rFonts w:ascii="Arial" w:hAnsi="Arial" w:cs="Arial"/>
              </w:rPr>
              <w:lastRenderedPageBreak/>
              <w:t xml:space="preserve">La ejecución de las pruebas se abordará con mayor énfasis en el periodo 2024. </w:t>
            </w:r>
          </w:p>
        </w:tc>
      </w:tr>
      <w:tr w:rsidR="00DD515B" w:rsidRPr="00DD515B" w14:paraId="4BE85B90" w14:textId="77777777" w:rsidTr="0007679B">
        <w:trPr>
          <w:trHeight w:val="310"/>
          <w:jc w:val="right"/>
        </w:trPr>
        <w:tc>
          <w:tcPr>
            <w:tcW w:w="567" w:type="dxa"/>
            <w:shd w:val="clear" w:color="auto" w:fill="auto"/>
            <w:noWrap/>
            <w:vAlign w:val="center"/>
            <w:hideMark/>
          </w:tcPr>
          <w:p w14:paraId="0DEC6B84" w14:textId="77777777" w:rsidR="008C038A" w:rsidRPr="007E2695" w:rsidRDefault="008C038A" w:rsidP="00796137">
            <w:pPr>
              <w:spacing w:after="0" w:line="240" w:lineRule="auto"/>
              <w:jc w:val="center"/>
              <w:rPr>
                <w:rFonts w:ascii="Arial" w:hAnsi="Arial" w:cs="Arial"/>
              </w:rPr>
            </w:pPr>
            <w:r w:rsidRPr="007E2695">
              <w:rPr>
                <w:rFonts w:ascii="Arial" w:hAnsi="Arial" w:cs="Arial"/>
              </w:rPr>
              <w:lastRenderedPageBreak/>
              <w:t>6</w:t>
            </w:r>
          </w:p>
        </w:tc>
        <w:tc>
          <w:tcPr>
            <w:tcW w:w="2689" w:type="dxa"/>
            <w:shd w:val="clear" w:color="auto" w:fill="auto"/>
            <w:noWrap/>
            <w:vAlign w:val="center"/>
          </w:tcPr>
          <w:p w14:paraId="41E57088" w14:textId="77777777" w:rsidR="008C038A" w:rsidRPr="007E2695" w:rsidRDefault="008C038A" w:rsidP="00796137">
            <w:pPr>
              <w:spacing w:after="0" w:line="240" w:lineRule="auto"/>
              <w:jc w:val="both"/>
              <w:rPr>
                <w:rFonts w:ascii="Arial" w:hAnsi="Arial" w:cs="Arial"/>
              </w:rPr>
            </w:pPr>
            <w:r w:rsidRPr="007E2695">
              <w:rPr>
                <w:rFonts w:ascii="Arial" w:hAnsi="Arial" w:cs="Arial"/>
              </w:rPr>
              <w:t>Actualización del Análisis de Impacto al Servicio</w:t>
            </w:r>
          </w:p>
        </w:tc>
        <w:tc>
          <w:tcPr>
            <w:tcW w:w="1842" w:type="dxa"/>
            <w:shd w:val="clear" w:color="auto" w:fill="auto"/>
            <w:noWrap/>
            <w:vAlign w:val="center"/>
          </w:tcPr>
          <w:p w14:paraId="1A1AF97C" w14:textId="4FD719B9" w:rsidR="008C038A" w:rsidRPr="007E2695" w:rsidRDefault="00331422" w:rsidP="00796137">
            <w:pPr>
              <w:spacing w:after="0" w:line="240" w:lineRule="auto"/>
              <w:jc w:val="right"/>
              <w:rPr>
                <w:rFonts w:ascii="Arial" w:hAnsi="Arial" w:cs="Arial"/>
              </w:rPr>
            </w:pPr>
            <w:r w:rsidRPr="007E2695">
              <w:rPr>
                <w:rFonts w:ascii="Arial" w:hAnsi="Arial" w:cs="Arial"/>
              </w:rPr>
              <w:t>100</w:t>
            </w:r>
            <w:r w:rsidR="008C038A" w:rsidRPr="007E2695">
              <w:rPr>
                <w:rFonts w:ascii="Arial" w:hAnsi="Arial" w:cs="Arial"/>
              </w:rPr>
              <w:t>%</w:t>
            </w:r>
          </w:p>
        </w:tc>
        <w:tc>
          <w:tcPr>
            <w:tcW w:w="3959" w:type="dxa"/>
            <w:shd w:val="clear" w:color="auto" w:fill="auto"/>
            <w:noWrap/>
            <w:vAlign w:val="center"/>
          </w:tcPr>
          <w:p w14:paraId="17E1C8FD" w14:textId="77777777" w:rsidR="008C038A" w:rsidRPr="007E2695" w:rsidRDefault="008C038A" w:rsidP="00796137">
            <w:pPr>
              <w:spacing w:after="0" w:line="240" w:lineRule="auto"/>
              <w:ind w:right="142"/>
              <w:jc w:val="both"/>
              <w:rPr>
                <w:rFonts w:ascii="Arial" w:hAnsi="Arial" w:cs="Arial"/>
              </w:rPr>
            </w:pPr>
            <w:r w:rsidRPr="007E2695">
              <w:rPr>
                <w:rFonts w:ascii="Arial" w:hAnsi="Arial" w:cs="Arial"/>
              </w:rPr>
              <w:t>Se elaboró el Modelo para la Priorización de Procesos institucionales, el cual fue presentado al Comité Técnico el 11 de agosto de 2023. Durante el setiembre, octubre y noviembre se estarán realizando los talleres con las oficinas y despachos dueños de procesos para la actualización del SIA.</w:t>
            </w:r>
          </w:p>
        </w:tc>
      </w:tr>
      <w:tr w:rsidR="007E2695" w:rsidRPr="007E2695" w14:paraId="0E524C82" w14:textId="77777777" w:rsidTr="0007679B">
        <w:trPr>
          <w:trHeight w:val="310"/>
          <w:jc w:val="right"/>
        </w:trPr>
        <w:tc>
          <w:tcPr>
            <w:tcW w:w="567" w:type="dxa"/>
            <w:shd w:val="clear" w:color="auto" w:fill="auto"/>
            <w:noWrap/>
            <w:vAlign w:val="center"/>
            <w:hideMark/>
          </w:tcPr>
          <w:p w14:paraId="2C0D925C" w14:textId="77777777" w:rsidR="008C038A" w:rsidRPr="007E2695" w:rsidRDefault="008C038A" w:rsidP="00796137">
            <w:pPr>
              <w:spacing w:after="0" w:line="240" w:lineRule="auto"/>
              <w:jc w:val="center"/>
              <w:rPr>
                <w:rFonts w:ascii="Arial" w:hAnsi="Arial" w:cs="Arial"/>
              </w:rPr>
            </w:pPr>
            <w:r w:rsidRPr="007E2695">
              <w:rPr>
                <w:rFonts w:ascii="Arial" w:hAnsi="Arial" w:cs="Arial"/>
              </w:rPr>
              <w:t>7</w:t>
            </w:r>
          </w:p>
        </w:tc>
        <w:tc>
          <w:tcPr>
            <w:tcW w:w="2689" w:type="dxa"/>
            <w:shd w:val="clear" w:color="auto" w:fill="auto"/>
            <w:noWrap/>
            <w:vAlign w:val="center"/>
          </w:tcPr>
          <w:p w14:paraId="1FB48E3E" w14:textId="77777777" w:rsidR="008C038A" w:rsidRPr="00964607" w:rsidRDefault="008C038A" w:rsidP="00796137">
            <w:pPr>
              <w:spacing w:after="0" w:line="240" w:lineRule="auto"/>
              <w:jc w:val="both"/>
              <w:rPr>
                <w:rFonts w:ascii="Arial" w:hAnsi="Arial" w:cs="Arial"/>
              </w:rPr>
            </w:pPr>
            <w:r w:rsidRPr="00964607">
              <w:rPr>
                <w:rFonts w:ascii="Arial" w:hAnsi="Arial" w:cs="Arial"/>
              </w:rPr>
              <w:t>Actualización del Análisis de Riesgos</w:t>
            </w:r>
          </w:p>
        </w:tc>
        <w:tc>
          <w:tcPr>
            <w:tcW w:w="1842" w:type="dxa"/>
            <w:shd w:val="clear" w:color="auto" w:fill="auto"/>
            <w:noWrap/>
            <w:vAlign w:val="center"/>
          </w:tcPr>
          <w:p w14:paraId="6CC1AA8D" w14:textId="4AD658FA" w:rsidR="008C038A" w:rsidRPr="00964607" w:rsidRDefault="00331422" w:rsidP="00796137">
            <w:pPr>
              <w:spacing w:after="0" w:line="240" w:lineRule="auto"/>
              <w:jc w:val="right"/>
              <w:rPr>
                <w:rFonts w:ascii="Arial" w:hAnsi="Arial" w:cs="Arial"/>
              </w:rPr>
            </w:pPr>
            <w:r w:rsidRPr="00964607">
              <w:rPr>
                <w:rFonts w:ascii="Arial" w:hAnsi="Arial" w:cs="Arial"/>
              </w:rPr>
              <w:t>100</w:t>
            </w:r>
            <w:r w:rsidR="008C038A" w:rsidRPr="00964607">
              <w:rPr>
                <w:rFonts w:ascii="Arial" w:hAnsi="Arial" w:cs="Arial"/>
              </w:rPr>
              <w:t>%</w:t>
            </w:r>
          </w:p>
        </w:tc>
        <w:tc>
          <w:tcPr>
            <w:tcW w:w="3959" w:type="dxa"/>
            <w:shd w:val="clear" w:color="auto" w:fill="auto"/>
            <w:noWrap/>
            <w:vAlign w:val="center"/>
          </w:tcPr>
          <w:p w14:paraId="5CB8CEBE" w14:textId="77777777" w:rsidR="008C038A" w:rsidRPr="00964607" w:rsidRDefault="008C038A" w:rsidP="00796137">
            <w:pPr>
              <w:spacing w:after="0" w:line="240" w:lineRule="auto"/>
              <w:jc w:val="both"/>
              <w:rPr>
                <w:rFonts w:ascii="Arial" w:hAnsi="Arial" w:cs="Arial"/>
              </w:rPr>
            </w:pPr>
            <w:r w:rsidRPr="00964607">
              <w:rPr>
                <w:rFonts w:ascii="Arial" w:hAnsi="Arial" w:cs="Arial"/>
              </w:rPr>
              <w:t xml:space="preserve">Se cuenta con el modelo de Análisis de Riesgos actualizado. </w:t>
            </w:r>
          </w:p>
          <w:p w14:paraId="38E0420A" w14:textId="5202B847" w:rsidR="008C038A" w:rsidRPr="00964607" w:rsidRDefault="008C038A" w:rsidP="00796137">
            <w:pPr>
              <w:spacing w:after="0" w:line="240" w:lineRule="auto"/>
              <w:jc w:val="both"/>
              <w:rPr>
                <w:rFonts w:ascii="Arial" w:hAnsi="Arial" w:cs="Arial"/>
              </w:rPr>
            </w:pPr>
            <w:r w:rsidRPr="00964607">
              <w:rPr>
                <w:rFonts w:ascii="Arial" w:hAnsi="Arial" w:cs="Arial"/>
              </w:rPr>
              <w:t xml:space="preserve">El ejercicio se </w:t>
            </w:r>
            <w:r w:rsidR="008D22AE" w:rsidRPr="00964607">
              <w:rPr>
                <w:rFonts w:ascii="Arial" w:hAnsi="Arial" w:cs="Arial"/>
              </w:rPr>
              <w:t>completará</w:t>
            </w:r>
            <w:r w:rsidRPr="00964607">
              <w:rPr>
                <w:rFonts w:ascii="Arial" w:hAnsi="Arial" w:cs="Arial"/>
              </w:rPr>
              <w:t xml:space="preserve"> en el cuarto trimestre de 2023. </w:t>
            </w:r>
          </w:p>
        </w:tc>
      </w:tr>
      <w:tr w:rsidR="00DD515B" w:rsidRPr="007E2695" w14:paraId="3CFAA999" w14:textId="77777777" w:rsidTr="0007679B">
        <w:trPr>
          <w:trHeight w:val="310"/>
          <w:jc w:val="right"/>
        </w:trPr>
        <w:tc>
          <w:tcPr>
            <w:tcW w:w="567" w:type="dxa"/>
            <w:shd w:val="clear" w:color="auto" w:fill="auto"/>
            <w:noWrap/>
            <w:vAlign w:val="center"/>
            <w:hideMark/>
          </w:tcPr>
          <w:p w14:paraId="064DC6A9" w14:textId="77777777" w:rsidR="008C038A" w:rsidRPr="007E2695" w:rsidRDefault="008C038A" w:rsidP="00796137">
            <w:pPr>
              <w:spacing w:after="0" w:line="240" w:lineRule="auto"/>
              <w:jc w:val="center"/>
              <w:rPr>
                <w:rFonts w:ascii="Arial" w:hAnsi="Arial" w:cs="Arial"/>
              </w:rPr>
            </w:pPr>
            <w:r w:rsidRPr="007E2695">
              <w:rPr>
                <w:rFonts w:ascii="Arial" w:hAnsi="Arial" w:cs="Arial"/>
              </w:rPr>
              <w:t>8</w:t>
            </w:r>
          </w:p>
        </w:tc>
        <w:tc>
          <w:tcPr>
            <w:tcW w:w="2689" w:type="dxa"/>
            <w:shd w:val="clear" w:color="auto" w:fill="auto"/>
            <w:noWrap/>
            <w:vAlign w:val="center"/>
          </w:tcPr>
          <w:p w14:paraId="70CAF40B" w14:textId="77777777" w:rsidR="008C038A" w:rsidRPr="007E2695" w:rsidRDefault="008C038A" w:rsidP="00796137">
            <w:pPr>
              <w:spacing w:after="0" w:line="240" w:lineRule="auto"/>
              <w:jc w:val="both"/>
              <w:rPr>
                <w:rFonts w:ascii="Arial" w:hAnsi="Arial" w:cs="Arial"/>
              </w:rPr>
            </w:pPr>
            <w:r w:rsidRPr="007E2695">
              <w:rPr>
                <w:rFonts w:ascii="Arial" w:hAnsi="Arial" w:cs="Arial"/>
              </w:rPr>
              <w:t>Gestión del proyecto</w:t>
            </w:r>
          </w:p>
        </w:tc>
        <w:tc>
          <w:tcPr>
            <w:tcW w:w="1842" w:type="dxa"/>
            <w:shd w:val="clear" w:color="auto" w:fill="auto"/>
            <w:noWrap/>
            <w:vAlign w:val="center"/>
          </w:tcPr>
          <w:p w14:paraId="3501421B" w14:textId="77777777" w:rsidR="008C038A" w:rsidRPr="007E2695" w:rsidRDefault="008C038A" w:rsidP="00796137">
            <w:pPr>
              <w:spacing w:after="0" w:line="240" w:lineRule="auto"/>
              <w:jc w:val="right"/>
              <w:rPr>
                <w:rFonts w:ascii="Arial" w:hAnsi="Arial" w:cs="Arial"/>
              </w:rPr>
            </w:pPr>
            <w:r w:rsidRPr="007E2695">
              <w:rPr>
                <w:rFonts w:ascii="Arial" w:hAnsi="Arial" w:cs="Arial"/>
              </w:rPr>
              <w:t>100%</w:t>
            </w:r>
          </w:p>
        </w:tc>
        <w:tc>
          <w:tcPr>
            <w:tcW w:w="3959" w:type="dxa"/>
            <w:shd w:val="clear" w:color="auto" w:fill="auto"/>
            <w:noWrap/>
            <w:vAlign w:val="center"/>
          </w:tcPr>
          <w:p w14:paraId="0C51E63F" w14:textId="77777777" w:rsidR="008C038A" w:rsidRPr="007E2695" w:rsidRDefault="008C038A" w:rsidP="00796137">
            <w:pPr>
              <w:spacing w:after="0" w:line="240" w:lineRule="auto"/>
              <w:jc w:val="both"/>
              <w:rPr>
                <w:rFonts w:ascii="Arial" w:hAnsi="Arial" w:cs="Arial"/>
              </w:rPr>
            </w:pPr>
            <w:r w:rsidRPr="007E2695">
              <w:rPr>
                <w:rFonts w:ascii="Arial" w:hAnsi="Arial" w:cs="Arial"/>
              </w:rPr>
              <w:t xml:space="preserve">Se mantiene al día. </w:t>
            </w:r>
          </w:p>
        </w:tc>
      </w:tr>
    </w:tbl>
    <w:p w14:paraId="570F3154" w14:textId="77777777" w:rsidR="008C038A" w:rsidRPr="007E2695" w:rsidRDefault="008C038A" w:rsidP="00796137">
      <w:pPr>
        <w:spacing w:after="0" w:line="240" w:lineRule="auto"/>
        <w:ind w:right="142"/>
        <w:jc w:val="both"/>
        <w:rPr>
          <w:rFonts w:ascii="Arial" w:hAnsi="Arial" w:cs="Arial"/>
        </w:rPr>
      </w:pPr>
    </w:p>
    <w:p w14:paraId="11974AC7" w14:textId="1C042641" w:rsidR="008C038A" w:rsidRPr="00143C2B" w:rsidRDefault="008C038A" w:rsidP="00964607">
      <w:pPr>
        <w:spacing w:after="0" w:line="240" w:lineRule="auto"/>
        <w:jc w:val="both"/>
        <w:rPr>
          <w:rFonts w:ascii="Arial" w:eastAsia="Times New Roman" w:hAnsi="Arial" w:cs="Arial"/>
          <w:b/>
          <w:bCs/>
          <w:lang w:eastAsia="es-ES"/>
        </w:rPr>
      </w:pPr>
      <w:r w:rsidRPr="00143C2B">
        <w:rPr>
          <w:rFonts w:ascii="Arial" w:eastAsia="Times New Roman" w:hAnsi="Arial" w:cs="Arial"/>
          <w:b/>
          <w:bCs/>
          <w:lang w:eastAsia="es-ES"/>
        </w:rPr>
        <w:t>Se acuerda: 1)</w:t>
      </w:r>
      <w:r w:rsidRPr="00143C2B">
        <w:rPr>
          <w:rFonts w:ascii="Arial" w:eastAsia="Times New Roman" w:hAnsi="Arial" w:cs="Arial"/>
          <w:lang w:eastAsia="es-ES"/>
        </w:rPr>
        <w:t xml:space="preserve"> Tomar nota del inform</w:t>
      </w:r>
      <w:r w:rsidR="008D22AE" w:rsidRPr="00143C2B">
        <w:rPr>
          <w:rFonts w:ascii="Arial" w:eastAsia="Times New Roman" w:hAnsi="Arial" w:cs="Arial"/>
          <w:lang w:eastAsia="es-ES"/>
        </w:rPr>
        <w:t>e reportado</w:t>
      </w:r>
      <w:r w:rsidRPr="00143C2B">
        <w:rPr>
          <w:rFonts w:ascii="Arial" w:eastAsia="Times New Roman" w:hAnsi="Arial" w:cs="Arial"/>
          <w:lang w:eastAsia="es-ES"/>
        </w:rPr>
        <w:t xml:space="preserve"> por el Subproceso de Gestión de Continuidad del Servicio, que corresponde al </w:t>
      </w:r>
      <w:r w:rsidR="009B2FBC" w:rsidRPr="00143C2B">
        <w:rPr>
          <w:rFonts w:ascii="Arial" w:eastAsia="Times New Roman" w:hAnsi="Arial" w:cs="Arial"/>
          <w:lang w:eastAsia="es-ES"/>
        </w:rPr>
        <w:t>plan de trabajo para el periodo 2023</w:t>
      </w:r>
      <w:r w:rsidRPr="00143C2B">
        <w:rPr>
          <w:rFonts w:ascii="Arial" w:eastAsia="Times New Roman" w:hAnsi="Arial" w:cs="Arial"/>
          <w:lang w:eastAsia="es-ES"/>
        </w:rPr>
        <w:t>.</w:t>
      </w:r>
      <w:r w:rsidR="00964607" w:rsidRPr="00143C2B">
        <w:rPr>
          <w:rFonts w:ascii="Arial" w:eastAsia="Times New Roman" w:hAnsi="Arial" w:cs="Arial"/>
          <w:lang w:eastAsia="es-ES"/>
        </w:rPr>
        <w:t xml:space="preserve"> </w:t>
      </w:r>
      <w:r w:rsidR="00964607" w:rsidRPr="00143C2B">
        <w:rPr>
          <w:rFonts w:ascii="Arial" w:eastAsia="Times New Roman" w:hAnsi="Arial" w:cs="Arial"/>
          <w:b/>
          <w:bCs/>
          <w:lang w:eastAsia="es-ES"/>
        </w:rPr>
        <w:t>2)</w:t>
      </w:r>
      <w:r w:rsidR="00964607" w:rsidRPr="00143C2B">
        <w:rPr>
          <w:rFonts w:ascii="Arial" w:eastAsia="Times New Roman" w:hAnsi="Arial" w:cs="Arial"/>
          <w:lang w:eastAsia="es-ES"/>
        </w:rPr>
        <w:t xml:space="preserve"> Este Subproceso deberá presentar en el transcurso del I trimestre del periodo 202</w:t>
      </w:r>
      <w:r w:rsidR="009D7E3C" w:rsidRPr="00143C2B">
        <w:rPr>
          <w:rFonts w:ascii="Arial" w:eastAsia="Times New Roman" w:hAnsi="Arial" w:cs="Arial"/>
          <w:lang w:eastAsia="es-ES"/>
        </w:rPr>
        <w:t>4</w:t>
      </w:r>
      <w:r w:rsidR="00964607" w:rsidRPr="00143C2B">
        <w:rPr>
          <w:rFonts w:ascii="Arial" w:eastAsia="Times New Roman" w:hAnsi="Arial" w:cs="Arial"/>
          <w:lang w:eastAsia="es-ES"/>
        </w:rPr>
        <w:t xml:space="preserve"> el resultado del </w:t>
      </w:r>
      <w:r w:rsidR="009D7E3C" w:rsidRPr="00143C2B">
        <w:rPr>
          <w:rFonts w:ascii="Arial" w:hAnsi="Arial" w:cs="Arial"/>
        </w:rPr>
        <w:t>s</w:t>
      </w:r>
      <w:r w:rsidR="00964607" w:rsidRPr="00143C2B">
        <w:rPr>
          <w:rFonts w:ascii="Arial" w:hAnsi="Arial" w:cs="Arial"/>
        </w:rPr>
        <w:t xml:space="preserve">eguimiento y actualización de planes y estrategias de continuidad del periodo 2023, con el fin de cumplir con los compromisos de trabajo de este periodo. </w:t>
      </w:r>
      <w:r w:rsidR="00964607" w:rsidRPr="00143C2B">
        <w:rPr>
          <w:rFonts w:ascii="Arial" w:hAnsi="Arial" w:cs="Arial"/>
          <w:b/>
          <w:bCs/>
        </w:rPr>
        <w:t>3)</w:t>
      </w:r>
      <w:r w:rsidR="00964607" w:rsidRPr="00143C2B">
        <w:rPr>
          <w:rFonts w:ascii="Arial" w:hAnsi="Arial" w:cs="Arial"/>
        </w:rPr>
        <w:t xml:space="preserve"> El Subproceso deberá trasladar el informe de labores del periodo 2023 al Consejo Superior, para su conocimiento.</w:t>
      </w:r>
      <w:r w:rsidR="00FC6A8C" w:rsidRPr="00143C2B">
        <w:rPr>
          <w:rFonts w:ascii="Arial" w:hAnsi="Arial" w:cs="Arial"/>
        </w:rPr>
        <w:t xml:space="preserve"> </w:t>
      </w:r>
      <w:r w:rsidRPr="00143C2B">
        <w:rPr>
          <w:rFonts w:ascii="Arial" w:eastAsia="Times New Roman" w:hAnsi="Arial" w:cs="Arial"/>
          <w:b/>
          <w:bCs/>
          <w:lang w:eastAsia="es-ES"/>
        </w:rPr>
        <w:t xml:space="preserve">ACUERDO FIRME. </w:t>
      </w:r>
    </w:p>
    <w:p w14:paraId="67D74018" w14:textId="71DF5B0B" w:rsidR="0037036B" w:rsidRDefault="0037036B" w:rsidP="00796137">
      <w:pPr>
        <w:spacing w:after="0" w:line="240" w:lineRule="auto"/>
        <w:jc w:val="center"/>
        <w:rPr>
          <w:rFonts w:ascii="Arial" w:hAnsi="Arial" w:cs="Arial"/>
          <w:b/>
          <w:color w:val="2F5496"/>
        </w:rPr>
      </w:pPr>
    </w:p>
    <w:p w14:paraId="39E9D53A" w14:textId="77777777" w:rsidR="00367311" w:rsidRDefault="00367311" w:rsidP="00796137">
      <w:pPr>
        <w:spacing w:after="0" w:line="240" w:lineRule="auto"/>
        <w:jc w:val="center"/>
        <w:rPr>
          <w:rFonts w:ascii="Arial" w:hAnsi="Arial" w:cs="Arial"/>
          <w:b/>
          <w:color w:val="2F5496"/>
          <w:highlight w:val="green"/>
        </w:rPr>
      </w:pPr>
    </w:p>
    <w:p w14:paraId="56DB6BA5" w14:textId="135EE0FC" w:rsidR="00672108" w:rsidRPr="00143C2B" w:rsidRDefault="00672108" w:rsidP="00796137">
      <w:pPr>
        <w:spacing w:after="0" w:line="240" w:lineRule="auto"/>
        <w:jc w:val="center"/>
        <w:rPr>
          <w:rFonts w:ascii="Arial" w:hAnsi="Arial" w:cs="Arial"/>
          <w:b/>
        </w:rPr>
      </w:pPr>
      <w:r w:rsidRPr="00143C2B">
        <w:rPr>
          <w:rFonts w:ascii="Arial" w:hAnsi="Arial" w:cs="Arial"/>
          <w:b/>
        </w:rPr>
        <w:t>ARTÍCULO I</w:t>
      </w:r>
      <w:r w:rsidR="003F291D" w:rsidRPr="00143C2B">
        <w:rPr>
          <w:rFonts w:ascii="Arial" w:hAnsi="Arial" w:cs="Arial"/>
          <w:b/>
        </w:rPr>
        <w:t>V</w:t>
      </w:r>
    </w:p>
    <w:p w14:paraId="20B4A158" w14:textId="3ABD7208" w:rsidR="00672108" w:rsidRPr="00672108" w:rsidRDefault="00672108" w:rsidP="00796137">
      <w:pPr>
        <w:spacing w:after="0" w:line="240" w:lineRule="auto"/>
        <w:jc w:val="center"/>
        <w:rPr>
          <w:rFonts w:ascii="Arial" w:hAnsi="Arial" w:cs="Arial"/>
          <w:b/>
          <w:color w:val="2F5496"/>
          <w:highlight w:val="green"/>
        </w:rPr>
      </w:pPr>
    </w:p>
    <w:p w14:paraId="10CC75A0" w14:textId="5AA5D5F4" w:rsidR="00672108" w:rsidRDefault="00672108" w:rsidP="00796137">
      <w:pPr>
        <w:spacing w:after="0" w:line="240" w:lineRule="auto"/>
        <w:rPr>
          <w:rFonts w:ascii="Arial" w:hAnsi="Arial" w:cs="Arial"/>
          <w:b/>
        </w:rPr>
      </w:pPr>
      <w:r w:rsidRPr="003F291D">
        <w:rPr>
          <w:rFonts w:ascii="Arial" w:hAnsi="Arial" w:cs="Arial"/>
          <w:b/>
        </w:rPr>
        <w:t>Propuesta de plan de trabajo para periodo 2024</w:t>
      </w:r>
    </w:p>
    <w:p w14:paraId="270DE136" w14:textId="77777777" w:rsidR="00367311" w:rsidRPr="003F291D" w:rsidRDefault="00367311" w:rsidP="00796137">
      <w:pPr>
        <w:spacing w:after="0" w:line="240" w:lineRule="auto"/>
        <w:rPr>
          <w:rFonts w:ascii="Arial" w:hAnsi="Arial" w:cs="Arial"/>
          <w:b/>
        </w:rPr>
      </w:pPr>
    </w:p>
    <w:bookmarkEnd w:id="0"/>
    <w:p w14:paraId="6B723891" w14:textId="77777777" w:rsidR="003B1FBC" w:rsidRPr="006958DD" w:rsidRDefault="003B1FBC" w:rsidP="00796137">
      <w:pPr>
        <w:spacing w:after="0" w:line="240" w:lineRule="auto"/>
        <w:jc w:val="both"/>
        <w:rPr>
          <w:rFonts w:ascii="Arial" w:hAnsi="Arial" w:cs="Arial"/>
          <w:lang w:val="es-ES"/>
        </w:rPr>
      </w:pPr>
      <w:r w:rsidRPr="006958DD">
        <w:rPr>
          <w:rFonts w:ascii="Arial" w:hAnsi="Arial" w:cs="Arial"/>
          <w:lang w:val="es-ES"/>
        </w:rPr>
        <w:t>El Reglamento General de Comisiones del Poder Judicial, aprobado por la Corte Plena en la sesión número 52-2022, celebrada el 17 de octubre de 2022, artículo XXIX, establece en el artículo 12, inciso 5:</w:t>
      </w:r>
    </w:p>
    <w:p w14:paraId="17F10DB6" w14:textId="77777777" w:rsidR="003B1FBC" w:rsidRPr="006958DD" w:rsidRDefault="003B1FBC" w:rsidP="00796137">
      <w:pPr>
        <w:spacing w:after="0" w:line="240" w:lineRule="auto"/>
        <w:jc w:val="both"/>
        <w:rPr>
          <w:rFonts w:ascii="Arial" w:hAnsi="Arial" w:cs="Arial"/>
          <w:lang w:val="es-ES"/>
        </w:rPr>
      </w:pPr>
    </w:p>
    <w:p w14:paraId="15A7BC7D" w14:textId="77777777" w:rsidR="003B1FBC" w:rsidRPr="006958DD" w:rsidRDefault="003B1FBC" w:rsidP="00796137">
      <w:pPr>
        <w:spacing w:after="0" w:line="240" w:lineRule="auto"/>
        <w:ind w:left="851" w:right="49"/>
        <w:jc w:val="both"/>
        <w:textAlignment w:val="baseline"/>
        <w:rPr>
          <w:rFonts w:ascii="Arial" w:hAnsi="Arial" w:cs="Arial"/>
          <w:b/>
          <w:bCs/>
          <w:i/>
          <w:iCs/>
          <w:lang w:val="es-ES"/>
        </w:rPr>
      </w:pPr>
      <w:r w:rsidRPr="006958DD">
        <w:rPr>
          <w:rFonts w:ascii="Arial" w:hAnsi="Arial" w:cs="Arial"/>
          <w:b/>
          <w:bCs/>
          <w:i/>
          <w:iCs/>
          <w:lang w:val="es-ES"/>
        </w:rPr>
        <w:t>“Artículo 12.- De las obligaciones de las comisiones:</w:t>
      </w:r>
    </w:p>
    <w:p w14:paraId="5EF6B1D1" w14:textId="77777777" w:rsidR="003B1FBC" w:rsidRPr="006958DD" w:rsidRDefault="003B1FBC" w:rsidP="00796137">
      <w:pPr>
        <w:spacing w:after="0" w:line="240" w:lineRule="auto"/>
        <w:ind w:left="851" w:right="49"/>
        <w:jc w:val="both"/>
        <w:textAlignment w:val="baseline"/>
        <w:rPr>
          <w:rFonts w:ascii="Arial" w:hAnsi="Arial" w:cs="Arial"/>
          <w:i/>
          <w:iCs/>
          <w:lang w:val="es-ES"/>
        </w:rPr>
      </w:pPr>
    </w:p>
    <w:p w14:paraId="391097C9" w14:textId="77777777" w:rsidR="003B1FBC" w:rsidRPr="006958DD" w:rsidRDefault="003B1FBC" w:rsidP="00796137">
      <w:pPr>
        <w:spacing w:after="0" w:line="240" w:lineRule="auto"/>
        <w:ind w:left="851" w:right="49"/>
        <w:jc w:val="both"/>
        <w:textAlignment w:val="baseline"/>
        <w:rPr>
          <w:rFonts w:ascii="Arial" w:hAnsi="Arial" w:cs="Arial"/>
          <w:i/>
          <w:iCs/>
          <w:lang w:val="es-ES"/>
        </w:rPr>
      </w:pPr>
      <w:r w:rsidRPr="006958DD">
        <w:rPr>
          <w:rFonts w:ascii="Arial" w:hAnsi="Arial" w:cs="Arial"/>
          <w:i/>
          <w:iCs/>
          <w:lang w:val="es-ES"/>
        </w:rPr>
        <w:t>Son obligaciones de las Comisiones del Poder Judicial:</w:t>
      </w:r>
    </w:p>
    <w:p w14:paraId="4C9BD355" w14:textId="77777777" w:rsidR="003B1FBC" w:rsidRPr="006958DD" w:rsidRDefault="003B1FBC" w:rsidP="00796137">
      <w:pPr>
        <w:spacing w:after="0" w:line="240" w:lineRule="auto"/>
        <w:ind w:left="851" w:right="49"/>
        <w:jc w:val="both"/>
        <w:textAlignment w:val="baseline"/>
        <w:rPr>
          <w:rFonts w:ascii="Arial" w:hAnsi="Arial" w:cs="Arial"/>
          <w:i/>
          <w:iCs/>
          <w:lang w:val="es-ES"/>
        </w:rPr>
      </w:pPr>
    </w:p>
    <w:p w14:paraId="11075181" w14:textId="77777777" w:rsidR="003B1FBC" w:rsidRPr="006958DD" w:rsidRDefault="003B1FBC" w:rsidP="00796137">
      <w:pPr>
        <w:spacing w:after="0" w:line="240" w:lineRule="auto"/>
        <w:ind w:left="851" w:right="49"/>
        <w:jc w:val="both"/>
        <w:textAlignment w:val="baseline"/>
        <w:rPr>
          <w:rFonts w:ascii="Arial" w:hAnsi="Arial" w:cs="Arial"/>
          <w:i/>
          <w:iCs/>
          <w:lang w:val="es-ES"/>
        </w:rPr>
      </w:pPr>
      <w:r w:rsidRPr="006958DD">
        <w:rPr>
          <w:rFonts w:ascii="Arial" w:hAnsi="Arial" w:cs="Arial"/>
          <w:i/>
          <w:iCs/>
          <w:lang w:val="es-ES"/>
        </w:rPr>
        <w:t>[…]</w:t>
      </w:r>
    </w:p>
    <w:p w14:paraId="60CE6B5F" w14:textId="77777777" w:rsidR="003B1FBC" w:rsidRPr="006958DD" w:rsidRDefault="003B1FBC" w:rsidP="00796137">
      <w:pPr>
        <w:spacing w:after="0" w:line="240" w:lineRule="auto"/>
        <w:ind w:left="851" w:right="49"/>
        <w:jc w:val="both"/>
        <w:textAlignment w:val="baseline"/>
        <w:rPr>
          <w:rFonts w:ascii="Arial" w:hAnsi="Arial" w:cs="Arial"/>
          <w:i/>
          <w:iCs/>
          <w:lang w:val="es-ES"/>
        </w:rPr>
      </w:pPr>
    </w:p>
    <w:p w14:paraId="69FA0D7A" w14:textId="77777777" w:rsidR="003B1FBC" w:rsidRPr="006958DD" w:rsidRDefault="003B1FBC" w:rsidP="00796137">
      <w:pPr>
        <w:spacing w:after="0" w:line="240" w:lineRule="auto"/>
        <w:ind w:left="851" w:right="49"/>
        <w:jc w:val="both"/>
        <w:textAlignment w:val="baseline"/>
        <w:rPr>
          <w:rFonts w:ascii="Arial" w:hAnsi="Arial" w:cs="Arial"/>
          <w:i/>
          <w:iCs/>
          <w:lang w:val="es-ES"/>
        </w:rPr>
      </w:pPr>
      <w:r w:rsidRPr="006958DD">
        <w:rPr>
          <w:rFonts w:ascii="Arial" w:hAnsi="Arial" w:cs="Arial"/>
          <w:i/>
          <w:iCs/>
          <w:lang w:val="es-ES"/>
        </w:rPr>
        <w:t xml:space="preserve">5.      Elaborar un plan de trabajo para el cumplimiento de sus objetivos, evaluar los resultados de su gestión y valorar cualquier riesgo que pudiera eventualmente </w:t>
      </w:r>
      <w:r w:rsidRPr="006958DD">
        <w:rPr>
          <w:rFonts w:ascii="Arial" w:hAnsi="Arial" w:cs="Arial"/>
          <w:i/>
          <w:iCs/>
          <w:lang w:val="es-ES"/>
        </w:rPr>
        <w:lastRenderedPageBreak/>
        <w:t>presentarse con motivo de sus decisiones y que pueda incidir en el ambiente de control interno institucional.</w:t>
      </w:r>
    </w:p>
    <w:p w14:paraId="38E3E5BA" w14:textId="77777777" w:rsidR="003B1FBC" w:rsidRPr="006958DD" w:rsidRDefault="003B1FBC" w:rsidP="00796137">
      <w:pPr>
        <w:spacing w:after="0" w:line="240" w:lineRule="auto"/>
        <w:ind w:left="851" w:right="49"/>
        <w:jc w:val="both"/>
        <w:textAlignment w:val="baseline"/>
        <w:rPr>
          <w:rFonts w:ascii="Arial" w:hAnsi="Arial" w:cs="Arial"/>
          <w:i/>
          <w:iCs/>
          <w:lang w:val="es-ES"/>
        </w:rPr>
      </w:pPr>
    </w:p>
    <w:p w14:paraId="19F0D356" w14:textId="77777777" w:rsidR="003B1FBC" w:rsidRPr="006958DD" w:rsidRDefault="003B1FBC" w:rsidP="00796137">
      <w:pPr>
        <w:spacing w:after="0" w:line="240" w:lineRule="auto"/>
        <w:ind w:left="851" w:right="49"/>
        <w:jc w:val="both"/>
        <w:textAlignment w:val="baseline"/>
        <w:rPr>
          <w:rFonts w:ascii="Arial" w:hAnsi="Arial" w:cs="Arial"/>
          <w:i/>
          <w:iCs/>
          <w:lang w:val="es-ES"/>
        </w:rPr>
      </w:pPr>
      <w:r w:rsidRPr="006958DD">
        <w:rPr>
          <w:rFonts w:ascii="Arial" w:hAnsi="Arial" w:cs="Arial"/>
          <w:i/>
          <w:iCs/>
          <w:lang w:val="es-ES"/>
        </w:rPr>
        <w:t>[…]”.</w:t>
      </w:r>
    </w:p>
    <w:p w14:paraId="46E837A6" w14:textId="77777777" w:rsidR="003B1FBC" w:rsidRPr="006958DD" w:rsidRDefault="003B1FBC" w:rsidP="00796137">
      <w:pPr>
        <w:pBdr>
          <w:bar w:val="single" w:sz="4" w:color="auto"/>
        </w:pBdr>
        <w:spacing w:after="0" w:line="240" w:lineRule="auto"/>
        <w:ind w:right="851"/>
        <w:jc w:val="both"/>
        <w:rPr>
          <w:rFonts w:ascii="Arial" w:hAnsi="Arial" w:cs="Arial"/>
          <w:lang w:val="es-ES"/>
        </w:rPr>
      </w:pPr>
    </w:p>
    <w:p w14:paraId="55ABB7FD" w14:textId="77777777" w:rsidR="003B1FBC" w:rsidRPr="006958DD" w:rsidRDefault="003B1FBC" w:rsidP="00796137">
      <w:pPr>
        <w:pBdr>
          <w:bar w:val="single" w:sz="4" w:color="auto"/>
        </w:pBdr>
        <w:spacing w:after="0" w:line="240" w:lineRule="auto"/>
        <w:ind w:right="851"/>
        <w:jc w:val="both"/>
        <w:rPr>
          <w:rFonts w:ascii="Arial" w:hAnsi="Arial" w:cs="Arial"/>
          <w:lang w:val="es-ES"/>
        </w:rPr>
      </w:pPr>
      <w:r w:rsidRPr="006958DD">
        <w:rPr>
          <w:rFonts w:ascii="Arial" w:hAnsi="Arial" w:cs="Arial"/>
          <w:lang w:val="es-ES"/>
        </w:rPr>
        <w:t xml:space="preserve">Por su parte, el artículo 31 del mismo Reglamento, entre otros aspectos, indica: </w:t>
      </w:r>
    </w:p>
    <w:p w14:paraId="37BE5933" w14:textId="77777777" w:rsidR="003B1FBC" w:rsidRPr="006958DD" w:rsidRDefault="003B1FBC" w:rsidP="00796137">
      <w:pPr>
        <w:pBdr>
          <w:bar w:val="single" w:sz="4" w:color="auto"/>
        </w:pBdr>
        <w:spacing w:after="0" w:line="240" w:lineRule="auto"/>
        <w:ind w:left="851" w:right="616"/>
        <w:jc w:val="both"/>
        <w:rPr>
          <w:rFonts w:ascii="Arial" w:hAnsi="Arial" w:cs="Arial"/>
          <w:b/>
          <w:bCs/>
          <w:i/>
          <w:iCs/>
          <w:lang w:val="es-ES"/>
        </w:rPr>
      </w:pPr>
    </w:p>
    <w:p w14:paraId="1C70CFC6" w14:textId="77777777" w:rsidR="003B1FBC" w:rsidRPr="006958DD" w:rsidRDefault="003B1FBC" w:rsidP="00796137">
      <w:pPr>
        <w:pBdr>
          <w:bar w:val="single" w:sz="4" w:color="auto"/>
        </w:pBdr>
        <w:spacing w:after="0" w:line="240" w:lineRule="auto"/>
        <w:ind w:left="851" w:right="49"/>
        <w:jc w:val="both"/>
        <w:rPr>
          <w:rFonts w:ascii="Arial" w:hAnsi="Arial" w:cs="Arial"/>
          <w:b/>
          <w:bCs/>
          <w:i/>
          <w:iCs/>
          <w:lang w:val="es-ES"/>
        </w:rPr>
      </w:pPr>
      <w:r w:rsidRPr="006958DD">
        <w:rPr>
          <w:rFonts w:ascii="Arial" w:hAnsi="Arial" w:cs="Arial"/>
          <w:b/>
          <w:bCs/>
          <w:i/>
          <w:iCs/>
          <w:lang w:val="es-ES"/>
        </w:rPr>
        <w:t>“Artículo 31.- De las competencias de la persona que ocupe la Presidencia de la Comisión:</w:t>
      </w:r>
    </w:p>
    <w:p w14:paraId="2EDF9507" w14:textId="77777777" w:rsidR="003B1FBC" w:rsidRPr="006958DD" w:rsidRDefault="003B1FBC" w:rsidP="00796137">
      <w:pPr>
        <w:pBdr>
          <w:bar w:val="single" w:sz="4" w:color="auto"/>
        </w:pBdr>
        <w:spacing w:after="0" w:line="240" w:lineRule="auto"/>
        <w:ind w:left="851" w:right="49"/>
        <w:jc w:val="both"/>
        <w:rPr>
          <w:rFonts w:ascii="Arial" w:hAnsi="Arial" w:cs="Arial"/>
          <w:b/>
          <w:bCs/>
          <w:i/>
          <w:iCs/>
          <w:lang w:val="es-ES"/>
        </w:rPr>
      </w:pPr>
    </w:p>
    <w:p w14:paraId="52650CED"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r w:rsidRPr="006958DD">
        <w:rPr>
          <w:rFonts w:ascii="Arial" w:hAnsi="Arial" w:cs="Arial"/>
          <w:i/>
          <w:iCs/>
          <w:lang w:val="es-ES"/>
        </w:rPr>
        <w:t>Son competencias de la persona que ejerza la Presidencia de una Comisión:</w:t>
      </w:r>
    </w:p>
    <w:p w14:paraId="09ADC2B5"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p>
    <w:p w14:paraId="6A134EBA"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r w:rsidRPr="006958DD">
        <w:rPr>
          <w:rFonts w:ascii="Arial" w:hAnsi="Arial" w:cs="Arial"/>
          <w:i/>
          <w:iCs/>
          <w:lang w:val="es-ES"/>
        </w:rPr>
        <w:t xml:space="preserve">[…] </w:t>
      </w:r>
    </w:p>
    <w:p w14:paraId="01C01F86"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p>
    <w:p w14:paraId="42860503"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r w:rsidRPr="006958DD">
        <w:rPr>
          <w:rFonts w:ascii="Arial" w:hAnsi="Arial" w:cs="Arial"/>
          <w:i/>
          <w:iCs/>
          <w:lang w:val="es-ES"/>
        </w:rPr>
        <w:t>9.- Hacer de conocimiento del órgano responsable de la designación de la respectiva Comisión, el plan de Trabajo de la misma.</w:t>
      </w:r>
    </w:p>
    <w:p w14:paraId="2A7B19D0"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p>
    <w:p w14:paraId="4F9A0340" w14:textId="77777777" w:rsidR="003B1FBC" w:rsidRPr="006958DD" w:rsidRDefault="003B1FBC" w:rsidP="00796137">
      <w:pPr>
        <w:pBdr>
          <w:bar w:val="single" w:sz="4" w:color="auto"/>
        </w:pBdr>
        <w:spacing w:after="0" w:line="240" w:lineRule="auto"/>
        <w:ind w:left="851" w:right="49"/>
        <w:jc w:val="both"/>
        <w:rPr>
          <w:rFonts w:ascii="Arial" w:hAnsi="Arial" w:cs="Arial"/>
          <w:i/>
          <w:iCs/>
          <w:lang w:val="es-ES"/>
        </w:rPr>
      </w:pPr>
      <w:r w:rsidRPr="006958DD">
        <w:rPr>
          <w:rFonts w:ascii="Arial" w:hAnsi="Arial" w:cs="Arial"/>
          <w:i/>
          <w:iCs/>
          <w:lang w:val="es-ES"/>
        </w:rPr>
        <w:t>[…]”.</w:t>
      </w:r>
    </w:p>
    <w:p w14:paraId="627B7B0D" w14:textId="77777777" w:rsidR="003B1FBC" w:rsidRPr="006958DD" w:rsidRDefault="003B1FBC" w:rsidP="00796137">
      <w:pPr>
        <w:spacing w:after="0" w:line="240" w:lineRule="auto"/>
        <w:jc w:val="both"/>
        <w:rPr>
          <w:rFonts w:ascii="Arial" w:hAnsi="Arial" w:cs="Arial"/>
          <w:lang w:val="es-ES"/>
        </w:rPr>
      </w:pPr>
    </w:p>
    <w:p w14:paraId="2639488F" w14:textId="0668BAF9" w:rsidR="00796137" w:rsidRDefault="003B1FBC" w:rsidP="00796137">
      <w:pPr>
        <w:spacing w:after="0" w:line="240" w:lineRule="auto"/>
        <w:jc w:val="both"/>
        <w:rPr>
          <w:rFonts w:ascii="Arial" w:hAnsi="Arial" w:cs="Arial"/>
          <w:lang w:val="es-ES"/>
        </w:rPr>
      </w:pPr>
      <w:r w:rsidRPr="006958DD">
        <w:rPr>
          <w:rFonts w:ascii="Arial" w:hAnsi="Arial" w:cs="Arial"/>
          <w:lang w:val="es-ES"/>
        </w:rPr>
        <w:t>Con el fin de atender lo requerido por el Reglamento, se presenta para conocimiento y aprobación del Comité Técnico</w:t>
      </w:r>
      <w:r w:rsidR="000B7869">
        <w:rPr>
          <w:rFonts w:ascii="Arial" w:hAnsi="Arial" w:cs="Arial"/>
          <w:lang w:val="es-ES"/>
        </w:rPr>
        <w:t>,</w:t>
      </w:r>
      <w:r w:rsidRPr="006958DD">
        <w:rPr>
          <w:rFonts w:ascii="Arial" w:hAnsi="Arial" w:cs="Arial"/>
          <w:lang w:val="es-ES"/>
        </w:rPr>
        <w:t xml:space="preserve"> la propuesta del plan de trabajo para el año 202</w:t>
      </w:r>
      <w:r>
        <w:rPr>
          <w:rFonts w:ascii="Arial" w:hAnsi="Arial" w:cs="Arial"/>
          <w:lang w:val="es-ES"/>
        </w:rPr>
        <w:t>4</w:t>
      </w:r>
      <w:r w:rsidR="00053220">
        <w:rPr>
          <w:rFonts w:ascii="Arial" w:hAnsi="Arial" w:cs="Arial"/>
          <w:lang w:val="es-ES"/>
        </w:rPr>
        <w:t>; para lo cual se considera que la implantación del Sistema conlleva etapas de crecimiento y madurez, conforme con el ciclo de mejora continua,</w:t>
      </w:r>
      <w:r w:rsidR="00796137">
        <w:rPr>
          <w:rFonts w:ascii="Arial" w:hAnsi="Arial" w:cs="Arial"/>
          <w:lang w:val="es-ES"/>
        </w:rPr>
        <w:t xml:space="preserve"> teniendo siempre en cuenta la necesidad institucional de </w:t>
      </w:r>
      <w:r w:rsidR="00796137">
        <w:rPr>
          <w:rFonts w:ascii="Arial" w:hAnsi="Arial" w:cs="Arial"/>
        </w:rPr>
        <w:t>desarrollar aspectos fundamentales para implementar la labor de gestión y desarrollar una capacidad operativa que sea sostenible en el tiempo.</w:t>
      </w:r>
    </w:p>
    <w:p w14:paraId="0D7381CC" w14:textId="77777777" w:rsidR="00796137" w:rsidRDefault="00796137" w:rsidP="00796137">
      <w:pPr>
        <w:spacing w:after="0" w:line="240" w:lineRule="auto"/>
        <w:jc w:val="both"/>
        <w:rPr>
          <w:rFonts w:ascii="Arial" w:hAnsi="Arial" w:cs="Arial"/>
          <w:lang w:val="es-ES"/>
        </w:rPr>
      </w:pPr>
    </w:p>
    <w:p w14:paraId="7BA2CB25" w14:textId="7641CE70" w:rsidR="00796137" w:rsidRDefault="00796137" w:rsidP="00796137">
      <w:pPr>
        <w:spacing w:after="0" w:line="240" w:lineRule="auto"/>
        <w:jc w:val="both"/>
        <w:rPr>
          <w:rFonts w:ascii="Arial" w:hAnsi="Arial" w:cs="Arial"/>
          <w:lang w:val="es-ES"/>
        </w:rPr>
      </w:pPr>
      <w:r>
        <w:rPr>
          <w:rFonts w:ascii="Arial" w:hAnsi="Arial" w:cs="Arial"/>
          <w:lang w:val="es-ES"/>
        </w:rPr>
        <w:t xml:space="preserve">En ese orden, se </w:t>
      </w:r>
      <w:r w:rsidR="000B7869">
        <w:rPr>
          <w:rFonts w:ascii="Arial" w:hAnsi="Arial" w:cs="Arial"/>
          <w:lang w:val="es-ES"/>
        </w:rPr>
        <w:t xml:space="preserve">ha </w:t>
      </w:r>
      <w:r>
        <w:rPr>
          <w:rFonts w:ascii="Arial" w:hAnsi="Arial" w:cs="Arial"/>
          <w:lang w:val="es-ES"/>
        </w:rPr>
        <w:t xml:space="preserve">trabajado de la siguiente manera: </w:t>
      </w:r>
    </w:p>
    <w:p w14:paraId="681ABA5C" w14:textId="77777777" w:rsidR="00796137" w:rsidRDefault="00796137" w:rsidP="00796137">
      <w:pPr>
        <w:spacing w:after="0" w:line="240" w:lineRule="auto"/>
        <w:jc w:val="both"/>
        <w:rPr>
          <w:rFonts w:ascii="Arial" w:hAnsi="Arial" w:cs="Arial"/>
          <w:lang w:val="es-ES"/>
        </w:rPr>
      </w:pPr>
    </w:p>
    <w:p w14:paraId="76461620" w14:textId="77777777" w:rsidR="00796137" w:rsidRPr="00796137" w:rsidRDefault="00796137" w:rsidP="00796137">
      <w:pPr>
        <w:spacing w:after="0" w:line="240" w:lineRule="auto"/>
        <w:ind w:firstLine="360"/>
        <w:jc w:val="both"/>
        <w:rPr>
          <w:rFonts w:ascii="Arial" w:hAnsi="Arial" w:cs="Arial"/>
          <w:b/>
          <w:bCs/>
          <w:lang w:val="es-ES"/>
        </w:rPr>
      </w:pPr>
      <w:r w:rsidRPr="00796137">
        <w:rPr>
          <w:rFonts w:ascii="Arial" w:hAnsi="Arial" w:cs="Arial"/>
          <w:b/>
          <w:bCs/>
          <w:lang w:val="es-ES"/>
        </w:rPr>
        <w:t>A</w:t>
      </w:r>
      <w:r w:rsidR="00053220" w:rsidRPr="00796137">
        <w:rPr>
          <w:rFonts w:ascii="Arial" w:hAnsi="Arial" w:cs="Arial"/>
          <w:b/>
          <w:bCs/>
          <w:lang w:val="es-ES"/>
        </w:rPr>
        <w:t>ño 2022</w:t>
      </w:r>
      <w:r w:rsidRPr="00796137">
        <w:rPr>
          <w:rFonts w:ascii="Arial" w:hAnsi="Arial" w:cs="Arial"/>
          <w:b/>
          <w:bCs/>
          <w:lang w:val="es-ES"/>
        </w:rPr>
        <w:t>:</w:t>
      </w:r>
    </w:p>
    <w:p w14:paraId="1969A302" w14:textId="77777777" w:rsidR="00796137" w:rsidRDefault="00796137" w:rsidP="00796137">
      <w:pPr>
        <w:spacing w:after="0" w:line="240" w:lineRule="auto"/>
        <w:jc w:val="both"/>
        <w:rPr>
          <w:rFonts w:ascii="Arial" w:hAnsi="Arial" w:cs="Arial"/>
          <w:lang w:val="es-ES"/>
        </w:rPr>
      </w:pPr>
    </w:p>
    <w:p w14:paraId="78EAB592" w14:textId="78511D5C" w:rsidR="00796137" w:rsidRDefault="00796137" w:rsidP="00796137">
      <w:pPr>
        <w:pStyle w:val="Prrafodelista"/>
        <w:numPr>
          <w:ilvl w:val="0"/>
          <w:numId w:val="18"/>
        </w:numPr>
        <w:ind w:hanging="371"/>
        <w:rPr>
          <w:rFonts w:ascii="Arial" w:hAnsi="Arial" w:cs="Arial"/>
        </w:rPr>
      </w:pPr>
      <w:r>
        <w:rPr>
          <w:rFonts w:ascii="Arial" w:hAnsi="Arial" w:cs="Arial"/>
        </w:rPr>
        <w:t>S</w:t>
      </w:r>
      <w:r w:rsidR="00053220" w:rsidRPr="00796137">
        <w:rPr>
          <w:rFonts w:ascii="Arial" w:hAnsi="Arial" w:cs="Arial"/>
        </w:rPr>
        <w:t>e dio inicio a la labor del Subproceso, con especial énfasis en dirigir la creación de planes para el escenario de “Indisponibilidad de la plataforma tecnológica” ante las amenazas de ataques cibernéticos</w:t>
      </w:r>
      <w:r>
        <w:rPr>
          <w:rFonts w:ascii="Arial" w:hAnsi="Arial" w:cs="Arial"/>
        </w:rPr>
        <w:t>.</w:t>
      </w:r>
    </w:p>
    <w:p w14:paraId="5AE05159" w14:textId="77777777" w:rsidR="00FA645A" w:rsidRDefault="00FA645A" w:rsidP="00FA645A">
      <w:pPr>
        <w:pStyle w:val="Prrafodelista"/>
        <w:ind w:left="1080"/>
        <w:rPr>
          <w:rFonts w:ascii="Arial" w:hAnsi="Arial" w:cs="Arial"/>
        </w:rPr>
      </w:pPr>
    </w:p>
    <w:p w14:paraId="01A964EB" w14:textId="77777777" w:rsidR="00FA645A" w:rsidRPr="00796137" w:rsidRDefault="00FA645A" w:rsidP="00FA645A">
      <w:pPr>
        <w:pStyle w:val="Prrafodelista"/>
        <w:numPr>
          <w:ilvl w:val="0"/>
          <w:numId w:val="18"/>
        </w:numPr>
        <w:tabs>
          <w:tab w:val="left" w:pos="851"/>
        </w:tabs>
        <w:ind w:hanging="371"/>
        <w:rPr>
          <w:rFonts w:ascii="Arial" w:hAnsi="Arial" w:cs="Arial"/>
        </w:rPr>
      </w:pPr>
      <w:r w:rsidRPr="00FA645A">
        <w:rPr>
          <w:rFonts w:ascii="Arial" w:hAnsi="Arial" w:cs="Arial"/>
        </w:rPr>
        <w:t>Se actualizó la Política de Continuidad del Servicio (la cual está pendiente de aprobar por parte de Corte Plena).</w:t>
      </w:r>
    </w:p>
    <w:p w14:paraId="49B870C0" w14:textId="77777777" w:rsidR="00796137" w:rsidRDefault="00796137" w:rsidP="00796137">
      <w:pPr>
        <w:spacing w:after="0" w:line="240" w:lineRule="auto"/>
        <w:ind w:left="360"/>
        <w:rPr>
          <w:rFonts w:ascii="Arial" w:hAnsi="Arial" w:cs="Arial"/>
        </w:rPr>
      </w:pPr>
    </w:p>
    <w:p w14:paraId="5EAD9564" w14:textId="20DFEDF4" w:rsidR="00796137" w:rsidRPr="00796137" w:rsidRDefault="00796137" w:rsidP="00796137">
      <w:pPr>
        <w:spacing w:after="0" w:line="240" w:lineRule="auto"/>
        <w:ind w:left="360"/>
        <w:rPr>
          <w:rFonts w:ascii="Arial" w:hAnsi="Arial" w:cs="Arial"/>
          <w:b/>
          <w:bCs/>
        </w:rPr>
      </w:pPr>
      <w:r w:rsidRPr="00796137">
        <w:rPr>
          <w:rFonts w:ascii="Arial" w:hAnsi="Arial" w:cs="Arial"/>
          <w:b/>
          <w:bCs/>
        </w:rPr>
        <w:t>Año 2023:</w:t>
      </w:r>
    </w:p>
    <w:p w14:paraId="5B239F58" w14:textId="77777777" w:rsidR="00796137" w:rsidRPr="00796137" w:rsidRDefault="00796137" w:rsidP="00796137">
      <w:pPr>
        <w:pStyle w:val="Prrafodelista"/>
        <w:ind w:left="1080" w:hanging="371"/>
        <w:rPr>
          <w:rFonts w:ascii="Arial" w:hAnsi="Arial" w:cs="Arial"/>
        </w:rPr>
      </w:pPr>
    </w:p>
    <w:p w14:paraId="341FFEF4" w14:textId="6EFEF494" w:rsidR="00796137" w:rsidRDefault="00FA645A" w:rsidP="00796137">
      <w:pPr>
        <w:pStyle w:val="Prrafodelista"/>
        <w:numPr>
          <w:ilvl w:val="0"/>
          <w:numId w:val="17"/>
        </w:numPr>
        <w:ind w:hanging="371"/>
        <w:rPr>
          <w:rFonts w:ascii="Arial" w:hAnsi="Arial" w:cs="Arial"/>
        </w:rPr>
      </w:pPr>
      <w:r w:rsidRPr="00FA645A">
        <w:rPr>
          <w:rFonts w:ascii="Arial" w:hAnsi="Arial" w:cs="Arial"/>
        </w:rPr>
        <w:t>Se d</w:t>
      </w:r>
      <w:r w:rsidR="00796137" w:rsidRPr="00FA645A">
        <w:rPr>
          <w:rFonts w:ascii="Arial" w:hAnsi="Arial" w:cs="Arial"/>
        </w:rPr>
        <w:t>iseñ</w:t>
      </w:r>
      <w:r w:rsidRPr="00FA645A">
        <w:rPr>
          <w:rFonts w:ascii="Arial" w:hAnsi="Arial" w:cs="Arial"/>
        </w:rPr>
        <w:t>ó</w:t>
      </w:r>
      <w:r w:rsidR="00796137" w:rsidRPr="00FA645A">
        <w:rPr>
          <w:rFonts w:ascii="Arial" w:hAnsi="Arial" w:cs="Arial"/>
        </w:rPr>
        <w:t xml:space="preserve"> una estructura que permita operativizar el sistema</w:t>
      </w:r>
      <w:r w:rsidRPr="00FA645A">
        <w:rPr>
          <w:rFonts w:ascii="Arial" w:hAnsi="Arial" w:cs="Arial"/>
        </w:rPr>
        <w:t xml:space="preserve">, la cual </w:t>
      </w:r>
      <w:r w:rsidR="00796137" w:rsidRPr="00FA645A">
        <w:rPr>
          <w:rFonts w:ascii="Arial" w:hAnsi="Arial" w:cs="Arial"/>
        </w:rPr>
        <w:t>fue aprobada en</w:t>
      </w:r>
      <w:r w:rsidR="00796137" w:rsidRPr="007601D2">
        <w:rPr>
          <w:rFonts w:ascii="Arial" w:hAnsi="Arial" w:cs="Arial"/>
        </w:rPr>
        <w:t xml:space="preserve"> la sesión No. 4-2022 del Comité Técnico de Continuidad del Servicio del Poder Judicial, artículo I, celebrada el 2 de diciembre de 2022 y posteriormente aprobada por el Consejo Superior en la sesión 110-2022 celebrada el 15 de diciembre del 2022, artículo XVI.</w:t>
      </w:r>
    </w:p>
    <w:p w14:paraId="5D3A09F6" w14:textId="77777777" w:rsidR="00796137" w:rsidRDefault="00796137" w:rsidP="00796137">
      <w:pPr>
        <w:pStyle w:val="Prrafodelista"/>
        <w:ind w:left="1080" w:hanging="371"/>
        <w:rPr>
          <w:rFonts w:ascii="Arial" w:hAnsi="Arial" w:cs="Arial"/>
        </w:rPr>
      </w:pPr>
    </w:p>
    <w:p w14:paraId="1BF7057E" w14:textId="005F5B65" w:rsidR="00796137" w:rsidRPr="00FA645A" w:rsidRDefault="00FA645A" w:rsidP="00796137">
      <w:pPr>
        <w:pStyle w:val="Prrafodelista"/>
        <w:numPr>
          <w:ilvl w:val="0"/>
          <w:numId w:val="17"/>
        </w:numPr>
        <w:ind w:hanging="371"/>
        <w:rPr>
          <w:rFonts w:ascii="Arial" w:hAnsi="Arial" w:cs="Arial"/>
        </w:rPr>
      </w:pPr>
      <w:r w:rsidRPr="00FA645A">
        <w:rPr>
          <w:rFonts w:ascii="Arial" w:hAnsi="Arial" w:cs="Arial"/>
        </w:rPr>
        <w:t>Se d</w:t>
      </w:r>
      <w:r w:rsidR="00796137" w:rsidRPr="00FA645A">
        <w:rPr>
          <w:rFonts w:ascii="Arial" w:hAnsi="Arial" w:cs="Arial"/>
        </w:rPr>
        <w:t>ivulgar</w:t>
      </w:r>
      <w:r w:rsidRPr="00FA645A">
        <w:rPr>
          <w:rFonts w:ascii="Arial" w:hAnsi="Arial" w:cs="Arial"/>
        </w:rPr>
        <w:t>on</w:t>
      </w:r>
      <w:r w:rsidR="00796137" w:rsidRPr="00FA645A">
        <w:rPr>
          <w:rFonts w:ascii="Arial" w:hAnsi="Arial" w:cs="Arial"/>
        </w:rPr>
        <w:t xml:space="preserve"> los planes de continuidad</w:t>
      </w:r>
      <w:r w:rsidR="00053220" w:rsidRPr="00FA645A">
        <w:rPr>
          <w:rFonts w:ascii="Arial" w:hAnsi="Arial" w:cs="Arial"/>
        </w:rPr>
        <w:t xml:space="preserve">; </w:t>
      </w:r>
      <w:r w:rsidRPr="00FA645A">
        <w:rPr>
          <w:rFonts w:ascii="Arial" w:hAnsi="Arial" w:cs="Arial"/>
        </w:rPr>
        <w:t xml:space="preserve">para que fuesen de conocimiento de todas las personas involucradas en cada oficina y despacho que cuenta con </w:t>
      </w:r>
      <w:r w:rsidRPr="00FA645A">
        <w:rPr>
          <w:rFonts w:ascii="Arial" w:hAnsi="Arial" w:cs="Arial"/>
        </w:rPr>
        <w:lastRenderedPageBreak/>
        <w:t xml:space="preserve">procesos críticos o esenciales. </w:t>
      </w:r>
    </w:p>
    <w:p w14:paraId="6E9A69EB" w14:textId="77777777" w:rsidR="00796137" w:rsidRPr="00FA645A" w:rsidRDefault="00796137" w:rsidP="00796137">
      <w:pPr>
        <w:pStyle w:val="Prrafodelista"/>
        <w:ind w:hanging="371"/>
        <w:rPr>
          <w:rFonts w:ascii="Arial" w:hAnsi="Arial" w:cs="Arial"/>
        </w:rPr>
      </w:pPr>
    </w:p>
    <w:p w14:paraId="4BA87FA8" w14:textId="2099EA50" w:rsidR="00796137" w:rsidRPr="00FA645A" w:rsidRDefault="00FA645A" w:rsidP="00796137">
      <w:pPr>
        <w:pStyle w:val="Prrafodelista"/>
        <w:numPr>
          <w:ilvl w:val="0"/>
          <w:numId w:val="17"/>
        </w:numPr>
        <w:ind w:hanging="371"/>
        <w:rPr>
          <w:rFonts w:ascii="Arial" w:hAnsi="Arial" w:cs="Arial"/>
        </w:rPr>
      </w:pPr>
      <w:r w:rsidRPr="00FA645A">
        <w:rPr>
          <w:rFonts w:ascii="Arial" w:hAnsi="Arial" w:cs="Arial"/>
        </w:rPr>
        <w:t>Se re</w:t>
      </w:r>
      <w:r w:rsidR="00796137" w:rsidRPr="00FA645A">
        <w:rPr>
          <w:rFonts w:ascii="Arial" w:hAnsi="Arial" w:cs="Arial"/>
        </w:rPr>
        <w:t>alizar acciones de concientización para crear una cultura de gestión de la continuidad</w:t>
      </w:r>
      <w:r>
        <w:rPr>
          <w:rFonts w:ascii="Arial" w:hAnsi="Arial" w:cs="Arial"/>
        </w:rPr>
        <w:t xml:space="preserve"> del servicio</w:t>
      </w:r>
      <w:r w:rsidRPr="00FA645A">
        <w:rPr>
          <w:rFonts w:ascii="Arial" w:hAnsi="Arial" w:cs="Arial"/>
        </w:rPr>
        <w:t>.</w:t>
      </w:r>
    </w:p>
    <w:p w14:paraId="1A363018" w14:textId="77777777" w:rsidR="00796137" w:rsidRPr="00FA645A" w:rsidRDefault="00796137" w:rsidP="00796137">
      <w:pPr>
        <w:pStyle w:val="Prrafodelista"/>
        <w:ind w:hanging="371"/>
        <w:rPr>
          <w:rFonts w:ascii="Arial" w:hAnsi="Arial" w:cs="Arial"/>
        </w:rPr>
      </w:pPr>
    </w:p>
    <w:p w14:paraId="6A65413C" w14:textId="5367B611" w:rsidR="00796137" w:rsidRPr="00FA645A" w:rsidRDefault="00FA645A" w:rsidP="00796137">
      <w:pPr>
        <w:pStyle w:val="Prrafodelista"/>
        <w:numPr>
          <w:ilvl w:val="0"/>
          <w:numId w:val="17"/>
        </w:numPr>
        <w:ind w:hanging="371"/>
        <w:rPr>
          <w:rFonts w:ascii="Arial" w:hAnsi="Arial" w:cs="Arial"/>
        </w:rPr>
      </w:pPr>
      <w:r w:rsidRPr="00FA645A">
        <w:rPr>
          <w:rFonts w:ascii="Arial" w:hAnsi="Arial" w:cs="Arial"/>
        </w:rPr>
        <w:t>Se brindaron capacitaciones para</w:t>
      </w:r>
      <w:r w:rsidR="00796137" w:rsidRPr="00FA645A">
        <w:rPr>
          <w:rFonts w:ascii="Arial" w:hAnsi="Arial" w:cs="Arial"/>
        </w:rPr>
        <w:t xml:space="preserve"> formar a las personas</w:t>
      </w:r>
      <w:r w:rsidRPr="00FA645A">
        <w:rPr>
          <w:rFonts w:ascii="Arial" w:hAnsi="Arial" w:cs="Arial"/>
        </w:rPr>
        <w:t xml:space="preserve"> con responsabilidad en </w:t>
      </w:r>
      <w:r>
        <w:rPr>
          <w:rFonts w:ascii="Arial" w:hAnsi="Arial" w:cs="Arial"/>
        </w:rPr>
        <w:t xml:space="preserve">implementar la gestión </w:t>
      </w:r>
      <w:r w:rsidRPr="00FA645A">
        <w:rPr>
          <w:rFonts w:ascii="Arial" w:hAnsi="Arial" w:cs="Arial"/>
        </w:rPr>
        <w:t>de continuidad</w:t>
      </w:r>
      <w:r>
        <w:rPr>
          <w:rFonts w:ascii="Arial" w:hAnsi="Arial" w:cs="Arial"/>
        </w:rPr>
        <w:t xml:space="preserve"> del servicio</w:t>
      </w:r>
      <w:r w:rsidRPr="00FA645A">
        <w:rPr>
          <w:rFonts w:ascii="Arial" w:hAnsi="Arial" w:cs="Arial"/>
        </w:rPr>
        <w:t xml:space="preserve">. </w:t>
      </w:r>
      <w:r w:rsidR="00796137" w:rsidRPr="00FA645A">
        <w:rPr>
          <w:rFonts w:ascii="Arial" w:hAnsi="Arial" w:cs="Arial"/>
        </w:rPr>
        <w:t xml:space="preserve"> </w:t>
      </w:r>
    </w:p>
    <w:p w14:paraId="49849AC6" w14:textId="77777777" w:rsidR="00796137" w:rsidRPr="00796137" w:rsidRDefault="00796137" w:rsidP="00796137">
      <w:pPr>
        <w:pStyle w:val="Prrafodelista"/>
        <w:ind w:hanging="371"/>
        <w:rPr>
          <w:rFonts w:ascii="Arial" w:hAnsi="Arial" w:cs="Arial"/>
        </w:rPr>
      </w:pPr>
    </w:p>
    <w:p w14:paraId="677A469C" w14:textId="4D6BDA79" w:rsidR="00796137" w:rsidRPr="00FA645A" w:rsidRDefault="00FA645A" w:rsidP="00796137">
      <w:pPr>
        <w:pStyle w:val="Prrafodelista"/>
        <w:numPr>
          <w:ilvl w:val="0"/>
          <w:numId w:val="17"/>
        </w:numPr>
        <w:ind w:hanging="371"/>
        <w:rPr>
          <w:rFonts w:ascii="Arial" w:hAnsi="Arial" w:cs="Arial"/>
        </w:rPr>
      </w:pPr>
      <w:r w:rsidRPr="00FA645A">
        <w:rPr>
          <w:rFonts w:ascii="Arial" w:hAnsi="Arial" w:cs="Arial"/>
        </w:rPr>
        <w:t xml:space="preserve">Se dio un </w:t>
      </w:r>
      <w:r w:rsidR="00796137" w:rsidRPr="00FA645A">
        <w:rPr>
          <w:rFonts w:ascii="Arial" w:hAnsi="Arial" w:cs="Arial"/>
        </w:rPr>
        <w:t>seguimiento a las oficinas y despachos para conocer sus acciones en gestión de la continuidad</w:t>
      </w:r>
      <w:r w:rsidRPr="00FA645A">
        <w:rPr>
          <w:rFonts w:ascii="Arial" w:hAnsi="Arial" w:cs="Arial"/>
        </w:rPr>
        <w:t>, así como el avance de la implementación.</w:t>
      </w:r>
    </w:p>
    <w:p w14:paraId="58F3CCDA" w14:textId="77777777" w:rsidR="00796137" w:rsidRPr="00796137" w:rsidRDefault="00796137" w:rsidP="00796137">
      <w:pPr>
        <w:pStyle w:val="Prrafodelista"/>
        <w:rPr>
          <w:rFonts w:ascii="Arial" w:hAnsi="Arial" w:cs="Arial"/>
        </w:rPr>
      </w:pPr>
    </w:p>
    <w:p w14:paraId="547C7BD6" w14:textId="28DEB143" w:rsidR="00796137" w:rsidRPr="00796137" w:rsidRDefault="00796137" w:rsidP="00796137">
      <w:pPr>
        <w:spacing w:after="0" w:line="240" w:lineRule="auto"/>
        <w:ind w:left="426"/>
        <w:jc w:val="both"/>
        <w:rPr>
          <w:rFonts w:ascii="Arial" w:hAnsi="Arial" w:cs="Arial"/>
        </w:rPr>
      </w:pPr>
      <w:r>
        <w:rPr>
          <w:rFonts w:ascii="Arial" w:hAnsi="Arial" w:cs="Arial"/>
        </w:rPr>
        <w:t xml:space="preserve">Todas estas acciones corresponden a la </w:t>
      </w:r>
      <w:r w:rsidRPr="00FA645A">
        <w:rPr>
          <w:rFonts w:ascii="Arial" w:hAnsi="Arial" w:cs="Arial"/>
          <w:b/>
          <w:bCs/>
        </w:rPr>
        <w:t>construcción de las bases del sistema</w:t>
      </w:r>
      <w:r>
        <w:rPr>
          <w:rFonts w:ascii="Arial" w:hAnsi="Arial" w:cs="Arial"/>
        </w:rPr>
        <w:t xml:space="preserve"> y son necesarias para su implantación, </w:t>
      </w:r>
      <w:r w:rsidRPr="00FA645A">
        <w:rPr>
          <w:rFonts w:ascii="Arial" w:hAnsi="Arial" w:cs="Arial"/>
        </w:rPr>
        <w:t xml:space="preserve">donde el eje transversal es la lista de procesos y servicios catalogados como críticos o esenciales a nivel institucional, </w:t>
      </w:r>
      <w:r w:rsidRPr="00796137">
        <w:rPr>
          <w:rFonts w:ascii="Arial" w:hAnsi="Arial" w:cs="Arial"/>
        </w:rPr>
        <w:t>con un enfoque en la capacitación al personal y la divulgación de los planes de continuidad para que los despachos y oficinas judiciales conocieran estos planes y su responsabilidad en el tema.</w:t>
      </w:r>
    </w:p>
    <w:p w14:paraId="0243269E" w14:textId="77777777" w:rsidR="00796137" w:rsidRDefault="00796137" w:rsidP="00796137">
      <w:pPr>
        <w:spacing w:after="0" w:line="240" w:lineRule="auto"/>
        <w:ind w:left="426"/>
        <w:jc w:val="both"/>
        <w:rPr>
          <w:rFonts w:ascii="Arial" w:hAnsi="Arial" w:cs="Arial"/>
        </w:rPr>
      </w:pPr>
    </w:p>
    <w:p w14:paraId="362C8288" w14:textId="21ABB9F3" w:rsidR="003B1FBC" w:rsidRPr="00796137" w:rsidRDefault="00796137" w:rsidP="00796137">
      <w:pPr>
        <w:jc w:val="both"/>
        <w:rPr>
          <w:rFonts w:ascii="Arial" w:hAnsi="Arial" w:cs="Arial"/>
        </w:rPr>
      </w:pPr>
      <w:r w:rsidRPr="00796137">
        <w:rPr>
          <w:rFonts w:ascii="Arial" w:hAnsi="Arial" w:cs="Arial"/>
          <w:b/>
          <w:bCs/>
        </w:rPr>
        <w:t xml:space="preserve">Para el año </w:t>
      </w:r>
      <w:r w:rsidR="00053220" w:rsidRPr="00796137">
        <w:rPr>
          <w:rFonts w:ascii="Arial" w:hAnsi="Arial" w:cs="Arial"/>
          <w:b/>
          <w:bCs/>
        </w:rPr>
        <w:t>2024</w:t>
      </w:r>
      <w:r w:rsidR="00053220" w:rsidRPr="00796137">
        <w:rPr>
          <w:rFonts w:ascii="Arial" w:hAnsi="Arial" w:cs="Arial"/>
        </w:rPr>
        <w:t xml:space="preserve"> el enfoque se centrará en el seguimiento a la responsabilidad de los despachos con </w:t>
      </w:r>
      <w:r w:rsidR="003F291D" w:rsidRPr="00796137">
        <w:rPr>
          <w:rFonts w:ascii="Arial" w:hAnsi="Arial" w:cs="Arial"/>
        </w:rPr>
        <w:t>fuerte enfoque</w:t>
      </w:r>
      <w:r w:rsidR="00053220" w:rsidRPr="00796137">
        <w:rPr>
          <w:rFonts w:ascii="Arial" w:hAnsi="Arial" w:cs="Arial"/>
        </w:rPr>
        <w:t xml:space="preserve"> en la ejecución de pruebas y simulacros. No obstante, también debe contemplarse la elaboración de planes para los despachos y oficinas que se incorporan con nuevos procesos o servicios que se catalogan como críticos o esenciales, según el resultado del Análisis de Impacto al Servicio 2023</w:t>
      </w:r>
      <w:r>
        <w:rPr>
          <w:rFonts w:ascii="Arial" w:hAnsi="Arial" w:cs="Arial"/>
        </w:rPr>
        <w:t>; sin dejar de lado la concientización y capacitación al personal judicial en torno a la gestión de la continuidad del servicio</w:t>
      </w:r>
      <w:r w:rsidR="003B1FBC" w:rsidRPr="00796137">
        <w:rPr>
          <w:rFonts w:ascii="Arial" w:hAnsi="Arial" w:cs="Arial"/>
        </w:rPr>
        <w:t xml:space="preserve">. </w:t>
      </w:r>
    </w:p>
    <w:p w14:paraId="52F93139" w14:textId="3D4FDB34" w:rsidR="003F291D" w:rsidRPr="006958DD" w:rsidRDefault="003F291D" w:rsidP="00796137">
      <w:pPr>
        <w:spacing w:after="0" w:line="240" w:lineRule="auto"/>
        <w:jc w:val="both"/>
        <w:rPr>
          <w:rFonts w:ascii="Arial" w:hAnsi="Arial" w:cs="Arial"/>
          <w:lang w:val="es-ES"/>
        </w:rPr>
      </w:pPr>
      <w:r>
        <w:rPr>
          <w:rFonts w:ascii="Arial" w:hAnsi="Arial" w:cs="Arial"/>
          <w:lang w:val="es-ES"/>
        </w:rPr>
        <w:t>De esta manera, el plan de trabajo se concentrará en los procesos y servicios críticos para la continuidad del servicio institucional ante eventos disruptivos de diferente naturaleza, según las siguientes tareas macro:</w:t>
      </w:r>
    </w:p>
    <w:p w14:paraId="649868F5" w14:textId="77777777" w:rsidR="003B1FBC" w:rsidRPr="006958DD" w:rsidRDefault="003B1FBC" w:rsidP="00796137">
      <w:pPr>
        <w:spacing w:after="0" w:line="240" w:lineRule="auto"/>
        <w:jc w:val="both"/>
        <w:rPr>
          <w:rFonts w:ascii="Arial" w:hAnsi="Arial" w:cs="Arial"/>
          <w:lang w:val="es-ES"/>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103"/>
        <w:gridCol w:w="1555"/>
        <w:gridCol w:w="1705"/>
      </w:tblGrid>
      <w:tr w:rsidR="003B1FBC" w:rsidRPr="006958DD" w14:paraId="084E679F" w14:textId="77777777" w:rsidTr="00DE0A55">
        <w:trPr>
          <w:trHeight w:val="841"/>
          <w:jc w:val="center"/>
        </w:trPr>
        <w:tc>
          <w:tcPr>
            <w:tcW w:w="5670" w:type="dxa"/>
            <w:gridSpan w:val="2"/>
            <w:shd w:val="clear" w:color="auto" w:fill="auto"/>
            <w:noWrap/>
            <w:vAlign w:val="center"/>
            <w:hideMark/>
          </w:tcPr>
          <w:p w14:paraId="45FF58C5" w14:textId="77777777" w:rsidR="003B1FBC" w:rsidRPr="006958DD" w:rsidRDefault="003B1FBC" w:rsidP="00796137">
            <w:pPr>
              <w:spacing w:after="0" w:line="240" w:lineRule="auto"/>
              <w:jc w:val="center"/>
              <w:rPr>
                <w:rFonts w:ascii="Arial" w:hAnsi="Arial" w:cs="Arial"/>
                <w:b/>
                <w:bCs/>
                <w:lang w:val="es-ES"/>
              </w:rPr>
            </w:pPr>
            <w:r w:rsidRPr="006958DD">
              <w:rPr>
                <w:rFonts w:ascii="Arial" w:hAnsi="Arial" w:cs="Arial"/>
                <w:b/>
                <w:bCs/>
                <w:lang w:val="es-ES"/>
              </w:rPr>
              <w:t>Actividades</w:t>
            </w:r>
          </w:p>
        </w:tc>
        <w:tc>
          <w:tcPr>
            <w:tcW w:w="1555" w:type="dxa"/>
            <w:shd w:val="clear" w:color="auto" w:fill="auto"/>
            <w:noWrap/>
            <w:vAlign w:val="center"/>
            <w:hideMark/>
          </w:tcPr>
          <w:p w14:paraId="6FFD4844" w14:textId="77777777" w:rsidR="003B1FBC" w:rsidRPr="006958DD" w:rsidRDefault="003B1FBC" w:rsidP="00796137">
            <w:pPr>
              <w:spacing w:after="0" w:line="240" w:lineRule="auto"/>
              <w:jc w:val="center"/>
              <w:rPr>
                <w:rFonts w:ascii="Arial" w:hAnsi="Arial" w:cs="Arial"/>
                <w:b/>
                <w:bCs/>
                <w:lang w:val="es-ES"/>
              </w:rPr>
            </w:pPr>
            <w:r w:rsidRPr="006958DD">
              <w:rPr>
                <w:rFonts w:ascii="Arial" w:hAnsi="Arial" w:cs="Arial"/>
                <w:b/>
                <w:bCs/>
                <w:lang w:val="es-ES"/>
              </w:rPr>
              <w:t>Fecha estimada de inicio</w:t>
            </w:r>
          </w:p>
        </w:tc>
        <w:tc>
          <w:tcPr>
            <w:tcW w:w="1705" w:type="dxa"/>
            <w:shd w:val="clear" w:color="auto" w:fill="auto"/>
            <w:noWrap/>
            <w:vAlign w:val="center"/>
            <w:hideMark/>
          </w:tcPr>
          <w:p w14:paraId="62CA5C93" w14:textId="77777777" w:rsidR="003B1FBC" w:rsidRPr="006958DD" w:rsidRDefault="003B1FBC" w:rsidP="00796137">
            <w:pPr>
              <w:spacing w:after="0" w:line="240" w:lineRule="auto"/>
              <w:jc w:val="center"/>
              <w:rPr>
                <w:rFonts w:ascii="Arial" w:hAnsi="Arial" w:cs="Arial"/>
                <w:b/>
                <w:bCs/>
                <w:lang w:val="es-ES"/>
              </w:rPr>
            </w:pPr>
            <w:r w:rsidRPr="006958DD">
              <w:rPr>
                <w:rFonts w:ascii="Arial" w:hAnsi="Arial" w:cs="Arial"/>
                <w:b/>
                <w:bCs/>
                <w:lang w:val="es-ES"/>
              </w:rPr>
              <w:t>Fecha estimada de finalización</w:t>
            </w:r>
          </w:p>
        </w:tc>
      </w:tr>
      <w:tr w:rsidR="003B1FBC" w:rsidRPr="006958DD" w14:paraId="5952FE78" w14:textId="77777777" w:rsidTr="00DE0A55">
        <w:trPr>
          <w:trHeight w:val="705"/>
          <w:jc w:val="center"/>
        </w:trPr>
        <w:tc>
          <w:tcPr>
            <w:tcW w:w="567" w:type="dxa"/>
            <w:shd w:val="clear" w:color="auto" w:fill="auto"/>
            <w:noWrap/>
            <w:vAlign w:val="center"/>
            <w:hideMark/>
          </w:tcPr>
          <w:p w14:paraId="42E9E7AC" w14:textId="77777777" w:rsidR="003B1FBC" w:rsidRPr="006958DD" w:rsidRDefault="003B1FBC" w:rsidP="00796137">
            <w:pPr>
              <w:spacing w:after="0" w:line="240" w:lineRule="auto"/>
              <w:jc w:val="center"/>
              <w:rPr>
                <w:rFonts w:ascii="Arial" w:hAnsi="Arial" w:cs="Arial"/>
                <w:lang w:val="es-ES"/>
              </w:rPr>
            </w:pPr>
            <w:r w:rsidRPr="006958DD">
              <w:rPr>
                <w:rFonts w:ascii="Arial" w:hAnsi="Arial" w:cs="Arial"/>
                <w:lang w:val="es-ES"/>
              </w:rPr>
              <w:t>1</w:t>
            </w:r>
          </w:p>
        </w:tc>
        <w:tc>
          <w:tcPr>
            <w:tcW w:w="5103" w:type="dxa"/>
            <w:shd w:val="clear" w:color="auto" w:fill="auto"/>
            <w:noWrap/>
            <w:vAlign w:val="center"/>
          </w:tcPr>
          <w:p w14:paraId="22699212" w14:textId="40F13FC7" w:rsidR="003B1FBC" w:rsidRPr="006958DD" w:rsidRDefault="00755CF9" w:rsidP="00796137">
            <w:pPr>
              <w:spacing w:after="0" w:line="240" w:lineRule="auto"/>
              <w:jc w:val="both"/>
              <w:rPr>
                <w:rFonts w:ascii="Arial" w:hAnsi="Arial" w:cs="Arial"/>
                <w:lang w:val="es-ES"/>
              </w:rPr>
            </w:pPr>
            <w:r w:rsidRPr="006958DD">
              <w:rPr>
                <w:rFonts w:ascii="Arial" w:hAnsi="Arial" w:cs="Arial"/>
                <w:lang w:val="es-ES"/>
              </w:rPr>
              <w:t>Concientización y capacitación al personal judicial</w:t>
            </w:r>
            <w:r w:rsidR="00FA5579">
              <w:rPr>
                <w:rFonts w:ascii="Arial" w:hAnsi="Arial" w:cs="Arial"/>
                <w:lang w:val="es-ES"/>
              </w:rPr>
              <w:t xml:space="preserve"> como labor permanente.</w:t>
            </w:r>
          </w:p>
        </w:tc>
        <w:tc>
          <w:tcPr>
            <w:tcW w:w="1555" w:type="dxa"/>
            <w:shd w:val="clear" w:color="auto" w:fill="auto"/>
            <w:noWrap/>
            <w:vAlign w:val="center"/>
          </w:tcPr>
          <w:p w14:paraId="4715752F" w14:textId="38267579" w:rsidR="003B1FBC" w:rsidRPr="006958DD" w:rsidRDefault="00755CF9" w:rsidP="00796137">
            <w:pPr>
              <w:spacing w:after="0" w:line="240" w:lineRule="auto"/>
              <w:jc w:val="right"/>
              <w:rPr>
                <w:rFonts w:ascii="Arial" w:hAnsi="Arial" w:cs="Arial"/>
                <w:lang w:val="es-ES"/>
              </w:rPr>
            </w:pPr>
            <w:r>
              <w:rPr>
                <w:rFonts w:ascii="Arial" w:hAnsi="Arial" w:cs="Arial"/>
                <w:lang w:val="es-ES"/>
              </w:rPr>
              <w:t>29</w:t>
            </w:r>
            <w:r w:rsidR="003B1FBC" w:rsidRPr="006958DD">
              <w:rPr>
                <w:rFonts w:ascii="Arial" w:hAnsi="Arial" w:cs="Arial"/>
                <w:lang w:val="es-ES"/>
              </w:rPr>
              <w:t>/</w:t>
            </w:r>
            <w:r>
              <w:rPr>
                <w:rFonts w:ascii="Arial" w:hAnsi="Arial" w:cs="Arial"/>
                <w:lang w:val="es-ES"/>
              </w:rPr>
              <w:t>01</w:t>
            </w:r>
            <w:r w:rsidR="003B1FBC" w:rsidRPr="006958DD">
              <w:rPr>
                <w:rFonts w:ascii="Arial" w:hAnsi="Arial" w:cs="Arial"/>
                <w:lang w:val="es-ES"/>
              </w:rPr>
              <w:t>/202</w:t>
            </w:r>
            <w:r>
              <w:rPr>
                <w:rFonts w:ascii="Arial" w:hAnsi="Arial" w:cs="Arial"/>
                <w:lang w:val="es-ES"/>
              </w:rPr>
              <w:t>4</w:t>
            </w:r>
          </w:p>
        </w:tc>
        <w:tc>
          <w:tcPr>
            <w:tcW w:w="1705" w:type="dxa"/>
            <w:shd w:val="clear" w:color="auto" w:fill="auto"/>
            <w:noWrap/>
            <w:vAlign w:val="center"/>
          </w:tcPr>
          <w:p w14:paraId="1D3D7234" w14:textId="3D9F1DC3" w:rsidR="003B1FBC" w:rsidRPr="006958DD" w:rsidRDefault="00755CF9" w:rsidP="00796137">
            <w:pPr>
              <w:spacing w:after="0" w:line="240" w:lineRule="auto"/>
              <w:jc w:val="right"/>
              <w:rPr>
                <w:rFonts w:ascii="Arial" w:hAnsi="Arial" w:cs="Arial"/>
                <w:lang w:val="es-ES"/>
              </w:rPr>
            </w:pPr>
            <w:r>
              <w:rPr>
                <w:rFonts w:ascii="Arial" w:hAnsi="Arial" w:cs="Arial"/>
                <w:lang w:val="es-ES"/>
              </w:rPr>
              <w:t>20</w:t>
            </w:r>
            <w:r w:rsidR="003B1FBC" w:rsidRPr="006958DD">
              <w:rPr>
                <w:rFonts w:ascii="Arial" w:hAnsi="Arial" w:cs="Arial"/>
                <w:lang w:val="es-ES"/>
              </w:rPr>
              <w:t>/</w:t>
            </w:r>
            <w:r>
              <w:rPr>
                <w:rFonts w:ascii="Arial" w:hAnsi="Arial" w:cs="Arial"/>
                <w:lang w:val="es-ES"/>
              </w:rPr>
              <w:t>12</w:t>
            </w:r>
            <w:r w:rsidR="003B1FBC" w:rsidRPr="006958DD">
              <w:rPr>
                <w:rFonts w:ascii="Arial" w:hAnsi="Arial" w:cs="Arial"/>
                <w:lang w:val="es-ES"/>
              </w:rPr>
              <w:t>/202</w:t>
            </w:r>
            <w:r>
              <w:rPr>
                <w:rFonts w:ascii="Arial" w:hAnsi="Arial" w:cs="Arial"/>
                <w:lang w:val="es-ES"/>
              </w:rPr>
              <w:t>4</w:t>
            </w:r>
          </w:p>
        </w:tc>
      </w:tr>
      <w:tr w:rsidR="003B1FBC" w:rsidRPr="006958DD" w14:paraId="2D80154D" w14:textId="77777777" w:rsidTr="00DE0A55">
        <w:trPr>
          <w:trHeight w:val="1269"/>
          <w:jc w:val="center"/>
        </w:trPr>
        <w:tc>
          <w:tcPr>
            <w:tcW w:w="567" w:type="dxa"/>
            <w:shd w:val="clear" w:color="auto" w:fill="auto"/>
            <w:noWrap/>
            <w:vAlign w:val="center"/>
            <w:hideMark/>
          </w:tcPr>
          <w:p w14:paraId="5FF929AB" w14:textId="77777777" w:rsidR="003B1FBC" w:rsidRPr="006958DD" w:rsidRDefault="003B1FBC" w:rsidP="00796137">
            <w:pPr>
              <w:spacing w:after="0" w:line="240" w:lineRule="auto"/>
              <w:jc w:val="center"/>
              <w:rPr>
                <w:rFonts w:ascii="Arial" w:hAnsi="Arial" w:cs="Arial"/>
                <w:lang w:val="es-ES"/>
              </w:rPr>
            </w:pPr>
            <w:r w:rsidRPr="006958DD">
              <w:rPr>
                <w:rFonts w:ascii="Arial" w:hAnsi="Arial" w:cs="Arial"/>
                <w:lang w:val="es-ES"/>
              </w:rPr>
              <w:t>2</w:t>
            </w:r>
          </w:p>
        </w:tc>
        <w:tc>
          <w:tcPr>
            <w:tcW w:w="5103" w:type="dxa"/>
            <w:shd w:val="clear" w:color="auto" w:fill="auto"/>
            <w:noWrap/>
            <w:vAlign w:val="center"/>
          </w:tcPr>
          <w:p w14:paraId="74C06A6C" w14:textId="66337D9D" w:rsidR="003B1FBC" w:rsidRPr="00755CF9" w:rsidRDefault="00755CF9" w:rsidP="00796137">
            <w:pPr>
              <w:spacing w:after="0" w:line="240" w:lineRule="auto"/>
              <w:jc w:val="both"/>
              <w:rPr>
                <w:rFonts w:ascii="Arial" w:hAnsi="Arial" w:cs="Arial"/>
                <w:lang w:val="es-ES"/>
              </w:rPr>
            </w:pPr>
            <w:r w:rsidRPr="00755CF9">
              <w:rPr>
                <w:rFonts w:ascii="Arial" w:hAnsi="Arial" w:cs="Arial"/>
              </w:rPr>
              <w:t xml:space="preserve">Seguimiento al estado de los despachos y oficinas con respecto a la </w:t>
            </w:r>
            <w:r w:rsidRPr="00755CF9">
              <w:rPr>
                <w:rFonts w:ascii="Arial" w:hAnsi="Arial" w:cs="Arial"/>
                <w:u w:val="single"/>
              </w:rPr>
              <w:t>implementación de los planes y estrategias de continuidad</w:t>
            </w:r>
            <w:r w:rsidRPr="00755CF9">
              <w:rPr>
                <w:rFonts w:ascii="Arial" w:hAnsi="Arial" w:cs="Arial"/>
              </w:rPr>
              <w:t xml:space="preserve">: </w:t>
            </w:r>
            <w:r w:rsidR="00FA5579">
              <w:rPr>
                <w:rFonts w:ascii="Arial" w:hAnsi="Arial" w:cs="Arial"/>
              </w:rPr>
              <w:t>a</w:t>
            </w:r>
            <w:r w:rsidRPr="00755CF9">
              <w:rPr>
                <w:rFonts w:ascii="Arial" w:hAnsi="Arial" w:cs="Arial"/>
              </w:rPr>
              <w:t>plica para despachos que ya cuentan con planes elaborados.</w:t>
            </w:r>
          </w:p>
        </w:tc>
        <w:tc>
          <w:tcPr>
            <w:tcW w:w="1555" w:type="dxa"/>
            <w:shd w:val="clear" w:color="auto" w:fill="auto"/>
            <w:noWrap/>
            <w:vAlign w:val="center"/>
          </w:tcPr>
          <w:p w14:paraId="14BFA141" w14:textId="07F5995C" w:rsidR="003B1FBC" w:rsidRPr="006958DD" w:rsidRDefault="00755CF9" w:rsidP="00796137">
            <w:pPr>
              <w:spacing w:after="0" w:line="240" w:lineRule="auto"/>
              <w:jc w:val="right"/>
              <w:rPr>
                <w:rFonts w:ascii="Arial" w:hAnsi="Arial" w:cs="Arial"/>
                <w:lang w:val="es-ES"/>
              </w:rPr>
            </w:pPr>
            <w:r>
              <w:rPr>
                <w:rFonts w:ascii="Arial" w:hAnsi="Arial" w:cs="Arial"/>
                <w:lang w:val="es-ES"/>
              </w:rPr>
              <w:t>15</w:t>
            </w:r>
            <w:r w:rsidR="003B1FBC" w:rsidRPr="006958DD">
              <w:rPr>
                <w:rFonts w:ascii="Arial" w:hAnsi="Arial" w:cs="Arial"/>
                <w:lang w:val="es-ES"/>
              </w:rPr>
              <w:t>/</w:t>
            </w:r>
            <w:r>
              <w:rPr>
                <w:rFonts w:ascii="Arial" w:hAnsi="Arial" w:cs="Arial"/>
                <w:lang w:val="es-ES"/>
              </w:rPr>
              <w:t>01</w:t>
            </w:r>
            <w:r w:rsidR="003B1FBC" w:rsidRPr="006958DD">
              <w:rPr>
                <w:rFonts w:ascii="Arial" w:hAnsi="Arial" w:cs="Arial"/>
                <w:lang w:val="es-ES"/>
              </w:rPr>
              <w:t>/202</w:t>
            </w:r>
            <w:r w:rsidR="00D51DE3">
              <w:rPr>
                <w:rFonts w:ascii="Arial" w:hAnsi="Arial" w:cs="Arial"/>
                <w:lang w:val="es-ES"/>
              </w:rPr>
              <w:t>4</w:t>
            </w:r>
          </w:p>
        </w:tc>
        <w:tc>
          <w:tcPr>
            <w:tcW w:w="1705" w:type="dxa"/>
            <w:shd w:val="clear" w:color="auto" w:fill="auto"/>
            <w:noWrap/>
            <w:vAlign w:val="center"/>
          </w:tcPr>
          <w:p w14:paraId="169A035F" w14:textId="09406137" w:rsidR="003B1FBC" w:rsidRPr="006958DD" w:rsidRDefault="00755CF9" w:rsidP="00796137">
            <w:pPr>
              <w:spacing w:after="0" w:line="240" w:lineRule="auto"/>
              <w:jc w:val="right"/>
              <w:rPr>
                <w:rFonts w:ascii="Arial" w:hAnsi="Arial" w:cs="Arial"/>
                <w:lang w:val="es-ES"/>
              </w:rPr>
            </w:pPr>
            <w:r>
              <w:rPr>
                <w:rFonts w:ascii="Arial" w:hAnsi="Arial" w:cs="Arial"/>
                <w:lang w:val="es-ES"/>
              </w:rPr>
              <w:t>31</w:t>
            </w:r>
            <w:r w:rsidR="003B1FBC" w:rsidRPr="006958DD">
              <w:rPr>
                <w:rFonts w:ascii="Arial" w:hAnsi="Arial" w:cs="Arial"/>
                <w:lang w:val="es-ES"/>
              </w:rPr>
              <w:t>/</w:t>
            </w:r>
            <w:r>
              <w:rPr>
                <w:rFonts w:ascii="Arial" w:hAnsi="Arial" w:cs="Arial"/>
                <w:lang w:val="es-ES"/>
              </w:rPr>
              <w:t>07</w:t>
            </w:r>
            <w:r w:rsidR="003B1FBC" w:rsidRPr="006958DD">
              <w:rPr>
                <w:rFonts w:ascii="Arial" w:hAnsi="Arial" w:cs="Arial"/>
                <w:lang w:val="es-ES"/>
              </w:rPr>
              <w:t>/202</w:t>
            </w:r>
            <w:r>
              <w:rPr>
                <w:rFonts w:ascii="Arial" w:hAnsi="Arial" w:cs="Arial"/>
                <w:lang w:val="es-ES"/>
              </w:rPr>
              <w:t>4</w:t>
            </w:r>
          </w:p>
        </w:tc>
      </w:tr>
      <w:tr w:rsidR="003B1FBC" w:rsidRPr="006958DD" w14:paraId="03463B5D" w14:textId="77777777" w:rsidTr="00DE0A55">
        <w:trPr>
          <w:trHeight w:val="1542"/>
          <w:jc w:val="center"/>
        </w:trPr>
        <w:tc>
          <w:tcPr>
            <w:tcW w:w="567" w:type="dxa"/>
            <w:shd w:val="clear" w:color="auto" w:fill="auto"/>
            <w:noWrap/>
            <w:vAlign w:val="center"/>
            <w:hideMark/>
          </w:tcPr>
          <w:p w14:paraId="25BDF0E2" w14:textId="77777777" w:rsidR="003B1FBC" w:rsidRPr="006958DD" w:rsidRDefault="003B1FBC" w:rsidP="00796137">
            <w:pPr>
              <w:spacing w:after="0" w:line="240" w:lineRule="auto"/>
              <w:jc w:val="center"/>
              <w:rPr>
                <w:rFonts w:ascii="Arial" w:hAnsi="Arial" w:cs="Arial"/>
                <w:lang w:val="es-ES"/>
              </w:rPr>
            </w:pPr>
            <w:r w:rsidRPr="006958DD">
              <w:rPr>
                <w:rFonts w:ascii="Arial" w:hAnsi="Arial" w:cs="Arial"/>
                <w:lang w:val="es-ES"/>
              </w:rPr>
              <w:lastRenderedPageBreak/>
              <w:t>3</w:t>
            </w:r>
          </w:p>
        </w:tc>
        <w:tc>
          <w:tcPr>
            <w:tcW w:w="5103" w:type="dxa"/>
            <w:shd w:val="clear" w:color="auto" w:fill="auto"/>
            <w:noWrap/>
            <w:vAlign w:val="center"/>
          </w:tcPr>
          <w:p w14:paraId="02CED3A4" w14:textId="4BB89A16" w:rsidR="003B1FBC" w:rsidRPr="006958DD" w:rsidRDefault="00755CF9" w:rsidP="00796137">
            <w:pPr>
              <w:spacing w:after="0" w:line="240" w:lineRule="auto"/>
              <w:jc w:val="both"/>
              <w:rPr>
                <w:rFonts w:ascii="Arial" w:hAnsi="Arial" w:cs="Arial"/>
                <w:lang w:val="es-ES"/>
              </w:rPr>
            </w:pPr>
            <w:r>
              <w:rPr>
                <w:rFonts w:ascii="Arial" w:hAnsi="Arial" w:cs="Arial"/>
              </w:rPr>
              <w:t>Coordina</w:t>
            </w:r>
            <w:r w:rsidR="003F291D">
              <w:rPr>
                <w:rFonts w:ascii="Arial" w:hAnsi="Arial" w:cs="Arial"/>
              </w:rPr>
              <w:t>ción</w:t>
            </w:r>
            <w:r>
              <w:rPr>
                <w:rFonts w:ascii="Arial" w:hAnsi="Arial" w:cs="Arial"/>
              </w:rPr>
              <w:t xml:space="preserve"> con los despachos y oficinas que cuentan con </w:t>
            </w:r>
            <w:r w:rsidRPr="00755CF9">
              <w:rPr>
                <w:rFonts w:ascii="Arial" w:hAnsi="Arial" w:cs="Arial"/>
                <w:u w:val="single"/>
              </w:rPr>
              <w:t>nuevos procesos o servicios críticos identificados</w:t>
            </w:r>
            <w:r>
              <w:rPr>
                <w:rFonts w:ascii="Arial" w:hAnsi="Arial" w:cs="Arial"/>
                <w:u w:val="single"/>
              </w:rPr>
              <w:t xml:space="preserve"> en el SIA 2023</w:t>
            </w:r>
            <w:r>
              <w:rPr>
                <w:rFonts w:ascii="Arial" w:hAnsi="Arial" w:cs="Arial"/>
              </w:rPr>
              <w:t>, para realizar el a</w:t>
            </w:r>
            <w:r w:rsidRPr="00755CF9">
              <w:rPr>
                <w:rFonts w:ascii="Arial" w:hAnsi="Arial" w:cs="Arial"/>
              </w:rPr>
              <w:t>nálisis de estrategias y elaboración de planes de continuidad.</w:t>
            </w:r>
          </w:p>
        </w:tc>
        <w:tc>
          <w:tcPr>
            <w:tcW w:w="1555" w:type="dxa"/>
            <w:shd w:val="clear" w:color="auto" w:fill="auto"/>
            <w:noWrap/>
            <w:vAlign w:val="center"/>
          </w:tcPr>
          <w:p w14:paraId="5399DD45" w14:textId="327266F6" w:rsidR="003B1FBC" w:rsidRPr="006958DD" w:rsidRDefault="00755CF9" w:rsidP="00796137">
            <w:pPr>
              <w:spacing w:after="0" w:line="240" w:lineRule="auto"/>
              <w:jc w:val="right"/>
              <w:rPr>
                <w:rFonts w:ascii="Arial" w:hAnsi="Arial" w:cs="Arial"/>
                <w:lang w:val="es-ES"/>
              </w:rPr>
            </w:pPr>
            <w:r>
              <w:rPr>
                <w:rFonts w:ascii="Arial" w:hAnsi="Arial" w:cs="Arial"/>
                <w:lang w:val="es-ES"/>
              </w:rPr>
              <w:t>01</w:t>
            </w:r>
            <w:r w:rsidR="003B1FBC" w:rsidRPr="006958DD">
              <w:rPr>
                <w:rFonts w:ascii="Arial" w:hAnsi="Arial" w:cs="Arial"/>
                <w:lang w:val="es-ES"/>
              </w:rPr>
              <w:t>/</w:t>
            </w:r>
            <w:r>
              <w:rPr>
                <w:rFonts w:ascii="Arial" w:hAnsi="Arial" w:cs="Arial"/>
                <w:lang w:val="es-ES"/>
              </w:rPr>
              <w:t>0</w:t>
            </w:r>
            <w:r w:rsidR="003B1FBC" w:rsidRPr="006958DD">
              <w:rPr>
                <w:rFonts w:ascii="Arial" w:hAnsi="Arial" w:cs="Arial"/>
                <w:lang w:val="es-ES"/>
              </w:rPr>
              <w:t>2/202</w:t>
            </w:r>
            <w:r w:rsidR="00D51DE3">
              <w:rPr>
                <w:rFonts w:ascii="Arial" w:hAnsi="Arial" w:cs="Arial"/>
                <w:lang w:val="es-ES"/>
              </w:rPr>
              <w:t>4</w:t>
            </w:r>
          </w:p>
        </w:tc>
        <w:tc>
          <w:tcPr>
            <w:tcW w:w="1705" w:type="dxa"/>
            <w:shd w:val="clear" w:color="auto" w:fill="auto"/>
            <w:noWrap/>
            <w:vAlign w:val="center"/>
          </w:tcPr>
          <w:p w14:paraId="50CA7DBA" w14:textId="4C89A523" w:rsidR="003B1FBC" w:rsidRPr="006958DD" w:rsidRDefault="00755CF9" w:rsidP="00796137">
            <w:pPr>
              <w:spacing w:after="0" w:line="240" w:lineRule="auto"/>
              <w:jc w:val="right"/>
              <w:rPr>
                <w:rFonts w:ascii="Arial" w:hAnsi="Arial" w:cs="Arial"/>
                <w:lang w:val="es-ES"/>
              </w:rPr>
            </w:pPr>
            <w:r>
              <w:rPr>
                <w:rFonts w:ascii="Arial" w:hAnsi="Arial" w:cs="Arial"/>
                <w:lang w:val="es-ES"/>
              </w:rPr>
              <w:t>30/09</w:t>
            </w:r>
            <w:r w:rsidRPr="006958DD">
              <w:rPr>
                <w:rFonts w:ascii="Arial" w:hAnsi="Arial" w:cs="Arial"/>
                <w:lang w:val="es-ES"/>
              </w:rPr>
              <w:t>/202</w:t>
            </w:r>
            <w:r>
              <w:rPr>
                <w:rFonts w:ascii="Arial" w:hAnsi="Arial" w:cs="Arial"/>
                <w:lang w:val="es-ES"/>
              </w:rPr>
              <w:t>4</w:t>
            </w:r>
          </w:p>
        </w:tc>
      </w:tr>
      <w:tr w:rsidR="00053220" w:rsidRPr="006958DD" w14:paraId="5E62F07D" w14:textId="77777777" w:rsidTr="00DE0A55">
        <w:trPr>
          <w:trHeight w:val="841"/>
          <w:jc w:val="center"/>
        </w:trPr>
        <w:tc>
          <w:tcPr>
            <w:tcW w:w="567" w:type="dxa"/>
            <w:shd w:val="clear" w:color="auto" w:fill="auto"/>
            <w:noWrap/>
            <w:vAlign w:val="center"/>
          </w:tcPr>
          <w:p w14:paraId="38601CC0" w14:textId="12F5533E" w:rsidR="00053220" w:rsidRPr="006958DD" w:rsidRDefault="00053220" w:rsidP="00796137">
            <w:pPr>
              <w:spacing w:after="0" w:line="240" w:lineRule="auto"/>
              <w:jc w:val="center"/>
              <w:rPr>
                <w:rFonts w:ascii="Arial" w:hAnsi="Arial" w:cs="Arial"/>
                <w:lang w:val="es-ES"/>
              </w:rPr>
            </w:pPr>
            <w:r>
              <w:rPr>
                <w:rFonts w:ascii="Arial" w:hAnsi="Arial" w:cs="Arial"/>
                <w:lang w:val="es-ES"/>
              </w:rPr>
              <w:t>4</w:t>
            </w:r>
          </w:p>
        </w:tc>
        <w:tc>
          <w:tcPr>
            <w:tcW w:w="5103" w:type="dxa"/>
            <w:shd w:val="clear" w:color="auto" w:fill="auto"/>
            <w:noWrap/>
            <w:vAlign w:val="center"/>
          </w:tcPr>
          <w:p w14:paraId="5A3BD3E8" w14:textId="154C4D74" w:rsidR="00053220" w:rsidRPr="006958DD" w:rsidRDefault="00053220" w:rsidP="00796137">
            <w:pPr>
              <w:spacing w:after="0" w:line="240" w:lineRule="auto"/>
              <w:jc w:val="both"/>
              <w:rPr>
                <w:rFonts w:ascii="Arial" w:hAnsi="Arial" w:cs="Arial"/>
                <w:lang w:val="es-ES"/>
              </w:rPr>
            </w:pPr>
            <w:r w:rsidRPr="006958DD">
              <w:rPr>
                <w:rFonts w:ascii="Arial" w:hAnsi="Arial" w:cs="Arial"/>
                <w:lang w:val="es-ES"/>
              </w:rPr>
              <w:t>Ejecución de pruebas y simulacros</w:t>
            </w:r>
            <w:r>
              <w:rPr>
                <w:rFonts w:ascii="Arial" w:hAnsi="Arial" w:cs="Arial"/>
                <w:lang w:val="es-ES"/>
              </w:rPr>
              <w:t xml:space="preserve"> a los planes de continuidad en los diferentes escenarios. </w:t>
            </w:r>
          </w:p>
        </w:tc>
        <w:tc>
          <w:tcPr>
            <w:tcW w:w="1555" w:type="dxa"/>
            <w:shd w:val="clear" w:color="auto" w:fill="auto"/>
            <w:noWrap/>
            <w:vAlign w:val="center"/>
          </w:tcPr>
          <w:p w14:paraId="443D5A2D" w14:textId="4FD5CD96" w:rsidR="00053220" w:rsidRPr="006958DD" w:rsidRDefault="00D51DE3" w:rsidP="00796137">
            <w:pPr>
              <w:spacing w:after="0" w:line="240" w:lineRule="auto"/>
              <w:jc w:val="right"/>
              <w:rPr>
                <w:rFonts w:ascii="Arial" w:hAnsi="Arial" w:cs="Arial"/>
                <w:lang w:val="es-ES"/>
              </w:rPr>
            </w:pPr>
            <w:r>
              <w:rPr>
                <w:rFonts w:ascii="Arial" w:hAnsi="Arial" w:cs="Arial"/>
                <w:lang w:val="es-ES"/>
              </w:rPr>
              <w:t>15</w:t>
            </w:r>
            <w:r w:rsidR="00053220" w:rsidRPr="006958DD">
              <w:rPr>
                <w:rFonts w:ascii="Arial" w:hAnsi="Arial" w:cs="Arial"/>
                <w:lang w:val="es-ES"/>
              </w:rPr>
              <w:t>/</w:t>
            </w:r>
            <w:r>
              <w:rPr>
                <w:rFonts w:ascii="Arial" w:hAnsi="Arial" w:cs="Arial"/>
                <w:lang w:val="es-ES"/>
              </w:rPr>
              <w:t>01</w:t>
            </w:r>
            <w:r w:rsidR="00053220" w:rsidRPr="006958DD">
              <w:rPr>
                <w:rFonts w:ascii="Arial" w:hAnsi="Arial" w:cs="Arial"/>
                <w:lang w:val="es-ES"/>
              </w:rPr>
              <w:t>/202</w:t>
            </w:r>
            <w:r>
              <w:rPr>
                <w:rFonts w:ascii="Arial" w:hAnsi="Arial" w:cs="Arial"/>
                <w:lang w:val="es-ES"/>
              </w:rPr>
              <w:t>4</w:t>
            </w:r>
          </w:p>
        </w:tc>
        <w:tc>
          <w:tcPr>
            <w:tcW w:w="1705" w:type="dxa"/>
            <w:shd w:val="clear" w:color="auto" w:fill="auto"/>
            <w:noWrap/>
            <w:vAlign w:val="center"/>
          </w:tcPr>
          <w:p w14:paraId="00B94399" w14:textId="053E38BF" w:rsidR="00053220" w:rsidRPr="006958DD" w:rsidRDefault="00053220" w:rsidP="00796137">
            <w:pPr>
              <w:spacing w:after="0" w:line="240" w:lineRule="auto"/>
              <w:jc w:val="right"/>
              <w:rPr>
                <w:rFonts w:ascii="Arial" w:hAnsi="Arial" w:cs="Arial"/>
                <w:lang w:val="es-ES"/>
              </w:rPr>
            </w:pPr>
            <w:r w:rsidRPr="006958DD">
              <w:rPr>
                <w:rFonts w:ascii="Arial" w:hAnsi="Arial" w:cs="Arial"/>
                <w:lang w:val="es-ES"/>
              </w:rPr>
              <w:t>2</w:t>
            </w:r>
            <w:r w:rsidR="00D51DE3">
              <w:rPr>
                <w:rFonts w:ascii="Arial" w:hAnsi="Arial" w:cs="Arial"/>
                <w:lang w:val="es-ES"/>
              </w:rPr>
              <w:t>0</w:t>
            </w:r>
            <w:r w:rsidRPr="006958DD">
              <w:rPr>
                <w:rFonts w:ascii="Arial" w:hAnsi="Arial" w:cs="Arial"/>
                <w:lang w:val="es-ES"/>
              </w:rPr>
              <w:t>/12/202</w:t>
            </w:r>
            <w:r w:rsidR="00D51DE3">
              <w:rPr>
                <w:rFonts w:ascii="Arial" w:hAnsi="Arial" w:cs="Arial"/>
                <w:lang w:val="es-ES"/>
              </w:rPr>
              <w:t>4</w:t>
            </w:r>
          </w:p>
        </w:tc>
      </w:tr>
      <w:tr w:rsidR="00FC6373" w:rsidRPr="006958DD" w14:paraId="672B28B9" w14:textId="77777777" w:rsidTr="00DE0A55">
        <w:trPr>
          <w:trHeight w:val="841"/>
          <w:jc w:val="center"/>
        </w:trPr>
        <w:tc>
          <w:tcPr>
            <w:tcW w:w="567" w:type="dxa"/>
            <w:shd w:val="clear" w:color="auto" w:fill="auto"/>
            <w:noWrap/>
            <w:vAlign w:val="center"/>
          </w:tcPr>
          <w:p w14:paraId="783DE2EA" w14:textId="7DC63DA9" w:rsidR="00FC6373" w:rsidRDefault="00FC6373" w:rsidP="00FC6373">
            <w:pPr>
              <w:spacing w:after="0" w:line="240" w:lineRule="auto"/>
              <w:jc w:val="center"/>
              <w:rPr>
                <w:rFonts w:ascii="Arial" w:hAnsi="Arial" w:cs="Arial"/>
                <w:lang w:val="es-ES"/>
              </w:rPr>
            </w:pPr>
            <w:r>
              <w:rPr>
                <w:rFonts w:ascii="Arial" w:hAnsi="Arial" w:cs="Arial"/>
                <w:lang w:val="es-ES"/>
              </w:rPr>
              <w:t>5</w:t>
            </w:r>
          </w:p>
        </w:tc>
        <w:tc>
          <w:tcPr>
            <w:tcW w:w="5103" w:type="dxa"/>
            <w:shd w:val="clear" w:color="auto" w:fill="auto"/>
            <w:noWrap/>
            <w:vAlign w:val="center"/>
          </w:tcPr>
          <w:p w14:paraId="79372BBB" w14:textId="405B2BB5" w:rsidR="00FC6373" w:rsidRPr="006958DD" w:rsidRDefault="00FC6373" w:rsidP="00FC6373">
            <w:pPr>
              <w:spacing w:after="0" w:line="240" w:lineRule="auto"/>
              <w:jc w:val="both"/>
              <w:rPr>
                <w:rFonts w:ascii="Arial" w:hAnsi="Arial" w:cs="Arial"/>
                <w:lang w:val="es-ES"/>
              </w:rPr>
            </w:pPr>
            <w:r>
              <w:rPr>
                <w:rFonts w:ascii="Arial" w:hAnsi="Arial" w:cs="Arial"/>
                <w:lang w:val="es-ES"/>
              </w:rPr>
              <w:t>Dar seguimiento a la adquisición de una herramienta para la gestión de procesos y la continuidad del servicio institucional.</w:t>
            </w:r>
          </w:p>
        </w:tc>
        <w:tc>
          <w:tcPr>
            <w:tcW w:w="1555" w:type="dxa"/>
            <w:shd w:val="clear" w:color="auto" w:fill="auto"/>
            <w:noWrap/>
            <w:vAlign w:val="center"/>
          </w:tcPr>
          <w:p w14:paraId="5495A788" w14:textId="2A2E091C" w:rsidR="00FC6373" w:rsidRDefault="00FC6373" w:rsidP="00FC6373">
            <w:pPr>
              <w:spacing w:after="0" w:line="240" w:lineRule="auto"/>
              <w:jc w:val="right"/>
              <w:rPr>
                <w:rFonts w:ascii="Arial" w:hAnsi="Arial" w:cs="Arial"/>
                <w:lang w:val="es-ES"/>
              </w:rPr>
            </w:pPr>
            <w:r>
              <w:rPr>
                <w:rFonts w:ascii="Arial" w:hAnsi="Arial" w:cs="Arial"/>
                <w:lang w:val="es-ES"/>
              </w:rPr>
              <w:t>29</w:t>
            </w:r>
            <w:r w:rsidRPr="006958DD">
              <w:rPr>
                <w:rFonts w:ascii="Arial" w:hAnsi="Arial" w:cs="Arial"/>
                <w:lang w:val="es-ES"/>
              </w:rPr>
              <w:t>/</w:t>
            </w:r>
            <w:r>
              <w:rPr>
                <w:rFonts w:ascii="Arial" w:hAnsi="Arial" w:cs="Arial"/>
                <w:lang w:val="es-ES"/>
              </w:rPr>
              <w:t>01</w:t>
            </w:r>
            <w:r w:rsidRPr="006958DD">
              <w:rPr>
                <w:rFonts w:ascii="Arial" w:hAnsi="Arial" w:cs="Arial"/>
                <w:lang w:val="es-ES"/>
              </w:rPr>
              <w:t>/202</w:t>
            </w:r>
            <w:r>
              <w:rPr>
                <w:rFonts w:ascii="Arial" w:hAnsi="Arial" w:cs="Arial"/>
                <w:lang w:val="es-ES"/>
              </w:rPr>
              <w:t>4</w:t>
            </w:r>
          </w:p>
        </w:tc>
        <w:tc>
          <w:tcPr>
            <w:tcW w:w="1705" w:type="dxa"/>
            <w:shd w:val="clear" w:color="auto" w:fill="auto"/>
            <w:noWrap/>
            <w:vAlign w:val="center"/>
          </w:tcPr>
          <w:p w14:paraId="0C48FD54" w14:textId="43203E81" w:rsidR="00FC6373" w:rsidRPr="006958DD" w:rsidRDefault="00FC6373" w:rsidP="00FC6373">
            <w:pPr>
              <w:spacing w:after="0" w:line="240" w:lineRule="auto"/>
              <w:jc w:val="right"/>
              <w:rPr>
                <w:rFonts w:ascii="Arial" w:hAnsi="Arial" w:cs="Arial"/>
                <w:lang w:val="es-ES"/>
              </w:rPr>
            </w:pPr>
            <w:r>
              <w:rPr>
                <w:rFonts w:ascii="Arial" w:hAnsi="Arial" w:cs="Arial"/>
                <w:lang w:val="es-ES"/>
              </w:rPr>
              <w:t>20</w:t>
            </w:r>
            <w:r w:rsidRPr="006958DD">
              <w:rPr>
                <w:rFonts w:ascii="Arial" w:hAnsi="Arial" w:cs="Arial"/>
                <w:lang w:val="es-ES"/>
              </w:rPr>
              <w:t>/</w:t>
            </w:r>
            <w:r>
              <w:rPr>
                <w:rFonts w:ascii="Arial" w:hAnsi="Arial" w:cs="Arial"/>
                <w:lang w:val="es-ES"/>
              </w:rPr>
              <w:t>12</w:t>
            </w:r>
            <w:r w:rsidRPr="006958DD">
              <w:rPr>
                <w:rFonts w:ascii="Arial" w:hAnsi="Arial" w:cs="Arial"/>
                <w:lang w:val="es-ES"/>
              </w:rPr>
              <w:t>/202</w:t>
            </w:r>
            <w:r>
              <w:rPr>
                <w:rFonts w:ascii="Arial" w:hAnsi="Arial" w:cs="Arial"/>
                <w:lang w:val="es-ES"/>
              </w:rPr>
              <w:t>4</w:t>
            </w:r>
          </w:p>
        </w:tc>
      </w:tr>
    </w:tbl>
    <w:p w14:paraId="5EE9546D" w14:textId="77777777" w:rsidR="003B1FBC" w:rsidRPr="006958DD" w:rsidRDefault="003B1FBC" w:rsidP="00796137">
      <w:pPr>
        <w:widowControl w:val="0"/>
        <w:autoSpaceDE w:val="0"/>
        <w:autoSpaceDN w:val="0"/>
        <w:adjustRightInd w:val="0"/>
        <w:spacing w:after="0" w:line="240" w:lineRule="auto"/>
        <w:ind w:right="142"/>
        <w:jc w:val="both"/>
        <w:rPr>
          <w:rFonts w:ascii="Arial" w:hAnsi="Arial" w:cs="Arial"/>
          <w:lang w:val="es-ES"/>
        </w:rPr>
      </w:pPr>
    </w:p>
    <w:p w14:paraId="3858C07A" w14:textId="77777777" w:rsidR="003B1FBC" w:rsidRPr="000D5A37" w:rsidRDefault="003B1FBC" w:rsidP="00796137">
      <w:pPr>
        <w:widowControl w:val="0"/>
        <w:tabs>
          <w:tab w:val="left" w:pos="8789"/>
        </w:tabs>
        <w:autoSpaceDE w:val="0"/>
        <w:autoSpaceDN w:val="0"/>
        <w:adjustRightInd w:val="0"/>
        <w:spacing w:after="0" w:line="240" w:lineRule="auto"/>
        <w:ind w:right="49"/>
        <w:jc w:val="both"/>
        <w:rPr>
          <w:rFonts w:ascii="Arial" w:hAnsi="Arial" w:cs="Arial"/>
          <w:lang w:val="es-ES"/>
        </w:rPr>
      </w:pPr>
      <w:r w:rsidRPr="000D5A37">
        <w:rPr>
          <w:rFonts w:ascii="Arial" w:hAnsi="Arial" w:cs="Arial"/>
          <w:lang w:val="es-ES"/>
        </w:rPr>
        <w:t xml:space="preserve">Cada una de las tareas indicadas en la tabla anterior está dirigida a ejecutar la labor de implantar y mantener la continuidad del servicio, función a cargo del Subproceso de Gestión de la Continuidad, que estarán a cargo de la supervisión y aprobación del Comité Técnico de Continuidad del Servicio; lo cual implica dotar a la organización de la capacidad para controlar, evaluar y mejorar su gestión de la continuidad. </w:t>
      </w:r>
    </w:p>
    <w:p w14:paraId="3FDCCADB" w14:textId="77777777" w:rsidR="003B1FBC" w:rsidRPr="000D5A37" w:rsidRDefault="003B1FBC" w:rsidP="00796137">
      <w:pPr>
        <w:widowControl w:val="0"/>
        <w:tabs>
          <w:tab w:val="left" w:pos="8789"/>
        </w:tabs>
        <w:autoSpaceDE w:val="0"/>
        <w:autoSpaceDN w:val="0"/>
        <w:adjustRightInd w:val="0"/>
        <w:spacing w:after="0" w:line="240" w:lineRule="auto"/>
        <w:ind w:right="49"/>
        <w:jc w:val="both"/>
        <w:rPr>
          <w:rFonts w:ascii="Arial" w:hAnsi="Arial" w:cs="Arial"/>
          <w:lang w:val="es-ES"/>
        </w:rPr>
      </w:pPr>
    </w:p>
    <w:p w14:paraId="6E9656BA" w14:textId="588F5ABE" w:rsidR="003B1FBC" w:rsidRPr="000D5A37" w:rsidRDefault="003B1FBC" w:rsidP="00796137">
      <w:pPr>
        <w:widowControl w:val="0"/>
        <w:autoSpaceDE w:val="0"/>
        <w:autoSpaceDN w:val="0"/>
        <w:adjustRightInd w:val="0"/>
        <w:spacing w:after="0" w:line="240" w:lineRule="auto"/>
        <w:ind w:right="142"/>
        <w:jc w:val="both"/>
        <w:rPr>
          <w:rFonts w:ascii="Arial" w:hAnsi="Arial" w:cs="Arial"/>
          <w:lang w:val="es-ES"/>
        </w:rPr>
      </w:pPr>
      <w:r w:rsidRPr="000D5A37">
        <w:rPr>
          <w:rFonts w:ascii="Arial" w:hAnsi="Arial" w:cs="Arial"/>
          <w:lang w:val="es-ES"/>
        </w:rPr>
        <w:t>En relación con lo anterior, el Subproceso de Gestión de la Continuidad, como responsable de apoyar al Comité Técnico, deberá ejecutar el plan de trabajo</w:t>
      </w:r>
      <w:r w:rsidR="000B7869">
        <w:rPr>
          <w:rFonts w:ascii="Arial" w:hAnsi="Arial" w:cs="Arial"/>
          <w:lang w:val="es-ES"/>
        </w:rPr>
        <w:t>. E</w:t>
      </w:r>
      <w:r w:rsidRPr="000D5A37">
        <w:rPr>
          <w:rFonts w:ascii="Arial" w:hAnsi="Arial" w:cs="Arial"/>
          <w:lang w:val="es-ES"/>
        </w:rPr>
        <w:t xml:space="preserve">l Comité Técnico, como órgano decisor, líder en la activación de la Gestión de la Continuidad del Servicio, dará seguimiento a dicho plan, conocerá y avalará los informes que presentará el Subproceso de Gestión de la Continuidad en relación con esta ejecución. </w:t>
      </w:r>
    </w:p>
    <w:p w14:paraId="188A10AA" w14:textId="77777777" w:rsidR="003B1FBC" w:rsidRPr="006958DD" w:rsidRDefault="003B1FBC" w:rsidP="00796137">
      <w:pPr>
        <w:widowControl w:val="0"/>
        <w:autoSpaceDE w:val="0"/>
        <w:autoSpaceDN w:val="0"/>
        <w:adjustRightInd w:val="0"/>
        <w:spacing w:after="0" w:line="240" w:lineRule="auto"/>
        <w:ind w:right="142"/>
        <w:jc w:val="both"/>
        <w:rPr>
          <w:rFonts w:ascii="Arial" w:hAnsi="Arial" w:cs="Arial"/>
          <w:lang w:val="es-ES"/>
        </w:rPr>
      </w:pPr>
    </w:p>
    <w:p w14:paraId="03ADFD3D" w14:textId="76924148" w:rsidR="003B1FBC" w:rsidRPr="00FC6373" w:rsidRDefault="003B1FBC" w:rsidP="00796137">
      <w:pPr>
        <w:spacing w:after="0" w:line="240" w:lineRule="auto"/>
        <w:jc w:val="both"/>
        <w:rPr>
          <w:rFonts w:ascii="Arial" w:hAnsi="Arial" w:cs="Arial"/>
          <w:lang w:val="es-ES"/>
        </w:rPr>
      </w:pPr>
      <w:r w:rsidRPr="00FC6373">
        <w:rPr>
          <w:rFonts w:ascii="Arial" w:eastAsia="Times New Roman" w:hAnsi="Arial" w:cs="Arial"/>
          <w:b/>
          <w:bCs/>
          <w:lang w:eastAsia="es-ES"/>
        </w:rPr>
        <w:t>Se acuerda:</w:t>
      </w:r>
      <w:r w:rsidRPr="00FC6373">
        <w:rPr>
          <w:rFonts w:ascii="Arial" w:eastAsia="Times New Roman" w:hAnsi="Arial" w:cs="Arial"/>
          <w:lang w:eastAsia="es-ES"/>
        </w:rPr>
        <w:t xml:space="preserve"> </w:t>
      </w:r>
      <w:r w:rsidRPr="00FC6373">
        <w:rPr>
          <w:rFonts w:ascii="Arial" w:eastAsia="Times New Roman" w:hAnsi="Arial" w:cs="Arial"/>
          <w:b/>
          <w:bCs/>
          <w:lang w:eastAsia="es-ES"/>
        </w:rPr>
        <w:t>1)</w:t>
      </w:r>
      <w:r w:rsidRPr="00FC6373">
        <w:rPr>
          <w:rFonts w:ascii="Arial" w:eastAsia="Times New Roman" w:hAnsi="Arial" w:cs="Arial"/>
          <w:lang w:eastAsia="es-ES"/>
        </w:rPr>
        <w:t xml:space="preserve"> Aprobar el plan de trabajo presentado por el Subproceso de Gestión de la Continuidad del Servicio, el cual se adopta como el </w:t>
      </w:r>
      <w:r w:rsidRPr="00FC6373">
        <w:rPr>
          <w:rFonts w:ascii="Arial" w:eastAsia="Times New Roman" w:hAnsi="Arial" w:cs="Arial"/>
          <w:i/>
          <w:iCs/>
          <w:lang w:eastAsia="es-ES"/>
        </w:rPr>
        <w:t>Plan de Trabajo al cual dará seguimiento el Comité Técnico de Continuidad del Servicio para el periodo 2024</w:t>
      </w:r>
      <w:r w:rsidRPr="00FC6373">
        <w:rPr>
          <w:rFonts w:ascii="Arial" w:eastAsia="Times New Roman" w:hAnsi="Arial" w:cs="Arial"/>
          <w:lang w:eastAsia="es-ES"/>
        </w:rPr>
        <w:t xml:space="preserve">. </w:t>
      </w:r>
      <w:r w:rsidRPr="00FC6373">
        <w:rPr>
          <w:rFonts w:ascii="Arial" w:eastAsia="Times New Roman" w:hAnsi="Arial" w:cs="Arial"/>
          <w:b/>
          <w:bCs/>
          <w:lang w:eastAsia="es-ES"/>
        </w:rPr>
        <w:t>2)</w:t>
      </w:r>
      <w:r w:rsidRPr="00FC6373">
        <w:rPr>
          <w:rFonts w:ascii="Arial" w:eastAsia="Times New Roman" w:hAnsi="Arial" w:cs="Arial"/>
          <w:lang w:eastAsia="es-ES"/>
        </w:rPr>
        <w:t xml:space="preserve"> El Subproceso de Gestión de la Continuidad del Servicio deberá ejecutar dicho plan y presentará los avances correspondientes a este Comité, para su aprobación. </w:t>
      </w:r>
      <w:r w:rsidRPr="00FC6373">
        <w:rPr>
          <w:rFonts w:ascii="Arial" w:eastAsia="Times New Roman" w:hAnsi="Arial" w:cs="Arial"/>
          <w:b/>
          <w:bCs/>
          <w:lang w:eastAsia="es-ES"/>
        </w:rPr>
        <w:t>3)</w:t>
      </w:r>
      <w:r w:rsidRPr="00FC6373">
        <w:rPr>
          <w:rFonts w:ascii="Arial" w:eastAsia="Times New Roman" w:hAnsi="Arial" w:cs="Arial"/>
          <w:lang w:eastAsia="es-ES"/>
        </w:rPr>
        <w:t xml:space="preserve"> El Subproceso de Gestión de la Continuidad del Servicio deberá enviar comunicación oficial de este acuerdo al Consejo Superior, con el fin de atender lo requerido en los artículos 12, inciso 5 y 31, inciso 9 </w:t>
      </w:r>
      <w:r w:rsidRPr="00FC6373">
        <w:rPr>
          <w:rFonts w:ascii="Arial" w:hAnsi="Arial" w:cs="Arial"/>
          <w:lang w:val="es-ES"/>
        </w:rPr>
        <w:t xml:space="preserve">del </w:t>
      </w:r>
      <w:r w:rsidRPr="00FC6373">
        <w:rPr>
          <w:rFonts w:ascii="Arial" w:hAnsi="Arial" w:cs="Arial"/>
        </w:rPr>
        <w:t>Reglamento General de Comisiones del Poder</w:t>
      </w:r>
      <w:r w:rsidRPr="00FC6373">
        <w:rPr>
          <w:rFonts w:ascii="Arial" w:hAnsi="Arial" w:cs="Arial"/>
          <w:bCs/>
        </w:rPr>
        <w:t xml:space="preserve"> Judicial</w:t>
      </w:r>
      <w:r w:rsidRPr="00FC6373">
        <w:rPr>
          <w:rFonts w:ascii="Arial" w:eastAsia="Times New Roman" w:hAnsi="Arial" w:cs="Arial"/>
          <w:lang w:eastAsia="es-ES"/>
        </w:rPr>
        <w:t xml:space="preserve">. </w:t>
      </w:r>
      <w:r w:rsidRPr="00FC6373">
        <w:rPr>
          <w:rFonts w:ascii="Arial" w:eastAsia="Times New Roman" w:hAnsi="Arial" w:cs="Arial"/>
          <w:b/>
          <w:bCs/>
          <w:lang w:eastAsia="es-ES"/>
        </w:rPr>
        <w:t>ACUERDO FIRME.</w:t>
      </w:r>
    </w:p>
    <w:p w14:paraId="55B3BD4E" w14:textId="77777777" w:rsidR="003B1FBC" w:rsidRDefault="003B1FBC" w:rsidP="00796137">
      <w:pPr>
        <w:spacing w:after="0" w:line="240" w:lineRule="auto"/>
        <w:jc w:val="both"/>
        <w:rPr>
          <w:rFonts w:ascii="Arial" w:hAnsi="Arial" w:cs="Arial"/>
          <w:lang w:eastAsia="es-ES"/>
        </w:rPr>
      </w:pPr>
    </w:p>
    <w:p w14:paraId="47C2D998" w14:textId="224AD419" w:rsidR="00251002" w:rsidRPr="004C3CB2" w:rsidRDefault="001B0E11" w:rsidP="00796137">
      <w:pPr>
        <w:spacing w:after="0" w:line="240" w:lineRule="auto"/>
        <w:jc w:val="both"/>
        <w:rPr>
          <w:rFonts w:ascii="Arial" w:hAnsi="Arial" w:cs="Arial"/>
          <w:b/>
          <w:bCs/>
          <w:lang w:eastAsia="es-ES"/>
        </w:rPr>
      </w:pPr>
      <w:r w:rsidRPr="00490240">
        <w:rPr>
          <w:rFonts w:ascii="Arial" w:hAnsi="Arial" w:cs="Arial"/>
          <w:b/>
          <w:bCs/>
          <w:lang w:eastAsia="es-ES"/>
        </w:rPr>
        <w:t>Finaliza la sesión a las</w:t>
      </w:r>
      <w:r w:rsidR="00286833" w:rsidRPr="00490240">
        <w:rPr>
          <w:rFonts w:ascii="Arial" w:hAnsi="Arial" w:cs="Arial"/>
          <w:b/>
          <w:bCs/>
          <w:lang w:eastAsia="es-ES"/>
        </w:rPr>
        <w:t xml:space="preserve"> </w:t>
      </w:r>
      <w:r w:rsidR="006B2928" w:rsidRPr="00490240">
        <w:rPr>
          <w:rFonts w:ascii="Arial" w:hAnsi="Arial" w:cs="Arial"/>
          <w:b/>
          <w:bCs/>
          <w:lang w:eastAsia="es-ES"/>
        </w:rPr>
        <w:t xml:space="preserve">15 </w:t>
      </w:r>
      <w:r w:rsidR="00286833" w:rsidRPr="00490240">
        <w:rPr>
          <w:rFonts w:ascii="Arial" w:hAnsi="Arial" w:cs="Arial"/>
          <w:b/>
          <w:bCs/>
          <w:lang w:eastAsia="es-ES"/>
        </w:rPr>
        <w:t xml:space="preserve">horas con </w:t>
      </w:r>
      <w:r w:rsidR="00FC6373" w:rsidRPr="00490240">
        <w:rPr>
          <w:rFonts w:ascii="Arial" w:hAnsi="Arial" w:cs="Arial"/>
          <w:b/>
          <w:bCs/>
          <w:lang w:eastAsia="es-ES"/>
        </w:rPr>
        <w:t>14</w:t>
      </w:r>
      <w:r w:rsidR="00AA6F53" w:rsidRPr="00490240">
        <w:rPr>
          <w:rFonts w:ascii="Arial" w:hAnsi="Arial" w:cs="Arial"/>
          <w:b/>
          <w:bCs/>
          <w:lang w:eastAsia="es-ES"/>
        </w:rPr>
        <w:t xml:space="preserve"> </w:t>
      </w:r>
      <w:r w:rsidR="006771C2" w:rsidRPr="00490240">
        <w:rPr>
          <w:rFonts w:ascii="Arial" w:hAnsi="Arial" w:cs="Arial"/>
          <w:b/>
          <w:bCs/>
          <w:lang w:eastAsia="es-ES"/>
        </w:rPr>
        <w:t>minutos</w:t>
      </w:r>
      <w:r w:rsidR="00F67BFA" w:rsidRPr="00490240">
        <w:rPr>
          <w:rFonts w:ascii="Arial" w:hAnsi="Arial" w:cs="Arial"/>
          <w:b/>
          <w:bCs/>
          <w:lang w:eastAsia="es-ES"/>
        </w:rPr>
        <w:t>.</w:t>
      </w:r>
    </w:p>
    <w:sectPr w:rsidR="00251002" w:rsidRPr="004C3CB2" w:rsidSect="00CF38DB">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32E29" w14:textId="77777777" w:rsidR="00F3618E" w:rsidRDefault="00F3618E" w:rsidP="00BE2826">
      <w:pPr>
        <w:spacing w:after="0" w:line="240" w:lineRule="auto"/>
      </w:pPr>
      <w:r>
        <w:separator/>
      </w:r>
    </w:p>
  </w:endnote>
  <w:endnote w:type="continuationSeparator" w:id="0">
    <w:p w14:paraId="31827AF8" w14:textId="77777777" w:rsidR="00F3618E" w:rsidRDefault="00F3618E"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941" w14:textId="77777777" w:rsidR="00C277F9" w:rsidRDefault="00CF38DB">
    <w:pPr>
      <w:pStyle w:val="Piedepgina"/>
      <w:jc w:val="center"/>
    </w:pPr>
    <w:r>
      <w:fldChar w:fldCharType="begin"/>
    </w:r>
    <w:r w:rsidR="00C277F9">
      <w:instrText>PAGE   \* MERGEFORMAT</w:instrText>
    </w:r>
    <w:r>
      <w:fldChar w:fldCharType="separate"/>
    </w:r>
    <w:r w:rsidR="00C743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4BC19" w14:textId="77777777" w:rsidR="00F3618E" w:rsidRDefault="00F3618E" w:rsidP="00BE2826">
      <w:pPr>
        <w:spacing w:after="0" w:line="240" w:lineRule="auto"/>
      </w:pPr>
      <w:r>
        <w:separator/>
      </w:r>
    </w:p>
  </w:footnote>
  <w:footnote w:type="continuationSeparator" w:id="0">
    <w:p w14:paraId="6CDE9BB8" w14:textId="77777777" w:rsidR="00F3618E" w:rsidRDefault="00F3618E"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048" w14:textId="77777777" w:rsidR="00734FFE" w:rsidRPr="0034095B" w:rsidRDefault="00650770" w:rsidP="00F4405D">
    <w:pPr>
      <w:spacing w:line="240" w:lineRule="auto"/>
      <w:jc w:val="center"/>
      <w:rPr>
        <w:rFonts w:ascii="Arial" w:hAnsi="Arial" w:cs="Arial"/>
        <w:b/>
        <w:color w:val="1F3864"/>
        <w:sz w:val="24"/>
        <w:szCs w:val="24"/>
      </w:rPr>
    </w:pPr>
    <w:r w:rsidRPr="0034095B">
      <w:rPr>
        <w:noProof/>
        <w:color w:val="1F3864"/>
        <w:lang w:val="es-ES" w:eastAsia="es-ES"/>
      </w:rPr>
      <w:drawing>
        <wp:anchor distT="0" distB="0" distL="114300" distR="114300" simplePos="0" relativeHeight="251657728" behindDoc="1" locked="0" layoutInCell="1" allowOverlap="1" wp14:anchorId="44AE8C38" wp14:editId="77460AF8">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anchor>
      </w:drawing>
    </w:r>
    <w:r w:rsidR="00734FFE" w:rsidRPr="0034095B">
      <w:rPr>
        <w:rFonts w:ascii="Arial" w:hAnsi="Arial" w:cs="Arial"/>
        <w:b/>
        <w:color w:val="1F3864"/>
        <w:sz w:val="24"/>
        <w:szCs w:val="24"/>
      </w:rPr>
      <w:t>PODER JUDICIAL</w:t>
    </w:r>
  </w:p>
  <w:p w14:paraId="49D2FBCA"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3E1241DC"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5D7567B7" w14:textId="5D8AF902"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627E79">
      <w:rPr>
        <w:rFonts w:ascii="Arial" w:hAnsi="Arial" w:cs="Arial"/>
        <w:b/>
        <w:color w:val="000000"/>
        <w:sz w:val="24"/>
        <w:szCs w:val="24"/>
      </w:rPr>
      <w:t>1</w:t>
    </w:r>
    <w:r w:rsidRPr="00654FA5">
      <w:rPr>
        <w:rFonts w:ascii="Arial" w:hAnsi="Arial" w:cs="Arial"/>
        <w:b/>
        <w:color w:val="000000"/>
        <w:sz w:val="24"/>
        <w:szCs w:val="24"/>
      </w:rPr>
      <w:t>-202</w:t>
    </w:r>
    <w:r w:rsidR="00627E79">
      <w:rPr>
        <w:rFonts w:ascii="Arial" w:hAnsi="Arial" w:cs="Arial"/>
        <w:b/>
        <w:color w:val="000000"/>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FD14CE"/>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7770D9A"/>
    <w:multiLevelType w:val="multilevel"/>
    <w:tmpl w:val="6B1C759C"/>
    <w:lvl w:ilvl="0">
      <w:start w:val="1"/>
      <w:numFmt w:val="upperRoman"/>
      <w:lvlText w:val="%1."/>
      <w:lvlJc w:val="left"/>
      <w:pPr>
        <w:ind w:left="1080" w:hanging="720"/>
      </w:pPr>
      <w:rPr>
        <w:rFonts w:hint="default"/>
      </w:rPr>
    </w:lvl>
    <w:lvl w:ilvl="1">
      <w:start w:val="26"/>
      <w:numFmt w:val="decimal"/>
      <w:isLgl/>
      <w:lvlText w:val="%1.%2."/>
      <w:lvlJc w:val="left"/>
      <w:pPr>
        <w:ind w:left="1287" w:hanging="72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93B4C"/>
    <w:multiLevelType w:val="hybridMultilevel"/>
    <w:tmpl w:val="1B18B09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E95247C"/>
    <w:multiLevelType w:val="hybridMultilevel"/>
    <w:tmpl w:val="AED256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222D2D"/>
    <w:multiLevelType w:val="hybridMultilevel"/>
    <w:tmpl w:val="38184E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CFA5A94"/>
    <w:multiLevelType w:val="multilevel"/>
    <w:tmpl w:val="8A3E04BA"/>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1D8D6F02"/>
    <w:multiLevelType w:val="hybridMultilevel"/>
    <w:tmpl w:val="644E60A4"/>
    <w:lvl w:ilvl="0" w:tplc="0DF2589E">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2639CB"/>
    <w:multiLevelType w:val="multilevel"/>
    <w:tmpl w:val="0F7A3ECA"/>
    <w:lvl w:ilvl="0">
      <w:start w:val="1"/>
      <w:numFmt w:val="bullet"/>
      <w:lvlText w:val=""/>
      <w:lvlJc w:val="left"/>
      <w:pPr>
        <w:ind w:left="1080" w:hanging="72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2D293F08"/>
    <w:multiLevelType w:val="hybridMultilevel"/>
    <w:tmpl w:val="B776B9D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33AD41A5"/>
    <w:multiLevelType w:val="hybridMultilevel"/>
    <w:tmpl w:val="52A2A4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58B47AB"/>
    <w:multiLevelType w:val="multilevel"/>
    <w:tmpl w:val="87FE9D88"/>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15" w15:restartNumberingAfterBreak="0">
    <w:nsid w:val="46562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5C892FEA"/>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76EC1584"/>
    <w:multiLevelType w:val="hybridMultilevel"/>
    <w:tmpl w:val="2CE4A1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C49489B"/>
    <w:multiLevelType w:val="hybridMultilevel"/>
    <w:tmpl w:val="4FBEC4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7F105094"/>
    <w:multiLevelType w:val="hybridMultilevel"/>
    <w:tmpl w:val="F9E0BAA8"/>
    <w:lvl w:ilvl="0" w:tplc="DBA4E4F0">
      <w:start w:val="1"/>
      <w:numFmt w:val="bullet"/>
      <w:lvlText w:val="-"/>
      <w:lvlJc w:val="left"/>
      <w:pPr>
        <w:ind w:left="1068" w:hanging="360"/>
      </w:pPr>
      <w:rPr>
        <w:rFonts w:ascii="Arial" w:eastAsia="Times New Roman" w:hAnsi="Arial" w:cs="Aria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1" w15:restartNumberingAfterBreak="0">
    <w:nsid w:val="7F497302"/>
    <w:multiLevelType w:val="hybridMultilevel"/>
    <w:tmpl w:val="CABE7E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38925709">
    <w:abstractNumId w:val="0"/>
  </w:num>
  <w:num w:numId="2" w16cid:durableId="166479736">
    <w:abstractNumId w:val="14"/>
  </w:num>
  <w:num w:numId="3" w16cid:durableId="614365087">
    <w:abstractNumId w:val="4"/>
  </w:num>
  <w:num w:numId="4" w16cid:durableId="1319261115">
    <w:abstractNumId w:val="18"/>
  </w:num>
  <w:num w:numId="5" w16cid:durableId="810291075">
    <w:abstractNumId w:val="9"/>
  </w:num>
  <w:num w:numId="6" w16cid:durableId="239216822">
    <w:abstractNumId w:val="15"/>
  </w:num>
  <w:num w:numId="7" w16cid:durableId="207033534">
    <w:abstractNumId w:val="20"/>
  </w:num>
  <w:num w:numId="8" w16cid:durableId="685521203">
    <w:abstractNumId w:val="6"/>
  </w:num>
  <w:num w:numId="9" w16cid:durableId="1876193207">
    <w:abstractNumId w:val="11"/>
  </w:num>
  <w:num w:numId="10" w16cid:durableId="1815365484">
    <w:abstractNumId w:val="17"/>
  </w:num>
  <w:num w:numId="11" w16cid:durableId="1372615277">
    <w:abstractNumId w:val="21"/>
  </w:num>
  <w:num w:numId="12" w16cid:durableId="273025012">
    <w:abstractNumId w:val="5"/>
  </w:num>
  <w:num w:numId="13" w16cid:durableId="1245459909">
    <w:abstractNumId w:val="2"/>
  </w:num>
  <w:num w:numId="14" w16cid:durableId="1782800687">
    <w:abstractNumId w:val="10"/>
  </w:num>
  <w:num w:numId="15" w16cid:durableId="1826627706">
    <w:abstractNumId w:val="16"/>
  </w:num>
  <w:num w:numId="16" w16cid:durableId="293213941">
    <w:abstractNumId w:val="3"/>
  </w:num>
  <w:num w:numId="17" w16cid:durableId="636491541">
    <w:abstractNumId w:val="13"/>
  </w:num>
  <w:num w:numId="18" w16cid:durableId="774405663">
    <w:abstractNumId w:val="8"/>
  </w:num>
  <w:num w:numId="19" w16cid:durableId="883254999">
    <w:abstractNumId w:val="7"/>
  </w:num>
  <w:num w:numId="20" w16cid:durableId="1359697403">
    <w:abstractNumId w:val="12"/>
  </w:num>
  <w:num w:numId="21" w16cid:durableId="150662542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3DF2"/>
    <w:rsid w:val="00004209"/>
    <w:rsid w:val="000061FB"/>
    <w:rsid w:val="00015CD1"/>
    <w:rsid w:val="00016A51"/>
    <w:rsid w:val="00016D50"/>
    <w:rsid w:val="00021602"/>
    <w:rsid w:val="00024254"/>
    <w:rsid w:val="0002758F"/>
    <w:rsid w:val="00027FE4"/>
    <w:rsid w:val="00031275"/>
    <w:rsid w:val="00032205"/>
    <w:rsid w:val="000331B3"/>
    <w:rsid w:val="00033915"/>
    <w:rsid w:val="00033B43"/>
    <w:rsid w:val="000347F0"/>
    <w:rsid w:val="00034969"/>
    <w:rsid w:val="0004358D"/>
    <w:rsid w:val="0004370E"/>
    <w:rsid w:val="00046E9C"/>
    <w:rsid w:val="000473BB"/>
    <w:rsid w:val="00051A6B"/>
    <w:rsid w:val="00053220"/>
    <w:rsid w:val="0005411F"/>
    <w:rsid w:val="00057598"/>
    <w:rsid w:val="000578B3"/>
    <w:rsid w:val="00060ECA"/>
    <w:rsid w:val="000612E7"/>
    <w:rsid w:val="00064484"/>
    <w:rsid w:val="00064F25"/>
    <w:rsid w:val="000655C0"/>
    <w:rsid w:val="0006644E"/>
    <w:rsid w:val="00067082"/>
    <w:rsid w:val="000670A2"/>
    <w:rsid w:val="00075EFF"/>
    <w:rsid w:val="000760B6"/>
    <w:rsid w:val="0008137A"/>
    <w:rsid w:val="000828CE"/>
    <w:rsid w:val="00082F32"/>
    <w:rsid w:val="00083E9C"/>
    <w:rsid w:val="0008581D"/>
    <w:rsid w:val="000861D5"/>
    <w:rsid w:val="00086B55"/>
    <w:rsid w:val="00091AFD"/>
    <w:rsid w:val="00092D08"/>
    <w:rsid w:val="00093ABD"/>
    <w:rsid w:val="00094097"/>
    <w:rsid w:val="000948D8"/>
    <w:rsid w:val="0009612A"/>
    <w:rsid w:val="000A2E63"/>
    <w:rsid w:val="000A38D7"/>
    <w:rsid w:val="000A3BC1"/>
    <w:rsid w:val="000A4B72"/>
    <w:rsid w:val="000A50F9"/>
    <w:rsid w:val="000A6B79"/>
    <w:rsid w:val="000B25A3"/>
    <w:rsid w:val="000B43F8"/>
    <w:rsid w:val="000B45D7"/>
    <w:rsid w:val="000B4E3C"/>
    <w:rsid w:val="000B56C6"/>
    <w:rsid w:val="000B68C1"/>
    <w:rsid w:val="000B784A"/>
    <w:rsid w:val="000B7869"/>
    <w:rsid w:val="000C0505"/>
    <w:rsid w:val="000C36C5"/>
    <w:rsid w:val="000C693A"/>
    <w:rsid w:val="000D2770"/>
    <w:rsid w:val="000D4EEB"/>
    <w:rsid w:val="000D530C"/>
    <w:rsid w:val="000D5A37"/>
    <w:rsid w:val="000D6542"/>
    <w:rsid w:val="000E158D"/>
    <w:rsid w:val="000E1818"/>
    <w:rsid w:val="000E1A83"/>
    <w:rsid w:val="000E4F0A"/>
    <w:rsid w:val="000E5436"/>
    <w:rsid w:val="000E6CD4"/>
    <w:rsid w:val="000F12AB"/>
    <w:rsid w:val="000F17FD"/>
    <w:rsid w:val="000F366E"/>
    <w:rsid w:val="000F3979"/>
    <w:rsid w:val="001001F2"/>
    <w:rsid w:val="0010109A"/>
    <w:rsid w:val="00101C22"/>
    <w:rsid w:val="0010265C"/>
    <w:rsid w:val="00103A1E"/>
    <w:rsid w:val="00105A13"/>
    <w:rsid w:val="00106388"/>
    <w:rsid w:val="00111E90"/>
    <w:rsid w:val="00114C26"/>
    <w:rsid w:val="00114C6E"/>
    <w:rsid w:val="00115A9B"/>
    <w:rsid w:val="00115CAF"/>
    <w:rsid w:val="0011705D"/>
    <w:rsid w:val="00120BAF"/>
    <w:rsid w:val="0012335F"/>
    <w:rsid w:val="00123569"/>
    <w:rsid w:val="00123DD6"/>
    <w:rsid w:val="00123E7A"/>
    <w:rsid w:val="001309A4"/>
    <w:rsid w:val="00131B45"/>
    <w:rsid w:val="00133FB5"/>
    <w:rsid w:val="001357AC"/>
    <w:rsid w:val="0013585A"/>
    <w:rsid w:val="00141B44"/>
    <w:rsid w:val="00143C2B"/>
    <w:rsid w:val="00144C83"/>
    <w:rsid w:val="0014684A"/>
    <w:rsid w:val="00147AF1"/>
    <w:rsid w:val="00147EB9"/>
    <w:rsid w:val="00151F6B"/>
    <w:rsid w:val="00152240"/>
    <w:rsid w:val="00155D63"/>
    <w:rsid w:val="0016019A"/>
    <w:rsid w:val="0016193D"/>
    <w:rsid w:val="0016338E"/>
    <w:rsid w:val="0016765C"/>
    <w:rsid w:val="00170D56"/>
    <w:rsid w:val="00175D7B"/>
    <w:rsid w:val="00190E53"/>
    <w:rsid w:val="00192D49"/>
    <w:rsid w:val="00192D8E"/>
    <w:rsid w:val="001940EB"/>
    <w:rsid w:val="001A030F"/>
    <w:rsid w:val="001A29FE"/>
    <w:rsid w:val="001A34E1"/>
    <w:rsid w:val="001A3899"/>
    <w:rsid w:val="001A5586"/>
    <w:rsid w:val="001A6731"/>
    <w:rsid w:val="001A6F21"/>
    <w:rsid w:val="001B0E11"/>
    <w:rsid w:val="001B2C43"/>
    <w:rsid w:val="001B4712"/>
    <w:rsid w:val="001B4E9B"/>
    <w:rsid w:val="001B7815"/>
    <w:rsid w:val="001C1770"/>
    <w:rsid w:val="001C2813"/>
    <w:rsid w:val="001C5531"/>
    <w:rsid w:val="001C5FDB"/>
    <w:rsid w:val="001C688B"/>
    <w:rsid w:val="001C7628"/>
    <w:rsid w:val="001D3E59"/>
    <w:rsid w:val="001D678C"/>
    <w:rsid w:val="001D6E74"/>
    <w:rsid w:val="001D7DDA"/>
    <w:rsid w:val="001E0EDB"/>
    <w:rsid w:val="001E1CF6"/>
    <w:rsid w:val="001E5C4E"/>
    <w:rsid w:val="001E5FD7"/>
    <w:rsid w:val="001E6A27"/>
    <w:rsid w:val="001E74BB"/>
    <w:rsid w:val="001F03B5"/>
    <w:rsid w:val="001F252F"/>
    <w:rsid w:val="001F27A5"/>
    <w:rsid w:val="001F2D50"/>
    <w:rsid w:val="001F2EF1"/>
    <w:rsid w:val="001F61F0"/>
    <w:rsid w:val="001F7CE8"/>
    <w:rsid w:val="002017E0"/>
    <w:rsid w:val="00202C8B"/>
    <w:rsid w:val="00203D94"/>
    <w:rsid w:val="002046D3"/>
    <w:rsid w:val="00205674"/>
    <w:rsid w:val="002058A4"/>
    <w:rsid w:val="00206526"/>
    <w:rsid w:val="0020707F"/>
    <w:rsid w:val="002070FF"/>
    <w:rsid w:val="002108B1"/>
    <w:rsid w:val="0021203E"/>
    <w:rsid w:val="00214613"/>
    <w:rsid w:val="0021480C"/>
    <w:rsid w:val="00214CFB"/>
    <w:rsid w:val="00216991"/>
    <w:rsid w:val="002234B5"/>
    <w:rsid w:val="002244EF"/>
    <w:rsid w:val="002248E5"/>
    <w:rsid w:val="00225231"/>
    <w:rsid w:val="00225664"/>
    <w:rsid w:val="00225F6B"/>
    <w:rsid w:val="00226CB6"/>
    <w:rsid w:val="00227DDF"/>
    <w:rsid w:val="00230128"/>
    <w:rsid w:val="00231080"/>
    <w:rsid w:val="002316E6"/>
    <w:rsid w:val="00231D7A"/>
    <w:rsid w:val="00232F42"/>
    <w:rsid w:val="00234BD8"/>
    <w:rsid w:val="002362CD"/>
    <w:rsid w:val="00237297"/>
    <w:rsid w:val="00240083"/>
    <w:rsid w:val="002428BC"/>
    <w:rsid w:val="002433FF"/>
    <w:rsid w:val="00250065"/>
    <w:rsid w:val="002502C3"/>
    <w:rsid w:val="00250C3B"/>
    <w:rsid w:val="00250D20"/>
    <w:rsid w:val="00251002"/>
    <w:rsid w:val="00255618"/>
    <w:rsid w:val="0025657A"/>
    <w:rsid w:val="002575A9"/>
    <w:rsid w:val="00260BA3"/>
    <w:rsid w:val="00260FE0"/>
    <w:rsid w:val="00263A7F"/>
    <w:rsid w:val="00265BAC"/>
    <w:rsid w:val="00266CA4"/>
    <w:rsid w:val="00267E0D"/>
    <w:rsid w:val="002711AA"/>
    <w:rsid w:val="00271401"/>
    <w:rsid w:val="002735EB"/>
    <w:rsid w:val="00274E3D"/>
    <w:rsid w:val="002761A0"/>
    <w:rsid w:val="0027674D"/>
    <w:rsid w:val="00276BB8"/>
    <w:rsid w:val="002814E8"/>
    <w:rsid w:val="00281C6B"/>
    <w:rsid w:val="00281C94"/>
    <w:rsid w:val="00283A13"/>
    <w:rsid w:val="00286833"/>
    <w:rsid w:val="00286961"/>
    <w:rsid w:val="002904B4"/>
    <w:rsid w:val="00290570"/>
    <w:rsid w:val="00291B11"/>
    <w:rsid w:val="00294FCE"/>
    <w:rsid w:val="0029789B"/>
    <w:rsid w:val="00297D20"/>
    <w:rsid w:val="00297F49"/>
    <w:rsid w:val="002A0D14"/>
    <w:rsid w:val="002A1C97"/>
    <w:rsid w:val="002A1CD5"/>
    <w:rsid w:val="002A47B3"/>
    <w:rsid w:val="002A5C85"/>
    <w:rsid w:val="002A5FEB"/>
    <w:rsid w:val="002A70D9"/>
    <w:rsid w:val="002A7367"/>
    <w:rsid w:val="002B0B7D"/>
    <w:rsid w:val="002B0D3F"/>
    <w:rsid w:val="002B2E31"/>
    <w:rsid w:val="002B3473"/>
    <w:rsid w:val="002B4F8A"/>
    <w:rsid w:val="002B5968"/>
    <w:rsid w:val="002B5CA1"/>
    <w:rsid w:val="002B78C3"/>
    <w:rsid w:val="002B7AA4"/>
    <w:rsid w:val="002C2534"/>
    <w:rsid w:val="002C2D17"/>
    <w:rsid w:val="002D0D86"/>
    <w:rsid w:val="002D13A4"/>
    <w:rsid w:val="002D14EF"/>
    <w:rsid w:val="002D569D"/>
    <w:rsid w:val="002D6861"/>
    <w:rsid w:val="002D69CC"/>
    <w:rsid w:val="002D785E"/>
    <w:rsid w:val="002E27EA"/>
    <w:rsid w:val="002E3CEE"/>
    <w:rsid w:val="002E52C1"/>
    <w:rsid w:val="002F0B1E"/>
    <w:rsid w:val="002F1BFA"/>
    <w:rsid w:val="002F3DC4"/>
    <w:rsid w:val="002F3F9F"/>
    <w:rsid w:val="002F652E"/>
    <w:rsid w:val="002F6717"/>
    <w:rsid w:val="002F690D"/>
    <w:rsid w:val="002F6AAA"/>
    <w:rsid w:val="00305001"/>
    <w:rsid w:val="0030659C"/>
    <w:rsid w:val="00307988"/>
    <w:rsid w:val="00310216"/>
    <w:rsid w:val="00310C29"/>
    <w:rsid w:val="00311CB9"/>
    <w:rsid w:val="003140CB"/>
    <w:rsid w:val="00315288"/>
    <w:rsid w:val="003163BF"/>
    <w:rsid w:val="00316749"/>
    <w:rsid w:val="0031757E"/>
    <w:rsid w:val="00317C42"/>
    <w:rsid w:val="00323988"/>
    <w:rsid w:val="00323991"/>
    <w:rsid w:val="0032542B"/>
    <w:rsid w:val="003257E3"/>
    <w:rsid w:val="00330184"/>
    <w:rsid w:val="00330E9D"/>
    <w:rsid w:val="00331422"/>
    <w:rsid w:val="003326D9"/>
    <w:rsid w:val="00333477"/>
    <w:rsid w:val="003344EF"/>
    <w:rsid w:val="003354A8"/>
    <w:rsid w:val="0033591E"/>
    <w:rsid w:val="0034095B"/>
    <w:rsid w:val="00341A15"/>
    <w:rsid w:val="00343417"/>
    <w:rsid w:val="00343CDD"/>
    <w:rsid w:val="00344EE9"/>
    <w:rsid w:val="00353077"/>
    <w:rsid w:val="00354142"/>
    <w:rsid w:val="00354262"/>
    <w:rsid w:val="00356B1E"/>
    <w:rsid w:val="0035744E"/>
    <w:rsid w:val="00360078"/>
    <w:rsid w:val="003614B2"/>
    <w:rsid w:val="00361FFA"/>
    <w:rsid w:val="003637EE"/>
    <w:rsid w:val="00367311"/>
    <w:rsid w:val="003677A4"/>
    <w:rsid w:val="00367CA0"/>
    <w:rsid w:val="00367E80"/>
    <w:rsid w:val="0037036B"/>
    <w:rsid w:val="00371354"/>
    <w:rsid w:val="003726ED"/>
    <w:rsid w:val="00375D3D"/>
    <w:rsid w:val="00381599"/>
    <w:rsid w:val="00381AAD"/>
    <w:rsid w:val="00384B91"/>
    <w:rsid w:val="00385977"/>
    <w:rsid w:val="00387A3F"/>
    <w:rsid w:val="00387A7E"/>
    <w:rsid w:val="00390965"/>
    <w:rsid w:val="00391068"/>
    <w:rsid w:val="00391D53"/>
    <w:rsid w:val="0039251D"/>
    <w:rsid w:val="00392A56"/>
    <w:rsid w:val="00393B9E"/>
    <w:rsid w:val="003952FB"/>
    <w:rsid w:val="00396AD1"/>
    <w:rsid w:val="0039731D"/>
    <w:rsid w:val="003A1459"/>
    <w:rsid w:val="003A2CF9"/>
    <w:rsid w:val="003A65AE"/>
    <w:rsid w:val="003A70F7"/>
    <w:rsid w:val="003B1BF5"/>
    <w:rsid w:val="003B1FBC"/>
    <w:rsid w:val="003B2FE7"/>
    <w:rsid w:val="003B4058"/>
    <w:rsid w:val="003B4655"/>
    <w:rsid w:val="003B5F5E"/>
    <w:rsid w:val="003C190D"/>
    <w:rsid w:val="003C1FB3"/>
    <w:rsid w:val="003C25B7"/>
    <w:rsid w:val="003C3292"/>
    <w:rsid w:val="003C5A82"/>
    <w:rsid w:val="003C64C3"/>
    <w:rsid w:val="003C683E"/>
    <w:rsid w:val="003C7064"/>
    <w:rsid w:val="003C79B5"/>
    <w:rsid w:val="003D13CA"/>
    <w:rsid w:val="003D1579"/>
    <w:rsid w:val="003E5216"/>
    <w:rsid w:val="003F291D"/>
    <w:rsid w:val="003F6325"/>
    <w:rsid w:val="003F6A17"/>
    <w:rsid w:val="00400AF6"/>
    <w:rsid w:val="00400D8A"/>
    <w:rsid w:val="00401125"/>
    <w:rsid w:val="00404BA3"/>
    <w:rsid w:val="00410A9B"/>
    <w:rsid w:val="00412F5A"/>
    <w:rsid w:val="0041385B"/>
    <w:rsid w:val="00413BB4"/>
    <w:rsid w:val="004141D1"/>
    <w:rsid w:val="00414CD4"/>
    <w:rsid w:val="00414D84"/>
    <w:rsid w:val="00417163"/>
    <w:rsid w:val="00417F9A"/>
    <w:rsid w:val="0042139A"/>
    <w:rsid w:val="004213A8"/>
    <w:rsid w:val="0042153F"/>
    <w:rsid w:val="00421C6D"/>
    <w:rsid w:val="00425230"/>
    <w:rsid w:val="0042529A"/>
    <w:rsid w:val="00431622"/>
    <w:rsid w:val="00435655"/>
    <w:rsid w:val="00436DBB"/>
    <w:rsid w:val="00437054"/>
    <w:rsid w:val="0043729E"/>
    <w:rsid w:val="00440AA6"/>
    <w:rsid w:val="00441DF0"/>
    <w:rsid w:val="004429BB"/>
    <w:rsid w:val="00442EA7"/>
    <w:rsid w:val="00442F75"/>
    <w:rsid w:val="00443431"/>
    <w:rsid w:val="0044463F"/>
    <w:rsid w:val="00446DE6"/>
    <w:rsid w:val="0045022C"/>
    <w:rsid w:val="00451165"/>
    <w:rsid w:val="004514FE"/>
    <w:rsid w:val="00453C2B"/>
    <w:rsid w:val="00453E46"/>
    <w:rsid w:val="00453EEF"/>
    <w:rsid w:val="00454BA3"/>
    <w:rsid w:val="00455B0C"/>
    <w:rsid w:val="004563A1"/>
    <w:rsid w:val="00456BB3"/>
    <w:rsid w:val="004579A0"/>
    <w:rsid w:val="00460347"/>
    <w:rsid w:val="0046628E"/>
    <w:rsid w:val="0046734D"/>
    <w:rsid w:val="004674F3"/>
    <w:rsid w:val="00470618"/>
    <w:rsid w:val="004718D5"/>
    <w:rsid w:val="00472047"/>
    <w:rsid w:val="0047232D"/>
    <w:rsid w:val="0047336E"/>
    <w:rsid w:val="00474374"/>
    <w:rsid w:val="00474C79"/>
    <w:rsid w:val="00475261"/>
    <w:rsid w:val="00475267"/>
    <w:rsid w:val="00476861"/>
    <w:rsid w:val="00477CC0"/>
    <w:rsid w:val="004815D3"/>
    <w:rsid w:val="00482FAF"/>
    <w:rsid w:val="00484018"/>
    <w:rsid w:val="0048437A"/>
    <w:rsid w:val="00485B3A"/>
    <w:rsid w:val="00490240"/>
    <w:rsid w:val="00492504"/>
    <w:rsid w:val="00492C67"/>
    <w:rsid w:val="0049456D"/>
    <w:rsid w:val="004948D9"/>
    <w:rsid w:val="004964DA"/>
    <w:rsid w:val="004A202A"/>
    <w:rsid w:val="004A3A0E"/>
    <w:rsid w:val="004A45DA"/>
    <w:rsid w:val="004B016F"/>
    <w:rsid w:val="004B1AA2"/>
    <w:rsid w:val="004B2859"/>
    <w:rsid w:val="004B4F39"/>
    <w:rsid w:val="004B54E9"/>
    <w:rsid w:val="004B636B"/>
    <w:rsid w:val="004B6B40"/>
    <w:rsid w:val="004C3CB2"/>
    <w:rsid w:val="004C429C"/>
    <w:rsid w:val="004D091F"/>
    <w:rsid w:val="004D1A3A"/>
    <w:rsid w:val="004D2C35"/>
    <w:rsid w:val="004D39D5"/>
    <w:rsid w:val="004D6569"/>
    <w:rsid w:val="004E02C8"/>
    <w:rsid w:val="004E4936"/>
    <w:rsid w:val="004E5E48"/>
    <w:rsid w:val="004E6351"/>
    <w:rsid w:val="004E7B27"/>
    <w:rsid w:val="004F011F"/>
    <w:rsid w:val="004F109E"/>
    <w:rsid w:val="004F307F"/>
    <w:rsid w:val="004F3CD4"/>
    <w:rsid w:val="004F3FB5"/>
    <w:rsid w:val="004F4B08"/>
    <w:rsid w:val="004F56C8"/>
    <w:rsid w:val="004F6872"/>
    <w:rsid w:val="004F7DA3"/>
    <w:rsid w:val="0050119F"/>
    <w:rsid w:val="005028A1"/>
    <w:rsid w:val="00503402"/>
    <w:rsid w:val="00507C98"/>
    <w:rsid w:val="00510E8C"/>
    <w:rsid w:val="005110A1"/>
    <w:rsid w:val="00511BC1"/>
    <w:rsid w:val="00516133"/>
    <w:rsid w:val="00516472"/>
    <w:rsid w:val="00517456"/>
    <w:rsid w:val="00520139"/>
    <w:rsid w:val="00520E6E"/>
    <w:rsid w:val="00521404"/>
    <w:rsid w:val="0052265E"/>
    <w:rsid w:val="00522A49"/>
    <w:rsid w:val="00523CF5"/>
    <w:rsid w:val="00525BD0"/>
    <w:rsid w:val="00525F08"/>
    <w:rsid w:val="005316D2"/>
    <w:rsid w:val="00531BD7"/>
    <w:rsid w:val="0053340A"/>
    <w:rsid w:val="00533F97"/>
    <w:rsid w:val="005341D7"/>
    <w:rsid w:val="00534932"/>
    <w:rsid w:val="00536B7B"/>
    <w:rsid w:val="00540E0A"/>
    <w:rsid w:val="00545AA2"/>
    <w:rsid w:val="00546F76"/>
    <w:rsid w:val="00551F71"/>
    <w:rsid w:val="00553C98"/>
    <w:rsid w:val="00555846"/>
    <w:rsid w:val="005565B7"/>
    <w:rsid w:val="00556727"/>
    <w:rsid w:val="00562BA7"/>
    <w:rsid w:val="0056518B"/>
    <w:rsid w:val="00565FCC"/>
    <w:rsid w:val="00567E17"/>
    <w:rsid w:val="00571F0F"/>
    <w:rsid w:val="00573EF6"/>
    <w:rsid w:val="0057450A"/>
    <w:rsid w:val="00575D93"/>
    <w:rsid w:val="005776E8"/>
    <w:rsid w:val="00581A95"/>
    <w:rsid w:val="00582881"/>
    <w:rsid w:val="00582FA4"/>
    <w:rsid w:val="00584012"/>
    <w:rsid w:val="0059173F"/>
    <w:rsid w:val="00591FF9"/>
    <w:rsid w:val="00594C76"/>
    <w:rsid w:val="00595329"/>
    <w:rsid w:val="00597682"/>
    <w:rsid w:val="005A07B6"/>
    <w:rsid w:val="005A311A"/>
    <w:rsid w:val="005A3F39"/>
    <w:rsid w:val="005A6403"/>
    <w:rsid w:val="005B3F67"/>
    <w:rsid w:val="005B5B3E"/>
    <w:rsid w:val="005B5F8D"/>
    <w:rsid w:val="005B79CB"/>
    <w:rsid w:val="005B7E20"/>
    <w:rsid w:val="005C110B"/>
    <w:rsid w:val="005C25BF"/>
    <w:rsid w:val="005C44F5"/>
    <w:rsid w:val="005D031E"/>
    <w:rsid w:val="005D0CFB"/>
    <w:rsid w:val="005D12E7"/>
    <w:rsid w:val="005D1EE7"/>
    <w:rsid w:val="005D2469"/>
    <w:rsid w:val="005D335C"/>
    <w:rsid w:val="005D68C2"/>
    <w:rsid w:val="005E0996"/>
    <w:rsid w:val="005E1EF4"/>
    <w:rsid w:val="005E2E8E"/>
    <w:rsid w:val="005E3029"/>
    <w:rsid w:val="005E3581"/>
    <w:rsid w:val="005E3605"/>
    <w:rsid w:val="005E5EB5"/>
    <w:rsid w:val="005E680A"/>
    <w:rsid w:val="005E6C07"/>
    <w:rsid w:val="005F2CB1"/>
    <w:rsid w:val="005F36B1"/>
    <w:rsid w:val="005F3ED5"/>
    <w:rsid w:val="005F736B"/>
    <w:rsid w:val="005F7837"/>
    <w:rsid w:val="005F7C74"/>
    <w:rsid w:val="00601CE1"/>
    <w:rsid w:val="00602784"/>
    <w:rsid w:val="0060450D"/>
    <w:rsid w:val="00605073"/>
    <w:rsid w:val="006064DE"/>
    <w:rsid w:val="006070FF"/>
    <w:rsid w:val="006125FF"/>
    <w:rsid w:val="006127DE"/>
    <w:rsid w:val="006130FB"/>
    <w:rsid w:val="00613E95"/>
    <w:rsid w:val="00614491"/>
    <w:rsid w:val="00615F6C"/>
    <w:rsid w:val="006161C9"/>
    <w:rsid w:val="006168FD"/>
    <w:rsid w:val="00617113"/>
    <w:rsid w:val="0062397B"/>
    <w:rsid w:val="0062461E"/>
    <w:rsid w:val="00624883"/>
    <w:rsid w:val="00627E79"/>
    <w:rsid w:val="00631608"/>
    <w:rsid w:val="006370AA"/>
    <w:rsid w:val="00637E68"/>
    <w:rsid w:val="006405B4"/>
    <w:rsid w:val="006425DC"/>
    <w:rsid w:val="00642B10"/>
    <w:rsid w:val="00642C81"/>
    <w:rsid w:val="006437AB"/>
    <w:rsid w:val="00644822"/>
    <w:rsid w:val="00645BDA"/>
    <w:rsid w:val="00645FDD"/>
    <w:rsid w:val="00650770"/>
    <w:rsid w:val="00651AC8"/>
    <w:rsid w:val="00652FE5"/>
    <w:rsid w:val="00653166"/>
    <w:rsid w:val="00654FA5"/>
    <w:rsid w:val="0065630C"/>
    <w:rsid w:val="00656F11"/>
    <w:rsid w:val="006607FB"/>
    <w:rsid w:val="00662A85"/>
    <w:rsid w:val="00662BC7"/>
    <w:rsid w:val="0066399B"/>
    <w:rsid w:val="00664991"/>
    <w:rsid w:val="00664BC5"/>
    <w:rsid w:val="006667A5"/>
    <w:rsid w:val="00666C4D"/>
    <w:rsid w:val="006672DB"/>
    <w:rsid w:val="00667E87"/>
    <w:rsid w:val="00672108"/>
    <w:rsid w:val="006727A8"/>
    <w:rsid w:val="00674E96"/>
    <w:rsid w:val="0067685D"/>
    <w:rsid w:val="006771C2"/>
    <w:rsid w:val="0068037F"/>
    <w:rsid w:val="006827BB"/>
    <w:rsid w:val="006831E1"/>
    <w:rsid w:val="00683B0C"/>
    <w:rsid w:val="006849F0"/>
    <w:rsid w:val="0069407B"/>
    <w:rsid w:val="00694E9A"/>
    <w:rsid w:val="006958DD"/>
    <w:rsid w:val="0069685B"/>
    <w:rsid w:val="0069776A"/>
    <w:rsid w:val="006A1EAC"/>
    <w:rsid w:val="006A25DB"/>
    <w:rsid w:val="006A3600"/>
    <w:rsid w:val="006A3C00"/>
    <w:rsid w:val="006A56B8"/>
    <w:rsid w:val="006B0A06"/>
    <w:rsid w:val="006B2928"/>
    <w:rsid w:val="006B5FCB"/>
    <w:rsid w:val="006C04AC"/>
    <w:rsid w:val="006C1155"/>
    <w:rsid w:val="006C44AB"/>
    <w:rsid w:val="006C6077"/>
    <w:rsid w:val="006C6C33"/>
    <w:rsid w:val="006C7165"/>
    <w:rsid w:val="006D2955"/>
    <w:rsid w:val="006D3401"/>
    <w:rsid w:val="006D49BC"/>
    <w:rsid w:val="006D4A56"/>
    <w:rsid w:val="006D4D56"/>
    <w:rsid w:val="006D670E"/>
    <w:rsid w:val="006D6AA3"/>
    <w:rsid w:val="006D7456"/>
    <w:rsid w:val="006D7A8B"/>
    <w:rsid w:val="006E22A7"/>
    <w:rsid w:val="006E2856"/>
    <w:rsid w:val="006E4714"/>
    <w:rsid w:val="006E6CA2"/>
    <w:rsid w:val="006E6FFC"/>
    <w:rsid w:val="006F0232"/>
    <w:rsid w:val="006F0333"/>
    <w:rsid w:val="006F0A5B"/>
    <w:rsid w:val="006F290A"/>
    <w:rsid w:val="006F5DD2"/>
    <w:rsid w:val="007036C9"/>
    <w:rsid w:val="00703BA6"/>
    <w:rsid w:val="00704103"/>
    <w:rsid w:val="00704309"/>
    <w:rsid w:val="007053DA"/>
    <w:rsid w:val="00705E8D"/>
    <w:rsid w:val="00706004"/>
    <w:rsid w:val="00706493"/>
    <w:rsid w:val="00711B38"/>
    <w:rsid w:val="00720329"/>
    <w:rsid w:val="007205B0"/>
    <w:rsid w:val="00720D0A"/>
    <w:rsid w:val="00720F39"/>
    <w:rsid w:val="007213F6"/>
    <w:rsid w:val="00721EAD"/>
    <w:rsid w:val="00723FD3"/>
    <w:rsid w:val="00727716"/>
    <w:rsid w:val="0073193C"/>
    <w:rsid w:val="007331CF"/>
    <w:rsid w:val="0073342B"/>
    <w:rsid w:val="007337A6"/>
    <w:rsid w:val="00733B09"/>
    <w:rsid w:val="00734D1B"/>
    <w:rsid w:val="00734D22"/>
    <w:rsid w:val="00734FFE"/>
    <w:rsid w:val="00735186"/>
    <w:rsid w:val="00736C27"/>
    <w:rsid w:val="00741B09"/>
    <w:rsid w:val="007438BD"/>
    <w:rsid w:val="007463FF"/>
    <w:rsid w:val="007466B1"/>
    <w:rsid w:val="0074793A"/>
    <w:rsid w:val="007511BD"/>
    <w:rsid w:val="007527E0"/>
    <w:rsid w:val="0075443A"/>
    <w:rsid w:val="00754730"/>
    <w:rsid w:val="00754945"/>
    <w:rsid w:val="00755CF9"/>
    <w:rsid w:val="0075609B"/>
    <w:rsid w:val="00763B77"/>
    <w:rsid w:val="007647B9"/>
    <w:rsid w:val="00764EDF"/>
    <w:rsid w:val="0076577F"/>
    <w:rsid w:val="00766920"/>
    <w:rsid w:val="0077171C"/>
    <w:rsid w:val="00771951"/>
    <w:rsid w:val="00777110"/>
    <w:rsid w:val="00777394"/>
    <w:rsid w:val="007803D6"/>
    <w:rsid w:val="007870A9"/>
    <w:rsid w:val="00787FAC"/>
    <w:rsid w:val="0079061A"/>
    <w:rsid w:val="00793C68"/>
    <w:rsid w:val="00794341"/>
    <w:rsid w:val="00794820"/>
    <w:rsid w:val="007948EB"/>
    <w:rsid w:val="0079543F"/>
    <w:rsid w:val="00796137"/>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74F"/>
    <w:rsid w:val="007C6F1C"/>
    <w:rsid w:val="007C70E4"/>
    <w:rsid w:val="007D012C"/>
    <w:rsid w:val="007D63E6"/>
    <w:rsid w:val="007D650F"/>
    <w:rsid w:val="007E1B10"/>
    <w:rsid w:val="007E2695"/>
    <w:rsid w:val="007E2F6B"/>
    <w:rsid w:val="007E4C93"/>
    <w:rsid w:val="007E6D20"/>
    <w:rsid w:val="007F5E54"/>
    <w:rsid w:val="007F626B"/>
    <w:rsid w:val="007F6EEE"/>
    <w:rsid w:val="007F7D33"/>
    <w:rsid w:val="00803906"/>
    <w:rsid w:val="00803D49"/>
    <w:rsid w:val="00804214"/>
    <w:rsid w:val="00806302"/>
    <w:rsid w:val="00806854"/>
    <w:rsid w:val="0080698F"/>
    <w:rsid w:val="00807B9D"/>
    <w:rsid w:val="00810E52"/>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5F82"/>
    <w:rsid w:val="008373FD"/>
    <w:rsid w:val="00837658"/>
    <w:rsid w:val="008460F7"/>
    <w:rsid w:val="00850573"/>
    <w:rsid w:val="00850D13"/>
    <w:rsid w:val="00851133"/>
    <w:rsid w:val="00851585"/>
    <w:rsid w:val="00853A39"/>
    <w:rsid w:val="008562D1"/>
    <w:rsid w:val="00862926"/>
    <w:rsid w:val="00863BB0"/>
    <w:rsid w:val="00866B0A"/>
    <w:rsid w:val="008671FA"/>
    <w:rsid w:val="0087265A"/>
    <w:rsid w:val="008726A8"/>
    <w:rsid w:val="008739A7"/>
    <w:rsid w:val="008739D5"/>
    <w:rsid w:val="00876323"/>
    <w:rsid w:val="00877115"/>
    <w:rsid w:val="00883B8C"/>
    <w:rsid w:val="008842AF"/>
    <w:rsid w:val="008845FF"/>
    <w:rsid w:val="008862AA"/>
    <w:rsid w:val="00887A4A"/>
    <w:rsid w:val="0089029A"/>
    <w:rsid w:val="00894C35"/>
    <w:rsid w:val="008955C8"/>
    <w:rsid w:val="00897944"/>
    <w:rsid w:val="008A02B2"/>
    <w:rsid w:val="008A584A"/>
    <w:rsid w:val="008B0051"/>
    <w:rsid w:val="008B16FF"/>
    <w:rsid w:val="008C038A"/>
    <w:rsid w:val="008C1693"/>
    <w:rsid w:val="008C3494"/>
    <w:rsid w:val="008C6C19"/>
    <w:rsid w:val="008D22AE"/>
    <w:rsid w:val="008D315C"/>
    <w:rsid w:val="008D429F"/>
    <w:rsid w:val="008E3E1D"/>
    <w:rsid w:val="008E4FAE"/>
    <w:rsid w:val="008E6CEA"/>
    <w:rsid w:val="008E7AC6"/>
    <w:rsid w:val="008E7C29"/>
    <w:rsid w:val="008E7C9C"/>
    <w:rsid w:val="008F0FDE"/>
    <w:rsid w:val="008F1C15"/>
    <w:rsid w:val="008F3B04"/>
    <w:rsid w:val="008F6140"/>
    <w:rsid w:val="008F77DA"/>
    <w:rsid w:val="008F7A29"/>
    <w:rsid w:val="0090684F"/>
    <w:rsid w:val="00910142"/>
    <w:rsid w:val="00911311"/>
    <w:rsid w:val="009125BD"/>
    <w:rsid w:val="0091299B"/>
    <w:rsid w:val="00915C58"/>
    <w:rsid w:val="009178AD"/>
    <w:rsid w:val="009205D7"/>
    <w:rsid w:val="009209E3"/>
    <w:rsid w:val="00920B3E"/>
    <w:rsid w:val="00920F75"/>
    <w:rsid w:val="009236FE"/>
    <w:rsid w:val="00925BB3"/>
    <w:rsid w:val="00925F87"/>
    <w:rsid w:val="00926E05"/>
    <w:rsid w:val="00932001"/>
    <w:rsid w:val="00932673"/>
    <w:rsid w:val="009336EA"/>
    <w:rsid w:val="009338D4"/>
    <w:rsid w:val="009339F2"/>
    <w:rsid w:val="00933FC4"/>
    <w:rsid w:val="009349EE"/>
    <w:rsid w:val="00934C8B"/>
    <w:rsid w:val="00934DC1"/>
    <w:rsid w:val="0093508F"/>
    <w:rsid w:val="00935C73"/>
    <w:rsid w:val="009360EF"/>
    <w:rsid w:val="0093728A"/>
    <w:rsid w:val="0094186F"/>
    <w:rsid w:val="00942085"/>
    <w:rsid w:val="00942B71"/>
    <w:rsid w:val="00942FEC"/>
    <w:rsid w:val="00944A0F"/>
    <w:rsid w:val="00951995"/>
    <w:rsid w:val="009527D7"/>
    <w:rsid w:val="00953C0C"/>
    <w:rsid w:val="009568D5"/>
    <w:rsid w:val="00957092"/>
    <w:rsid w:val="00962132"/>
    <w:rsid w:val="00964607"/>
    <w:rsid w:val="00966DB3"/>
    <w:rsid w:val="00972A98"/>
    <w:rsid w:val="00975069"/>
    <w:rsid w:val="00976C38"/>
    <w:rsid w:val="00977412"/>
    <w:rsid w:val="009822B5"/>
    <w:rsid w:val="009865C7"/>
    <w:rsid w:val="00986825"/>
    <w:rsid w:val="00995831"/>
    <w:rsid w:val="009A3A1D"/>
    <w:rsid w:val="009A45DF"/>
    <w:rsid w:val="009A4B61"/>
    <w:rsid w:val="009A7058"/>
    <w:rsid w:val="009B1FAF"/>
    <w:rsid w:val="009B2FBC"/>
    <w:rsid w:val="009B6201"/>
    <w:rsid w:val="009C1169"/>
    <w:rsid w:val="009C4F3F"/>
    <w:rsid w:val="009C50DB"/>
    <w:rsid w:val="009C6DD1"/>
    <w:rsid w:val="009D03A6"/>
    <w:rsid w:val="009D061F"/>
    <w:rsid w:val="009D0C50"/>
    <w:rsid w:val="009D1B86"/>
    <w:rsid w:val="009D2FAF"/>
    <w:rsid w:val="009D3977"/>
    <w:rsid w:val="009D458B"/>
    <w:rsid w:val="009D4FFB"/>
    <w:rsid w:val="009D50BE"/>
    <w:rsid w:val="009D7E3C"/>
    <w:rsid w:val="009E01B7"/>
    <w:rsid w:val="009E7348"/>
    <w:rsid w:val="009F0A3B"/>
    <w:rsid w:val="009F2E50"/>
    <w:rsid w:val="009F3649"/>
    <w:rsid w:val="009F5484"/>
    <w:rsid w:val="00A001B8"/>
    <w:rsid w:val="00A0050A"/>
    <w:rsid w:val="00A00C92"/>
    <w:rsid w:val="00A00DBD"/>
    <w:rsid w:val="00A03D88"/>
    <w:rsid w:val="00A04256"/>
    <w:rsid w:val="00A05BF4"/>
    <w:rsid w:val="00A076A7"/>
    <w:rsid w:val="00A10815"/>
    <w:rsid w:val="00A10B39"/>
    <w:rsid w:val="00A111A4"/>
    <w:rsid w:val="00A11AD1"/>
    <w:rsid w:val="00A124E7"/>
    <w:rsid w:val="00A12535"/>
    <w:rsid w:val="00A137C0"/>
    <w:rsid w:val="00A1408A"/>
    <w:rsid w:val="00A14557"/>
    <w:rsid w:val="00A15F19"/>
    <w:rsid w:val="00A20A40"/>
    <w:rsid w:val="00A20A8F"/>
    <w:rsid w:val="00A21EC3"/>
    <w:rsid w:val="00A23439"/>
    <w:rsid w:val="00A23EFA"/>
    <w:rsid w:val="00A25ECE"/>
    <w:rsid w:val="00A26013"/>
    <w:rsid w:val="00A26307"/>
    <w:rsid w:val="00A26A41"/>
    <w:rsid w:val="00A320D9"/>
    <w:rsid w:val="00A35121"/>
    <w:rsid w:val="00A36187"/>
    <w:rsid w:val="00A40734"/>
    <w:rsid w:val="00A421E0"/>
    <w:rsid w:val="00A42621"/>
    <w:rsid w:val="00A430F8"/>
    <w:rsid w:val="00A43404"/>
    <w:rsid w:val="00A43D90"/>
    <w:rsid w:val="00A4530B"/>
    <w:rsid w:val="00A46223"/>
    <w:rsid w:val="00A50C03"/>
    <w:rsid w:val="00A5165F"/>
    <w:rsid w:val="00A521E2"/>
    <w:rsid w:val="00A54A6D"/>
    <w:rsid w:val="00A564A0"/>
    <w:rsid w:val="00A56C6A"/>
    <w:rsid w:val="00A60A01"/>
    <w:rsid w:val="00A62919"/>
    <w:rsid w:val="00A63555"/>
    <w:rsid w:val="00A63BA7"/>
    <w:rsid w:val="00A6448B"/>
    <w:rsid w:val="00A64D5A"/>
    <w:rsid w:val="00A6572E"/>
    <w:rsid w:val="00A7181F"/>
    <w:rsid w:val="00A720BC"/>
    <w:rsid w:val="00A7484F"/>
    <w:rsid w:val="00A755DC"/>
    <w:rsid w:val="00A77D02"/>
    <w:rsid w:val="00A816EE"/>
    <w:rsid w:val="00A86CC9"/>
    <w:rsid w:val="00A86EF2"/>
    <w:rsid w:val="00A91227"/>
    <w:rsid w:val="00A92AA4"/>
    <w:rsid w:val="00A951C0"/>
    <w:rsid w:val="00A96B16"/>
    <w:rsid w:val="00A96E9E"/>
    <w:rsid w:val="00A97365"/>
    <w:rsid w:val="00A9749E"/>
    <w:rsid w:val="00AA235F"/>
    <w:rsid w:val="00AA3113"/>
    <w:rsid w:val="00AA487D"/>
    <w:rsid w:val="00AA5902"/>
    <w:rsid w:val="00AA61E6"/>
    <w:rsid w:val="00AA6F53"/>
    <w:rsid w:val="00AB00AD"/>
    <w:rsid w:val="00AB019A"/>
    <w:rsid w:val="00AB2347"/>
    <w:rsid w:val="00AB2B1A"/>
    <w:rsid w:val="00AB2DA2"/>
    <w:rsid w:val="00AB2EED"/>
    <w:rsid w:val="00AB3069"/>
    <w:rsid w:val="00AB49B1"/>
    <w:rsid w:val="00AB7A9E"/>
    <w:rsid w:val="00AC2A1D"/>
    <w:rsid w:val="00AC35AF"/>
    <w:rsid w:val="00AC4120"/>
    <w:rsid w:val="00AC4816"/>
    <w:rsid w:val="00AC651E"/>
    <w:rsid w:val="00AC6BBB"/>
    <w:rsid w:val="00AD0EAE"/>
    <w:rsid w:val="00AD1428"/>
    <w:rsid w:val="00AD18B9"/>
    <w:rsid w:val="00AD347E"/>
    <w:rsid w:val="00AD3B1D"/>
    <w:rsid w:val="00AD49E0"/>
    <w:rsid w:val="00AD6B58"/>
    <w:rsid w:val="00AE0FA4"/>
    <w:rsid w:val="00AE3744"/>
    <w:rsid w:val="00AE4383"/>
    <w:rsid w:val="00AE46B1"/>
    <w:rsid w:val="00AE56A8"/>
    <w:rsid w:val="00AE7C42"/>
    <w:rsid w:val="00AF1BF1"/>
    <w:rsid w:val="00AF2806"/>
    <w:rsid w:val="00AF2B80"/>
    <w:rsid w:val="00AF2FC6"/>
    <w:rsid w:val="00AF73EC"/>
    <w:rsid w:val="00B010E6"/>
    <w:rsid w:val="00B05735"/>
    <w:rsid w:val="00B07D02"/>
    <w:rsid w:val="00B12D5C"/>
    <w:rsid w:val="00B13CD4"/>
    <w:rsid w:val="00B151E5"/>
    <w:rsid w:val="00B154A3"/>
    <w:rsid w:val="00B16DC3"/>
    <w:rsid w:val="00B21F93"/>
    <w:rsid w:val="00B2551E"/>
    <w:rsid w:val="00B265B0"/>
    <w:rsid w:val="00B30491"/>
    <w:rsid w:val="00B33586"/>
    <w:rsid w:val="00B33C30"/>
    <w:rsid w:val="00B33E8F"/>
    <w:rsid w:val="00B33E9A"/>
    <w:rsid w:val="00B4176A"/>
    <w:rsid w:val="00B423C6"/>
    <w:rsid w:val="00B42F67"/>
    <w:rsid w:val="00B468F0"/>
    <w:rsid w:val="00B51452"/>
    <w:rsid w:val="00B5256B"/>
    <w:rsid w:val="00B52DAF"/>
    <w:rsid w:val="00B55BA3"/>
    <w:rsid w:val="00B5616C"/>
    <w:rsid w:val="00B63145"/>
    <w:rsid w:val="00B6374A"/>
    <w:rsid w:val="00B64D1C"/>
    <w:rsid w:val="00B65DC6"/>
    <w:rsid w:val="00B66001"/>
    <w:rsid w:val="00B6627F"/>
    <w:rsid w:val="00B705FC"/>
    <w:rsid w:val="00B710A5"/>
    <w:rsid w:val="00B74764"/>
    <w:rsid w:val="00B77765"/>
    <w:rsid w:val="00B77CE4"/>
    <w:rsid w:val="00B81F5F"/>
    <w:rsid w:val="00B81F7F"/>
    <w:rsid w:val="00B82604"/>
    <w:rsid w:val="00B82A8E"/>
    <w:rsid w:val="00B863DD"/>
    <w:rsid w:val="00B877EE"/>
    <w:rsid w:val="00B87CBE"/>
    <w:rsid w:val="00B91070"/>
    <w:rsid w:val="00B93162"/>
    <w:rsid w:val="00B94D32"/>
    <w:rsid w:val="00B96188"/>
    <w:rsid w:val="00B97EE3"/>
    <w:rsid w:val="00BA2652"/>
    <w:rsid w:val="00BA5A4B"/>
    <w:rsid w:val="00BA7064"/>
    <w:rsid w:val="00BA76A9"/>
    <w:rsid w:val="00BB0356"/>
    <w:rsid w:val="00BB0D80"/>
    <w:rsid w:val="00BB1E41"/>
    <w:rsid w:val="00BB2C14"/>
    <w:rsid w:val="00BB3BB4"/>
    <w:rsid w:val="00BB4D51"/>
    <w:rsid w:val="00BB5784"/>
    <w:rsid w:val="00BB7E8C"/>
    <w:rsid w:val="00BC0820"/>
    <w:rsid w:val="00BC382C"/>
    <w:rsid w:val="00BC4288"/>
    <w:rsid w:val="00BC4BE4"/>
    <w:rsid w:val="00BC78DD"/>
    <w:rsid w:val="00BD09D9"/>
    <w:rsid w:val="00BD3526"/>
    <w:rsid w:val="00BE0C95"/>
    <w:rsid w:val="00BE2826"/>
    <w:rsid w:val="00BE29B4"/>
    <w:rsid w:val="00BE3220"/>
    <w:rsid w:val="00BE7E61"/>
    <w:rsid w:val="00BF0589"/>
    <w:rsid w:val="00BF11C0"/>
    <w:rsid w:val="00BF17A7"/>
    <w:rsid w:val="00BF2076"/>
    <w:rsid w:val="00BF207A"/>
    <w:rsid w:val="00BF24C2"/>
    <w:rsid w:val="00BF4D64"/>
    <w:rsid w:val="00C10978"/>
    <w:rsid w:val="00C125A6"/>
    <w:rsid w:val="00C133C2"/>
    <w:rsid w:val="00C134EE"/>
    <w:rsid w:val="00C14012"/>
    <w:rsid w:val="00C14AB9"/>
    <w:rsid w:val="00C1505E"/>
    <w:rsid w:val="00C15722"/>
    <w:rsid w:val="00C159BD"/>
    <w:rsid w:val="00C16268"/>
    <w:rsid w:val="00C167B6"/>
    <w:rsid w:val="00C171DA"/>
    <w:rsid w:val="00C21369"/>
    <w:rsid w:val="00C23337"/>
    <w:rsid w:val="00C242BD"/>
    <w:rsid w:val="00C24465"/>
    <w:rsid w:val="00C26317"/>
    <w:rsid w:val="00C26701"/>
    <w:rsid w:val="00C274C5"/>
    <w:rsid w:val="00C277F9"/>
    <w:rsid w:val="00C30339"/>
    <w:rsid w:val="00C3100F"/>
    <w:rsid w:val="00C32D92"/>
    <w:rsid w:val="00C33959"/>
    <w:rsid w:val="00C340CA"/>
    <w:rsid w:val="00C34C04"/>
    <w:rsid w:val="00C3603E"/>
    <w:rsid w:val="00C36F40"/>
    <w:rsid w:val="00C37EF8"/>
    <w:rsid w:val="00C4065C"/>
    <w:rsid w:val="00C41583"/>
    <w:rsid w:val="00C434CF"/>
    <w:rsid w:val="00C4380A"/>
    <w:rsid w:val="00C43875"/>
    <w:rsid w:val="00C438CA"/>
    <w:rsid w:val="00C45628"/>
    <w:rsid w:val="00C47014"/>
    <w:rsid w:val="00C477CA"/>
    <w:rsid w:val="00C47BC4"/>
    <w:rsid w:val="00C47D1C"/>
    <w:rsid w:val="00C47FE5"/>
    <w:rsid w:val="00C5362E"/>
    <w:rsid w:val="00C552C9"/>
    <w:rsid w:val="00C61A26"/>
    <w:rsid w:val="00C61DED"/>
    <w:rsid w:val="00C6219A"/>
    <w:rsid w:val="00C64E91"/>
    <w:rsid w:val="00C72B38"/>
    <w:rsid w:val="00C72E0C"/>
    <w:rsid w:val="00C74136"/>
    <w:rsid w:val="00C74359"/>
    <w:rsid w:val="00C767B1"/>
    <w:rsid w:val="00C77653"/>
    <w:rsid w:val="00C77EE9"/>
    <w:rsid w:val="00C801D9"/>
    <w:rsid w:val="00C828C3"/>
    <w:rsid w:val="00C86B33"/>
    <w:rsid w:val="00C86E34"/>
    <w:rsid w:val="00C90A85"/>
    <w:rsid w:val="00C9213A"/>
    <w:rsid w:val="00C92784"/>
    <w:rsid w:val="00C93055"/>
    <w:rsid w:val="00C93DBA"/>
    <w:rsid w:val="00C93FB8"/>
    <w:rsid w:val="00C94D7D"/>
    <w:rsid w:val="00C969E2"/>
    <w:rsid w:val="00C976B4"/>
    <w:rsid w:val="00CA54C7"/>
    <w:rsid w:val="00CA5B2C"/>
    <w:rsid w:val="00CA5E6A"/>
    <w:rsid w:val="00CB0B0B"/>
    <w:rsid w:val="00CB1C8C"/>
    <w:rsid w:val="00CB30A1"/>
    <w:rsid w:val="00CB3F10"/>
    <w:rsid w:val="00CB49EB"/>
    <w:rsid w:val="00CB562C"/>
    <w:rsid w:val="00CC067C"/>
    <w:rsid w:val="00CC0957"/>
    <w:rsid w:val="00CC168B"/>
    <w:rsid w:val="00CC3920"/>
    <w:rsid w:val="00CC4C6E"/>
    <w:rsid w:val="00CC715A"/>
    <w:rsid w:val="00CC7F90"/>
    <w:rsid w:val="00CD0B2F"/>
    <w:rsid w:val="00CD2217"/>
    <w:rsid w:val="00CD23F8"/>
    <w:rsid w:val="00CD39D7"/>
    <w:rsid w:val="00CD6BDA"/>
    <w:rsid w:val="00CE18F3"/>
    <w:rsid w:val="00CE1A47"/>
    <w:rsid w:val="00CE2A86"/>
    <w:rsid w:val="00CE437C"/>
    <w:rsid w:val="00CE4DFF"/>
    <w:rsid w:val="00CE6C66"/>
    <w:rsid w:val="00CE7D11"/>
    <w:rsid w:val="00CE7FC4"/>
    <w:rsid w:val="00CF0038"/>
    <w:rsid w:val="00CF2A76"/>
    <w:rsid w:val="00CF2A9A"/>
    <w:rsid w:val="00CF2C5A"/>
    <w:rsid w:val="00CF2CBE"/>
    <w:rsid w:val="00CF3844"/>
    <w:rsid w:val="00CF38DB"/>
    <w:rsid w:val="00CF6620"/>
    <w:rsid w:val="00CF6E69"/>
    <w:rsid w:val="00CF7EFF"/>
    <w:rsid w:val="00CF7F9F"/>
    <w:rsid w:val="00D00045"/>
    <w:rsid w:val="00D021C8"/>
    <w:rsid w:val="00D02BD7"/>
    <w:rsid w:val="00D0347F"/>
    <w:rsid w:val="00D066B4"/>
    <w:rsid w:val="00D07958"/>
    <w:rsid w:val="00D1170C"/>
    <w:rsid w:val="00D12908"/>
    <w:rsid w:val="00D15300"/>
    <w:rsid w:val="00D16FCD"/>
    <w:rsid w:val="00D2393B"/>
    <w:rsid w:val="00D243DC"/>
    <w:rsid w:val="00D3486F"/>
    <w:rsid w:val="00D37019"/>
    <w:rsid w:val="00D379BA"/>
    <w:rsid w:val="00D401BC"/>
    <w:rsid w:val="00D40B6C"/>
    <w:rsid w:val="00D40BE8"/>
    <w:rsid w:val="00D41901"/>
    <w:rsid w:val="00D45E66"/>
    <w:rsid w:val="00D461F3"/>
    <w:rsid w:val="00D46487"/>
    <w:rsid w:val="00D468AB"/>
    <w:rsid w:val="00D46A56"/>
    <w:rsid w:val="00D50311"/>
    <w:rsid w:val="00D51017"/>
    <w:rsid w:val="00D51DE3"/>
    <w:rsid w:val="00D52A5F"/>
    <w:rsid w:val="00D53BCF"/>
    <w:rsid w:val="00D56649"/>
    <w:rsid w:val="00D576FF"/>
    <w:rsid w:val="00D60DE7"/>
    <w:rsid w:val="00D621D8"/>
    <w:rsid w:val="00D63C88"/>
    <w:rsid w:val="00D65835"/>
    <w:rsid w:val="00D70C0C"/>
    <w:rsid w:val="00D71766"/>
    <w:rsid w:val="00D71ADA"/>
    <w:rsid w:val="00D720C2"/>
    <w:rsid w:val="00D723F6"/>
    <w:rsid w:val="00D72CD0"/>
    <w:rsid w:val="00D75273"/>
    <w:rsid w:val="00D75CFD"/>
    <w:rsid w:val="00D8050B"/>
    <w:rsid w:val="00D808C5"/>
    <w:rsid w:val="00D821F5"/>
    <w:rsid w:val="00D84E2A"/>
    <w:rsid w:val="00D84F07"/>
    <w:rsid w:val="00D8565A"/>
    <w:rsid w:val="00D85847"/>
    <w:rsid w:val="00D8624B"/>
    <w:rsid w:val="00D878F7"/>
    <w:rsid w:val="00D878FD"/>
    <w:rsid w:val="00D87D33"/>
    <w:rsid w:val="00D901EB"/>
    <w:rsid w:val="00D917D6"/>
    <w:rsid w:val="00D931F0"/>
    <w:rsid w:val="00D94107"/>
    <w:rsid w:val="00DA3944"/>
    <w:rsid w:val="00DA3AF4"/>
    <w:rsid w:val="00DA775B"/>
    <w:rsid w:val="00DA7B17"/>
    <w:rsid w:val="00DA7E08"/>
    <w:rsid w:val="00DC10F6"/>
    <w:rsid w:val="00DC2805"/>
    <w:rsid w:val="00DC2E90"/>
    <w:rsid w:val="00DC429C"/>
    <w:rsid w:val="00DC4F9B"/>
    <w:rsid w:val="00DC672B"/>
    <w:rsid w:val="00DC6CEC"/>
    <w:rsid w:val="00DC7695"/>
    <w:rsid w:val="00DC7839"/>
    <w:rsid w:val="00DD07FC"/>
    <w:rsid w:val="00DD0817"/>
    <w:rsid w:val="00DD20AF"/>
    <w:rsid w:val="00DD28FA"/>
    <w:rsid w:val="00DD515B"/>
    <w:rsid w:val="00DD56C8"/>
    <w:rsid w:val="00DD6007"/>
    <w:rsid w:val="00DD67BE"/>
    <w:rsid w:val="00DE011B"/>
    <w:rsid w:val="00DE0A55"/>
    <w:rsid w:val="00DE5B50"/>
    <w:rsid w:val="00DE60FC"/>
    <w:rsid w:val="00DE76B4"/>
    <w:rsid w:val="00DE77C8"/>
    <w:rsid w:val="00DF00A7"/>
    <w:rsid w:val="00E04EF6"/>
    <w:rsid w:val="00E05860"/>
    <w:rsid w:val="00E05DA8"/>
    <w:rsid w:val="00E068E6"/>
    <w:rsid w:val="00E072CF"/>
    <w:rsid w:val="00E10A53"/>
    <w:rsid w:val="00E14EB4"/>
    <w:rsid w:val="00E1529E"/>
    <w:rsid w:val="00E17727"/>
    <w:rsid w:val="00E17938"/>
    <w:rsid w:val="00E200B8"/>
    <w:rsid w:val="00E20D13"/>
    <w:rsid w:val="00E24370"/>
    <w:rsid w:val="00E2516A"/>
    <w:rsid w:val="00E25341"/>
    <w:rsid w:val="00E26B71"/>
    <w:rsid w:val="00E33514"/>
    <w:rsid w:val="00E348E1"/>
    <w:rsid w:val="00E40064"/>
    <w:rsid w:val="00E40780"/>
    <w:rsid w:val="00E42952"/>
    <w:rsid w:val="00E42F37"/>
    <w:rsid w:val="00E509E3"/>
    <w:rsid w:val="00E51C31"/>
    <w:rsid w:val="00E52636"/>
    <w:rsid w:val="00E52815"/>
    <w:rsid w:val="00E53F7C"/>
    <w:rsid w:val="00E549B2"/>
    <w:rsid w:val="00E559F4"/>
    <w:rsid w:val="00E55E8C"/>
    <w:rsid w:val="00E62219"/>
    <w:rsid w:val="00E628C1"/>
    <w:rsid w:val="00E647F6"/>
    <w:rsid w:val="00E6548C"/>
    <w:rsid w:val="00E65495"/>
    <w:rsid w:val="00E6766E"/>
    <w:rsid w:val="00E70918"/>
    <w:rsid w:val="00E72C21"/>
    <w:rsid w:val="00E72DE5"/>
    <w:rsid w:val="00E7406D"/>
    <w:rsid w:val="00E743F6"/>
    <w:rsid w:val="00E7491B"/>
    <w:rsid w:val="00E77EC0"/>
    <w:rsid w:val="00E81128"/>
    <w:rsid w:val="00E81945"/>
    <w:rsid w:val="00E85BF2"/>
    <w:rsid w:val="00E903F6"/>
    <w:rsid w:val="00E92266"/>
    <w:rsid w:val="00E93114"/>
    <w:rsid w:val="00E93FB1"/>
    <w:rsid w:val="00E94C60"/>
    <w:rsid w:val="00E953D3"/>
    <w:rsid w:val="00E96E6A"/>
    <w:rsid w:val="00EA4A29"/>
    <w:rsid w:val="00EA5343"/>
    <w:rsid w:val="00EA6F0D"/>
    <w:rsid w:val="00EA733C"/>
    <w:rsid w:val="00EB0DB8"/>
    <w:rsid w:val="00EB0E6E"/>
    <w:rsid w:val="00EB4CAB"/>
    <w:rsid w:val="00EB5325"/>
    <w:rsid w:val="00EB79DD"/>
    <w:rsid w:val="00EB7B36"/>
    <w:rsid w:val="00EC0583"/>
    <w:rsid w:val="00EC47ED"/>
    <w:rsid w:val="00EC71D0"/>
    <w:rsid w:val="00EC79ED"/>
    <w:rsid w:val="00ED07E2"/>
    <w:rsid w:val="00ED2AA9"/>
    <w:rsid w:val="00ED3833"/>
    <w:rsid w:val="00ED4DE6"/>
    <w:rsid w:val="00ED5652"/>
    <w:rsid w:val="00ED7444"/>
    <w:rsid w:val="00EE1703"/>
    <w:rsid w:val="00EE3434"/>
    <w:rsid w:val="00EE3DCF"/>
    <w:rsid w:val="00EE52D3"/>
    <w:rsid w:val="00EE7DE5"/>
    <w:rsid w:val="00EF0F83"/>
    <w:rsid w:val="00EF1581"/>
    <w:rsid w:val="00EF2348"/>
    <w:rsid w:val="00EF350E"/>
    <w:rsid w:val="00EF41FF"/>
    <w:rsid w:val="00EF49FB"/>
    <w:rsid w:val="00EF5605"/>
    <w:rsid w:val="00EF6454"/>
    <w:rsid w:val="00EF7594"/>
    <w:rsid w:val="00EF7819"/>
    <w:rsid w:val="00F008AE"/>
    <w:rsid w:val="00F008DD"/>
    <w:rsid w:val="00F00C91"/>
    <w:rsid w:val="00F01E10"/>
    <w:rsid w:val="00F07DFC"/>
    <w:rsid w:val="00F10A4E"/>
    <w:rsid w:val="00F11098"/>
    <w:rsid w:val="00F110D3"/>
    <w:rsid w:val="00F141F0"/>
    <w:rsid w:val="00F15160"/>
    <w:rsid w:val="00F169EE"/>
    <w:rsid w:val="00F16B23"/>
    <w:rsid w:val="00F16BD2"/>
    <w:rsid w:val="00F16CA9"/>
    <w:rsid w:val="00F2086E"/>
    <w:rsid w:val="00F22109"/>
    <w:rsid w:val="00F25DCD"/>
    <w:rsid w:val="00F261D7"/>
    <w:rsid w:val="00F271F9"/>
    <w:rsid w:val="00F30516"/>
    <w:rsid w:val="00F34A90"/>
    <w:rsid w:val="00F35E40"/>
    <w:rsid w:val="00F3618E"/>
    <w:rsid w:val="00F36C94"/>
    <w:rsid w:val="00F37743"/>
    <w:rsid w:val="00F41560"/>
    <w:rsid w:val="00F42911"/>
    <w:rsid w:val="00F4405D"/>
    <w:rsid w:val="00F4547F"/>
    <w:rsid w:val="00F46B18"/>
    <w:rsid w:val="00F5049E"/>
    <w:rsid w:val="00F50D85"/>
    <w:rsid w:val="00F51862"/>
    <w:rsid w:val="00F52C50"/>
    <w:rsid w:val="00F5372E"/>
    <w:rsid w:val="00F54C7E"/>
    <w:rsid w:val="00F54DA9"/>
    <w:rsid w:val="00F55457"/>
    <w:rsid w:val="00F55D44"/>
    <w:rsid w:val="00F60154"/>
    <w:rsid w:val="00F614A3"/>
    <w:rsid w:val="00F646D3"/>
    <w:rsid w:val="00F651D0"/>
    <w:rsid w:val="00F677A0"/>
    <w:rsid w:val="00F67BFA"/>
    <w:rsid w:val="00F729AE"/>
    <w:rsid w:val="00F72ABA"/>
    <w:rsid w:val="00F75D89"/>
    <w:rsid w:val="00F805EE"/>
    <w:rsid w:val="00F806B6"/>
    <w:rsid w:val="00F81AED"/>
    <w:rsid w:val="00F8400A"/>
    <w:rsid w:val="00F85D06"/>
    <w:rsid w:val="00F87542"/>
    <w:rsid w:val="00F911E9"/>
    <w:rsid w:val="00F927E2"/>
    <w:rsid w:val="00F92A2C"/>
    <w:rsid w:val="00F9610B"/>
    <w:rsid w:val="00F96C44"/>
    <w:rsid w:val="00F9702C"/>
    <w:rsid w:val="00FA5270"/>
    <w:rsid w:val="00FA5579"/>
    <w:rsid w:val="00FA6094"/>
    <w:rsid w:val="00FA63E8"/>
    <w:rsid w:val="00FA645A"/>
    <w:rsid w:val="00FB2913"/>
    <w:rsid w:val="00FB508D"/>
    <w:rsid w:val="00FB66BE"/>
    <w:rsid w:val="00FC1C84"/>
    <w:rsid w:val="00FC2449"/>
    <w:rsid w:val="00FC51BC"/>
    <w:rsid w:val="00FC5642"/>
    <w:rsid w:val="00FC5A62"/>
    <w:rsid w:val="00FC6373"/>
    <w:rsid w:val="00FC6A8C"/>
    <w:rsid w:val="00FC7B66"/>
    <w:rsid w:val="00FD2BC2"/>
    <w:rsid w:val="00FD36A2"/>
    <w:rsid w:val="00FD38E0"/>
    <w:rsid w:val="00FD3AA7"/>
    <w:rsid w:val="00FD3E2E"/>
    <w:rsid w:val="00FD48C7"/>
    <w:rsid w:val="00FD4D55"/>
    <w:rsid w:val="00FD54D2"/>
    <w:rsid w:val="00FD5B2C"/>
    <w:rsid w:val="00FD65AA"/>
    <w:rsid w:val="00FD6BD8"/>
    <w:rsid w:val="00FD728B"/>
    <w:rsid w:val="00FE0A32"/>
    <w:rsid w:val="00FE1956"/>
    <w:rsid w:val="00FE1C8B"/>
    <w:rsid w:val="00FE28A1"/>
    <w:rsid w:val="00FE29F4"/>
    <w:rsid w:val="00FF3576"/>
    <w:rsid w:val="00FF3A12"/>
    <w:rsid w:val="00FF44FC"/>
    <w:rsid w:val="00FF5554"/>
    <w:rsid w:val="00FF5870"/>
    <w:rsid w:val="00FF5CF7"/>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D70C"/>
  <w15:docId w15:val="{7FCA2323-3043-49E9-90B5-3C9B60A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8DB"/>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 w:type="paragraph" w:styleId="Ttulo">
    <w:name w:val="Title"/>
    <w:basedOn w:val="Normal"/>
    <w:next w:val="Normal"/>
    <w:link w:val="TtuloCar"/>
    <w:uiPriority w:val="10"/>
    <w:qFormat/>
    <w:rsid w:val="000D53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30C"/>
    <w:rPr>
      <w:rFonts w:asciiTheme="majorHAnsi" w:eastAsiaTheme="majorEastAsia" w:hAnsiTheme="majorHAnsi" w:cstheme="majorBidi"/>
      <w:spacing w:val="-10"/>
      <w:kern w:val="28"/>
      <w:sz w:val="56"/>
      <w:szCs w:val="56"/>
      <w:lang w:eastAsia="en-US"/>
    </w:rPr>
  </w:style>
  <w:style w:type="paragraph" w:styleId="Sangradetextonormal">
    <w:name w:val="Body Text Indent"/>
    <w:basedOn w:val="Normal"/>
    <w:link w:val="SangradetextonormalCar"/>
    <w:uiPriority w:val="99"/>
    <w:unhideWhenUsed/>
    <w:rsid w:val="000D530C"/>
    <w:pPr>
      <w:spacing w:after="120"/>
      <w:ind w:left="283"/>
    </w:pPr>
  </w:style>
  <w:style w:type="character" w:customStyle="1" w:styleId="SangradetextonormalCar">
    <w:name w:val="Sangría de texto normal Car"/>
    <w:basedOn w:val="Fuentedeprrafopredeter"/>
    <w:link w:val="Sangradetextonormal"/>
    <w:uiPriority w:val="99"/>
    <w:rsid w:val="000D530C"/>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0D530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D530C"/>
    <w:rPr>
      <w:sz w:val="22"/>
      <w:szCs w:val="22"/>
      <w:lang w:eastAsia="en-US"/>
    </w:rPr>
  </w:style>
  <w:style w:type="paragraph" w:styleId="Revisin">
    <w:name w:val="Revision"/>
    <w:hidden/>
    <w:uiPriority w:val="99"/>
    <w:semiHidden/>
    <w:rsid w:val="002362CD"/>
    <w:rPr>
      <w:sz w:val="22"/>
      <w:szCs w:val="22"/>
      <w:lang w:eastAsia="en-US"/>
    </w:rPr>
  </w:style>
  <w:style w:type="character" w:styleId="Mencinsinresolver">
    <w:name w:val="Unresolved Mention"/>
    <w:basedOn w:val="Fuentedeprrafopredeter"/>
    <w:uiPriority w:val="99"/>
    <w:semiHidden/>
    <w:unhideWhenUsed/>
    <w:rsid w:val="009D7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74271437">
      <w:marLeft w:val="0"/>
      <w:marRight w:val="0"/>
      <w:marTop w:val="0"/>
      <w:marBottom w:val="0"/>
      <w:divBdr>
        <w:top w:val="none" w:sz="0" w:space="0" w:color="auto"/>
        <w:left w:val="none" w:sz="0" w:space="0" w:color="auto"/>
        <w:bottom w:val="none" w:sz="0" w:space="0" w:color="auto"/>
        <w:right w:val="none" w:sz="0" w:space="0" w:color="auto"/>
      </w:divBdr>
      <w:divsChild>
        <w:div w:id="982003145">
          <w:marLeft w:val="0"/>
          <w:marRight w:val="0"/>
          <w:marTop w:val="0"/>
          <w:marBottom w:val="0"/>
          <w:divBdr>
            <w:top w:val="none" w:sz="0" w:space="0" w:color="auto"/>
            <w:left w:val="none" w:sz="0" w:space="0" w:color="auto"/>
            <w:bottom w:val="none" w:sz="0" w:space="0" w:color="auto"/>
            <w:right w:val="none" w:sz="0" w:space="0" w:color="auto"/>
          </w:divBdr>
        </w:div>
      </w:divsChild>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196702975">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290478995">
      <w:marLeft w:val="0"/>
      <w:marRight w:val="0"/>
      <w:marTop w:val="0"/>
      <w:marBottom w:val="0"/>
      <w:divBdr>
        <w:top w:val="none" w:sz="0" w:space="0" w:color="auto"/>
        <w:left w:val="none" w:sz="0" w:space="0" w:color="auto"/>
        <w:bottom w:val="none" w:sz="0" w:space="0" w:color="auto"/>
        <w:right w:val="none" w:sz="0" w:space="0" w:color="auto"/>
      </w:divBdr>
      <w:divsChild>
        <w:div w:id="1469855428">
          <w:marLeft w:val="0"/>
          <w:marRight w:val="0"/>
          <w:marTop w:val="0"/>
          <w:marBottom w:val="0"/>
          <w:divBdr>
            <w:top w:val="none" w:sz="0" w:space="0" w:color="auto"/>
            <w:left w:val="none" w:sz="0" w:space="0" w:color="auto"/>
            <w:bottom w:val="none" w:sz="0" w:space="0" w:color="auto"/>
            <w:right w:val="none" w:sz="0" w:space="0" w:color="auto"/>
          </w:divBdr>
        </w:div>
      </w:divsChild>
    </w:div>
    <w:div w:id="319434124">
      <w:marLeft w:val="0"/>
      <w:marRight w:val="0"/>
      <w:marTop w:val="0"/>
      <w:marBottom w:val="0"/>
      <w:divBdr>
        <w:top w:val="none" w:sz="0" w:space="0" w:color="auto"/>
        <w:left w:val="none" w:sz="0" w:space="0" w:color="auto"/>
        <w:bottom w:val="none" w:sz="0" w:space="0" w:color="auto"/>
        <w:right w:val="none" w:sz="0" w:space="0" w:color="auto"/>
      </w:divBdr>
      <w:divsChild>
        <w:div w:id="1686638794">
          <w:marLeft w:val="0"/>
          <w:marRight w:val="0"/>
          <w:marTop w:val="0"/>
          <w:marBottom w:val="0"/>
          <w:divBdr>
            <w:top w:val="none" w:sz="0" w:space="0" w:color="auto"/>
            <w:left w:val="none" w:sz="0" w:space="0" w:color="auto"/>
            <w:bottom w:val="none" w:sz="0" w:space="0" w:color="auto"/>
            <w:right w:val="none" w:sz="0" w:space="0" w:color="auto"/>
          </w:divBdr>
        </w:div>
      </w:divsChild>
    </w:div>
    <w:div w:id="320429154">
      <w:marLeft w:val="0"/>
      <w:marRight w:val="0"/>
      <w:marTop w:val="0"/>
      <w:marBottom w:val="0"/>
      <w:divBdr>
        <w:top w:val="none" w:sz="0" w:space="0" w:color="auto"/>
        <w:left w:val="none" w:sz="0" w:space="0" w:color="auto"/>
        <w:bottom w:val="none" w:sz="0" w:space="0" w:color="auto"/>
        <w:right w:val="none" w:sz="0" w:space="0" w:color="auto"/>
      </w:divBdr>
      <w:divsChild>
        <w:div w:id="730422883">
          <w:marLeft w:val="0"/>
          <w:marRight w:val="0"/>
          <w:marTop w:val="0"/>
          <w:marBottom w:val="0"/>
          <w:divBdr>
            <w:top w:val="none" w:sz="0" w:space="0" w:color="auto"/>
            <w:left w:val="none" w:sz="0" w:space="0" w:color="auto"/>
            <w:bottom w:val="none" w:sz="0" w:space="0" w:color="auto"/>
            <w:right w:val="none" w:sz="0" w:space="0" w:color="auto"/>
          </w:divBdr>
        </w:div>
      </w:divsChild>
    </w:div>
    <w:div w:id="343556929">
      <w:marLeft w:val="0"/>
      <w:marRight w:val="0"/>
      <w:marTop w:val="0"/>
      <w:marBottom w:val="0"/>
      <w:divBdr>
        <w:top w:val="none" w:sz="0" w:space="0" w:color="auto"/>
        <w:left w:val="none" w:sz="0" w:space="0" w:color="auto"/>
        <w:bottom w:val="none" w:sz="0" w:space="0" w:color="auto"/>
        <w:right w:val="none" w:sz="0" w:space="0" w:color="auto"/>
      </w:divBdr>
      <w:divsChild>
        <w:div w:id="1116631542">
          <w:marLeft w:val="0"/>
          <w:marRight w:val="0"/>
          <w:marTop w:val="0"/>
          <w:marBottom w:val="0"/>
          <w:divBdr>
            <w:top w:val="none" w:sz="0" w:space="0" w:color="auto"/>
            <w:left w:val="none" w:sz="0" w:space="0" w:color="auto"/>
            <w:bottom w:val="none" w:sz="0" w:space="0" w:color="auto"/>
            <w:right w:val="none" w:sz="0" w:space="0" w:color="auto"/>
          </w:divBdr>
        </w:div>
      </w:divsChild>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494419524">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57908773">
      <w:marLeft w:val="0"/>
      <w:marRight w:val="0"/>
      <w:marTop w:val="0"/>
      <w:marBottom w:val="0"/>
      <w:divBdr>
        <w:top w:val="none" w:sz="0" w:space="0" w:color="auto"/>
        <w:left w:val="none" w:sz="0" w:space="0" w:color="auto"/>
        <w:bottom w:val="none" w:sz="0" w:space="0" w:color="auto"/>
        <w:right w:val="none" w:sz="0" w:space="0" w:color="auto"/>
      </w:divBdr>
      <w:divsChild>
        <w:div w:id="305745529">
          <w:marLeft w:val="0"/>
          <w:marRight w:val="0"/>
          <w:marTop w:val="0"/>
          <w:marBottom w:val="0"/>
          <w:divBdr>
            <w:top w:val="none" w:sz="0" w:space="0" w:color="auto"/>
            <w:left w:val="none" w:sz="0" w:space="0" w:color="auto"/>
            <w:bottom w:val="none" w:sz="0" w:space="0" w:color="auto"/>
            <w:right w:val="none" w:sz="0" w:space="0" w:color="auto"/>
          </w:divBdr>
        </w:div>
      </w:divsChild>
    </w:div>
    <w:div w:id="561644258">
      <w:marLeft w:val="0"/>
      <w:marRight w:val="0"/>
      <w:marTop w:val="0"/>
      <w:marBottom w:val="0"/>
      <w:divBdr>
        <w:top w:val="none" w:sz="0" w:space="0" w:color="auto"/>
        <w:left w:val="none" w:sz="0" w:space="0" w:color="auto"/>
        <w:bottom w:val="none" w:sz="0" w:space="0" w:color="auto"/>
        <w:right w:val="none" w:sz="0" w:space="0" w:color="auto"/>
      </w:divBdr>
      <w:divsChild>
        <w:div w:id="1572278337">
          <w:marLeft w:val="0"/>
          <w:marRight w:val="0"/>
          <w:marTop w:val="0"/>
          <w:marBottom w:val="0"/>
          <w:divBdr>
            <w:top w:val="none" w:sz="0" w:space="0" w:color="auto"/>
            <w:left w:val="none" w:sz="0" w:space="0" w:color="auto"/>
            <w:bottom w:val="none" w:sz="0" w:space="0" w:color="auto"/>
            <w:right w:val="none" w:sz="0" w:space="0" w:color="auto"/>
          </w:divBdr>
        </w:div>
      </w:divsChild>
    </w:div>
    <w:div w:id="588781492">
      <w:marLeft w:val="0"/>
      <w:marRight w:val="0"/>
      <w:marTop w:val="0"/>
      <w:marBottom w:val="0"/>
      <w:divBdr>
        <w:top w:val="none" w:sz="0" w:space="0" w:color="auto"/>
        <w:left w:val="none" w:sz="0" w:space="0" w:color="auto"/>
        <w:bottom w:val="none" w:sz="0" w:space="0" w:color="auto"/>
        <w:right w:val="none" w:sz="0" w:space="0" w:color="auto"/>
      </w:divBdr>
      <w:divsChild>
        <w:div w:id="1593051841">
          <w:marLeft w:val="0"/>
          <w:marRight w:val="0"/>
          <w:marTop w:val="0"/>
          <w:marBottom w:val="0"/>
          <w:divBdr>
            <w:top w:val="none" w:sz="0" w:space="0" w:color="auto"/>
            <w:left w:val="none" w:sz="0" w:space="0" w:color="auto"/>
            <w:bottom w:val="none" w:sz="0" w:space="0" w:color="auto"/>
            <w:right w:val="none" w:sz="0" w:space="0" w:color="auto"/>
          </w:divBdr>
        </w:div>
      </w:divsChild>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02421949">
      <w:marLeft w:val="0"/>
      <w:marRight w:val="0"/>
      <w:marTop w:val="0"/>
      <w:marBottom w:val="0"/>
      <w:divBdr>
        <w:top w:val="none" w:sz="0" w:space="0" w:color="auto"/>
        <w:left w:val="none" w:sz="0" w:space="0" w:color="auto"/>
        <w:bottom w:val="none" w:sz="0" w:space="0" w:color="auto"/>
        <w:right w:val="none" w:sz="0" w:space="0" w:color="auto"/>
      </w:divBdr>
      <w:divsChild>
        <w:div w:id="1696807978">
          <w:marLeft w:val="0"/>
          <w:marRight w:val="0"/>
          <w:marTop w:val="0"/>
          <w:marBottom w:val="0"/>
          <w:divBdr>
            <w:top w:val="none" w:sz="0" w:space="0" w:color="auto"/>
            <w:left w:val="none" w:sz="0" w:space="0" w:color="auto"/>
            <w:bottom w:val="none" w:sz="0" w:space="0" w:color="auto"/>
            <w:right w:val="none" w:sz="0" w:space="0" w:color="auto"/>
          </w:divBdr>
        </w:div>
      </w:divsChild>
    </w:div>
    <w:div w:id="611131043">
      <w:marLeft w:val="0"/>
      <w:marRight w:val="0"/>
      <w:marTop w:val="0"/>
      <w:marBottom w:val="0"/>
      <w:divBdr>
        <w:top w:val="none" w:sz="0" w:space="0" w:color="auto"/>
        <w:left w:val="none" w:sz="0" w:space="0" w:color="auto"/>
        <w:bottom w:val="none" w:sz="0" w:space="0" w:color="auto"/>
        <w:right w:val="none" w:sz="0" w:space="0" w:color="auto"/>
      </w:divBdr>
      <w:divsChild>
        <w:div w:id="296423182">
          <w:marLeft w:val="0"/>
          <w:marRight w:val="0"/>
          <w:marTop w:val="0"/>
          <w:marBottom w:val="0"/>
          <w:divBdr>
            <w:top w:val="none" w:sz="0" w:space="0" w:color="auto"/>
            <w:left w:val="none" w:sz="0" w:space="0" w:color="auto"/>
            <w:bottom w:val="none" w:sz="0" w:space="0" w:color="auto"/>
            <w:right w:val="none" w:sz="0" w:space="0" w:color="auto"/>
          </w:divBdr>
        </w:div>
      </w:divsChild>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49796506">
      <w:marLeft w:val="0"/>
      <w:marRight w:val="0"/>
      <w:marTop w:val="0"/>
      <w:marBottom w:val="0"/>
      <w:divBdr>
        <w:top w:val="none" w:sz="0" w:space="0" w:color="auto"/>
        <w:left w:val="none" w:sz="0" w:space="0" w:color="auto"/>
        <w:bottom w:val="none" w:sz="0" w:space="0" w:color="auto"/>
        <w:right w:val="none" w:sz="0" w:space="0" w:color="auto"/>
      </w:divBdr>
      <w:divsChild>
        <w:div w:id="540552413">
          <w:marLeft w:val="0"/>
          <w:marRight w:val="0"/>
          <w:marTop w:val="0"/>
          <w:marBottom w:val="0"/>
          <w:divBdr>
            <w:top w:val="none" w:sz="0" w:space="0" w:color="auto"/>
            <w:left w:val="none" w:sz="0" w:space="0" w:color="auto"/>
            <w:bottom w:val="none" w:sz="0" w:space="0" w:color="auto"/>
            <w:right w:val="none" w:sz="0" w:space="0" w:color="auto"/>
          </w:divBdr>
        </w:div>
      </w:divsChild>
    </w:div>
    <w:div w:id="679477854">
      <w:marLeft w:val="0"/>
      <w:marRight w:val="0"/>
      <w:marTop w:val="0"/>
      <w:marBottom w:val="0"/>
      <w:divBdr>
        <w:top w:val="none" w:sz="0" w:space="0" w:color="auto"/>
        <w:left w:val="none" w:sz="0" w:space="0" w:color="auto"/>
        <w:bottom w:val="none" w:sz="0" w:space="0" w:color="auto"/>
        <w:right w:val="none" w:sz="0" w:space="0" w:color="auto"/>
      </w:divBdr>
      <w:divsChild>
        <w:div w:id="918558666">
          <w:marLeft w:val="0"/>
          <w:marRight w:val="0"/>
          <w:marTop w:val="0"/>
          <w:marBottom w:val="0"/>
          <w:divBdr>
            <w:top w:val="none" w:sz="0" w:space="0" w:color="auto"/>
            <w:left w:val="none" w:sz="0" w:space="0" w:color="auto"/>
            <w:bottom w:val="none" w:sz="0" w:space="0" w:color="auto"/>
            <w:right w:val="none" w:sz="0" w:space="0" w:color="auto"/>
          </w:divBdr>
        </w:div>
      </w:divsChild>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727070665">
      <w:marLeft w:val="0"/>
      <w:marRight w:val="0"/>
      <w:marTop w:val="0"/>
      <w:marBottom w:val="0"/>
      <w:divBdr>
        <w:top w:val="none" w:sz="0" w:space="0" w:color="auto"/>
        <w:left w:val="none" w:sz="0" w:space="0" w:color="auto"/>
        <w:bottom w:val="none" w:sz="0" w:space="0" w:color="auto"/>
        <w:right w:val="none" w:sz="0" w:space="0" w:color="auto"/>
      </w:divBdr>
      <w:divsChild>
        <w:div w:id="794719488">
          <w:marLeft w:val="0"/>
          <w:marRight w:val="0"/>
          <w:marTop w:val="0"/>
          <w:marBottom w:val="0"/>
          <w:divBdr>
            <w:top w:val="none" w:sz="0" w:space="0" w:color="auto"/>
            <w:left w:val="none" w:sz="0" w:space="0" w:color="auto"/>
            <w:bottom w:val="none" w:sz="0" w:space="0" w:color="auto"/>
            <w:right w:val="none" w:sz="0" w:space="0" w:color="auto"/>
          </w:divBdr>
        </w:div>
      </w:divsChild>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0660652">
      <w:marLeft w:val="0"/>
      <w:marRight w:val="0"/>
      <w:marTop w:val="0"/>
      <w:marBottom w:val="0"/>
      <w:divBdr>
        <w:top w:val="none" w:sz="0" w:space="0" w:color="auto"/>
        <w:left w:val="none" w:sz="0" w:space="0" w:color="auto"/>
        <w:bottom w:val="none" w:sz="0" w:space="0" w:color="auto"/>
        <w:right w:val="none" w:sz="0" w:space="0" w:color="auto"/>
      </w:divBdr>
      <w:divsChild>
        <w:div w:id="1918242511">
          <w:marLeft w:val="0"/>
          <w:marRight w:val="0"/>
          <w:marTop w:val="0"/>
          <w:marBottom w:val="0"/>
          <w:divBdr>
            <w:top w:val="none" w:sz="0" w:space="0" w:color="auto"/>
            <w:left w:val="none" w:sz="0" w:space="0" w:color="auto"/>
            <w:bottom w:val="none" w:sz="0" w:space="0" w:color="auto"/>
            <w:right w:val="none" w:sz="0" w:space="0" w:color="auto"/>
          </w:divBdr>
        </w:div>
      </w:divsChild>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52765729">
      <w:marLeft w:val="0"/>
      <w:marRight w:val="0"/>
      <w:marTop w:val="0"/>
      <w:marBottom w:val="0"/>
      <w:divBdr>
        <w:top w:val="none" w:sz="0" w:space="0" w:color="auto"/>
        <w:left w:val="none" w:sz="0" w:space="0" w:color="auto"/>
        <w:bottom w:val="none" w:sz="0" w:space="0" w:color="auto"/>
        <w:right w:val="none" w:sz="0" w:space="0" w:color="auto"/>
      </w:divBdr>
      <w:divsChild>
        <w:div w:id="1848326266">
          <w:marLeft w:val="0"/>
          <w:marRight w:val="0"/>
          <w:marTop w:val="0"/>
          <w:marBottom w:val="0"/>
          <w:divBdr>
            <w:top w:val="none" w:sz="0" w:space="0" w:color="auto"/>
            <w:left w:val="none" w:sz="0" w:space="0" w:color="auto"/>
            <w:bottom w:val="none" w:sz="0" w:space="0" w:color="auto"/>
            <w:right w:val="none" w:sz="0" w:space="0" w:color="auto"/>
          </w:divBdr>
        </w:div>
      </w:divsChild>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891115577">
      <w:bodyDiv w:val="1"/>
      <w:marLeft w:val="0"/>
      <w:marRight w:val="0"/>
      <w:marTop w:val="0"/>
      <w:marBottom w:val="0"/>
      <w:divBdr>
        <w:top w:val="none" w:sz="0" w:space="0" w:color="auto"/>
        <w:left w:val="none" w:sz="0" w:space="0" w:color="auto"/>
        <w:bottom w:val="none" w:sz="0" w:space="0" w:color="auto"/>
        <w:right w:val="none" w:sz="0" w:space="0" w:color="auto"/>
      </w:divBdr>
    </w:div>
    <w:div w:id="904148305">
      <w:marLeft w:val="0"/>
      <w:marRight w:val="0"/>
      <w:marTop w:val="0"/>
      <w:marBottom w:val="0"/>
      <w:divBdr>
        <w:top w:val="none" w:sz="0" w:space="0" w:color="auto"/>
        <w:left w:val="none" w:sz="0" w:space="0" w:color="auto"/>
        <w:bottom w:val="none" w:sz="0" w:space="0" w:color="auto"/>
        <w:right w:val="none" w:sz="0" w:space="0" w:color="auto"/>
      </w:divBdr>
      <w:divsChild>
        <w:div w:id="500245568">
          <w:marLeft w:val="0"/>
          <w:marRight w:val="0"/>
          <w:marTop w:val="0"/>
          <w:marBottom w:val="0"/>
          <w:divBdr>
            <w:top w:val="none" w:sz="0" w:space="0" w:color="auto"/>
            <w:left w:val="none" w:sz="0" w:space="0" w:color="auto"/>
            <w:bottom w:val="none" w:sz="0" w:space="0" w:color="auto"/>
            <w:right w:val="none" w:sz="0" w:space="0" w:color="auto"/>
          </w:divBdr>
        </w:div>
      </w:divsChild>
    </w:div>
    <w:div w:id="906260013">
      <w:marLeft w:val="0"/>
      <w:marRight w:val="0"/>
      <w:marTop w:val="0"/>
      <w:marBottom w:val="0"/>
      <w:divBdr>
        <w:top w:val="none" w:sz="0" w:space="0" w:color="auto"/>
        <w:left w:val="none" w:sz="0" w:space="0" w:color="auto"/>
        <w:bottom w:val="none" w:sz="0" w:space="0" w:color="auto"/>
        <w:right w:val="none" w:sz="0" w:space="0" w:color="auto"/>
      </w:divBdr>
      <w:divsChild>
        <w:div w:id="540480154">
          <w:marLeft w:val="0"/>
          <w:marRight w:val="0"/>
          <w:marTop w:val="0"/>
          <w:marBottom w:val="0"/>
          <w:divBdr>
            <w:top w:val="none" w:sz="0" w:space="0" w:color="auto"/>
            <w:left w:val="none" w:sz="0" w:space="0" w:color="auto"/>
            <w:bottom w:val="none" w:sz="0" w:space="0" w:color="auto"/>
            <w:right w:val="none" w:sz="0" w:space="0" w:color="auto"/>
          </w:divBdr>
        </w:div>
      </w:divsChild>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977078230">
      <w:marLeft w:val="0"/>
      <w:marRight w:val="0"/>
      <w:marTop w:val="0"/>
      <w:marBottom w:val="0"/>
      <w:divBdr>
        <w:top w:val="none" w:sz="0" w:space="0" w:color="auto"/>
        <w:left w:val="none" w:sz="0" w:space="0" w:color="auto"/>
        <w:bottom w:val="none" w:sz="0" w:space="0" w:color="auto"/>
        <w:right w:val="none" w:sz="0" w:space="0" w:color="auto"/>
      </w:divBdr>
      <w:divsChild>
        <w:div w:id="611477699">
          <w:marLeft w:val="0"/>
          <w:marRight w:val="0"/>
          <w:marTop w:val="0"/>
          <w:marBottom w:val="0"/>
          <w:divBdr>
            <w:top w:val="none" w:sz="0" w:space="0" w:color="auto"/>
            <w:left w:val="none" w:sz="0" w:space="0" w:color="auto"/>
            <w:bottom w:val="none" w:sz="0" w:space="0" w:color="auto"/>
            <w:right w:val="none" w:sz="0" w:space="0" w:color="auto"/>
          </w:divBdr>
        </w:div>
      </w:divsChild>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072772966">
      <w:marLeft w:val="0"/>
      <w:marRight w:val="0"/>
      <w:marTop w:val="0"/>
      <w:marBottom w:val="0"/>
      <w:divBdr>
        <w:top w:val="none" w:sz="0" w:space="0" w:color="auto"/>
        <w:left w:val="none" w:sz="0" w:space="0" w:color="auto"/>
        <w:bottom w:val="none" w:sz="0" w:space="0" w:color="auto"/>
        <w:right w:val="none" w:sz="0" w:space="0" w:color="auto"/>
      </w:divBdr>
      <w:divsChild>
        <w:div w:id="26567825">
          <w:marLeft w:val="0"/>
          <w:marRight w:val="0"/>
          <w:marTop w:val="0"/>
          <w:marBottom w:val="0"/>
          <w:divBdr>
            <w:top w:val="none" w:sz="0" w:space="0" w:color="auto"/>
            <w:left w:val="none" w:sz="0" w:space="0" w:color="auto"/>
            <w:bottom w:val="none" w:sz="0" w:space="0" w:color="auto"/>
            <w:right w:val="none" w:sz="0" w:space="0" w:color="auto"/>
          </w:divBdr>
        </w:div>
      </w:divsChild>
    </w:div>
    <w:div w:id="1110468349">
      <w:bodyDiv w:val="1"/>
      <w:marLeft w:val="0"/>
      <w:marRight w:val="0"/>
      <w:marTop w:val="0"/>
      <w:marBottom w:val="0"/>
      <w:divBdr>
        <w:top w:val="none" w:sz="0" w:space="0" w:color="auto"/>
        <w:left w:val="none" w:sz="0" w:space="0" w:color="auto"/>
        <w:bottom w:val="none" w:sz="0" w:space="0" w:color="auto"/>
        <w:right w:val="none" w:sz="0" w:space="0" w:color="auto"/>
      </w:divBdr>
    </w:div>
    <w:div w:id="1110507971">
      <w:marLeft w:val="0"/>
      <w:marRight w:val="0"/>
      <w:marTop w:val="0"/>
      <w:marBottom w:val="0"/>
      <w:divBdr>
        <w:top w:val="none" w:sz="0" w:space="0" w:color="auto"/>
        <w:left w:val="none" w:sz="0" w:space="0" w:color="auto"/>
        <w:bottom w:val="none" w:sz="0" w:space="0" w:color="auto"/>
        <w:right w:val="none" w:sz="0" w:space="0" w:color="auto"/>
      </w:divBdr>
      <w:divsChild>
        <w:div w:id="1760372844">
          <w:marLeft w:val="0"/>
          <w:marRight w:val="0"/>
          <w:marTop w:val="0"/>
          <w:marBottom w:val="0"/>
          <w:divBdr>
            <w:top w:val="none" w:sz="0" w:space="0" w:color="auto"/>
            <w:left w:val="none" w:sz="0" w:space="0" w:color="auto"/>
            <w:bottom w:val="none" w:sz="0" w:space="0" w:color="auto"/>
            <w:right w:val="none" w:sz="0" w:space="0" w:color="auto"/>
          </w:divBdr>
        </w:div>
      </w:divsChild>
    </w:div>
    <w:div w:id="1142696090">
      <w:marLeft w:val="0"/>
      <w:marRight w:val="0"/>
      <w:marTop w:val="0"/>
      <w:marBottom w:val="0"/>
      <w:divBdr>
        <w:top w:val="none" w:sz="0" w:space="0" w:color="auto"/>
        <w:left w:val="none" w:sz="0" w:space="0" w:color="auto"/>
        <w:bottom w:val="none" w:sz="0" w:space="0" w:color="auto"/>
        <w:right w:val="none" w:sz="0" w:space="0" w:color="auto"/>
      </w:divBdr>
      <w:divsChild>
        <w:div w:id="387534258">
          <w:marLeft w:val="0"/>
          <w:marRight w:val="0"/>
          <w:marTop w:val="0"/>
          <w:marBottom w:val="0"/>
          <w:divBdr>
            <w:top w:val="none" w:sz="0" w:space="0" w:color="auto"/>
            <w:left w:val="none" w:sz="0" w:space="0" w:color="auto"/>
            <w:bottom w:val="none" w:sz="0" w:space="0" w:color="auto"/>
            <w:right w:val="none" w:sz="0" w:space="0" w:color="auto"/>
          </w:divBdr>
        </w:div>
      </w:divsChild>
    </w:div>
    <w:div w:id="1180777215">
      <w:bodyDiv w:val="1"/>
      <w:marLeft w:val="0"/>
      <w:marRight w:val="0"/>
      <w:marTop w:val="0"/>
      <w:marBottom w:val="0"/>
      <w:divBdr>
        <w:top w:val="none" w:sz="0" w:space="0" w:color="auto"/>
        <w:left w:val="none" w:sz="0" w:space="0" w:color="auto"/>
        <w:bottom w:val="none" w:sz="0" w:space="0" w:color="auto"/>
        <w:right w:val="none" w:sz="0" w:space="0" w:color="auto"/>
      </w:divBdr>
    </w:div>
    <w:div w:id="1235775206">
      <w:marLeft w:val="0"/>
      <w:marRight w:val="0"/>
      <w:marTop w:val="0"/>
      <w:marBottom w:val="0"/>
      <w:divBdr>
        <w:top w:val="none" w:sz="0" w:space="0" w:color="auto"/>
        <w:left w:val="none" w:sz="0" w:space="0" w:color="auto"/>
        <w:bottom w:val="none" w:sz="0" w:space="0" w:color="auto"/>
        <w:right w:val="none" w:sz="0" w:space="0" w:color="auto"/>
      </w:divBdr>
      <w:divsChild>
        <w:div w:id="533621562">
          <w:marLeft w:val="0"/>
          <w:marRight w:val="0"/>
          <w:marTop w:val="0"/>
          <w:marBottom w:val="0"/>
          <w:divBdr>
            <w:top w:val="none" w:sz="0" w:space="0" w:color="auto"/>
            <w:left w:val="none" w:sz="0" w:space="0" w:color="auto"/>
            <w:bottom w:val="none" w:sz="0" w:space="0" w:color="auto"/>
            <w:right w:val="none" w:sz="0" w:space="0" w:color="auto"/>
          </w:divBdr>
        </w:div>
      </w:divsChild>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264999870">
      <w:bodyDiv w:val="1"/>
      <w:marLeft w:val="0"/>
      <w:marRight w:val="0"/>
      <w:marTop w:val="0"/>
      <w:marBottom w:val="0"/>
      <w:divBdr>
        <w:top w:val="none" w:sz="0" w:space="0" w:color="auto"/>
        <w:left w:val="none" w:sz="0" w:space="0" w:color="auto"/>
        <w:bottom w:val="none" w:sz="0" w:space="0" w:color="auto"/>
        <w:right w:val="none" w:sz="0" w:space="0" w:color="auto"/>
      </w:divBdr>
      <w:divsChild>
        <w:div w:id="433793616">
          <w:marLeft w:val="0"/>
          <w:marRight w:val="0"/>
          <w:marTop w:val="0"/>
          <w:marBottom w:val="0"/>
          <w:divBdr>
            <w:top w:val="none" w:sz="0" w:space="0" w:color="auto"/>
            <w:left w:val="none" w:sz="0" w:space="0" w:color="auto"/>
            <w:bottom w:val="none" w:sz="0" w:space="0" w:color="auto"/>
            <w:right w:val="none" w:sz="0" w:space="0" w:color="auto"/>
          </w:divBdr>
          <w:divsChild>
            <w:div w:id="15126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410">
      <w:marLeft w:val="0"/>
      <w:marRight w:val="0"/>
      <w:marTop w:val="0"/>
      <w:marBottom w:val="0"/>
      <w:divBdr>
        <w:top w:val="none" w:sz="0" w:space="0" w:color="auto"/>
        <w:left w:val="none" w:sz="0" w:space="0" w:color="auto"/>
        <w:bottom w:val="none" w:sz="0" w:space="0" w:color="auto"/>
        <w:right w:val="none" w:sz="0" w:space="0" w:color="auto"/>
      </w:divBdr>
      <w:divsChild>
        <w:div w:id="1036202019">
          <w:marLeft w:val="0"/>
          <w:marRight w:val="0"/>
          <w:marTop w:val="0"/>
          <w:marBottom w:val="0"/>
          <w:divBdr>
            <w:top w:val="none" w:sz="0" w:space="0" w:color="auto"/>
            <w:left w:val="none" w:sz="0" w:space="0" w:color="auto"/>
            <w:bottom w:val="none" w:sz="0" w:space="0" w:color="auto"/>
            <w:right w:val="none" w:sz="0" w:space="0" w:color="auto"/>
          </w:divBdr>
        </w:div>
      </w:divsChild>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356880922">
      <w:marLeft w:val="0"/>
      <w:marRight w:val="0"/>
      <w:marTop w:val="0"/>
      <w:marBottom w:val="0"/>
      <w:divBdr>
        <w:top w:val="none" w:sz="0" w:space="0" w:color="auto"/>
        <w:left w:val="none" w:sz="0" w:space="0" w:color="auto"/>
        <w:bottom w:val="none" w:sz="0" w:space="0" w:color="auto"/>
        <w:right w:val="none" w:sz="0" w:space="0" w:color="auto"/>
      </w:divBdr>
      <w:divsChild>
        <w:div w:id="1541631363">
          <w:marLeft w:val="0"/>
          <w:marRight w:val="0"/>
          <w:marTop w:val="0"/>
          <w:marBottom w:val="0"/>
          <w:divBdr>
            <w:top w:val="none" w:sz="0" w:space="0" w:color="auto"/>
            <w:left w:val="none" w:sz="0" w:space="0" w:color="auto"/>
            <w:bottom w:val="none" w:sz="0" w:space="0" w:color="auto"/>
            <w:right w:val="none" w:sz="0" w:space="0" w:color="auto"/>
          </w:divBdr>
        </w:div>
      </w:divsChild>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413240963">
      <w:marLeft w:val="0"/>
      <w:marRight w:val="0"/>
      <w:marTop w:val="0"/>
      <w:marBottom w:val="0"/>
      <w:divBdr>
        <w:top w:val="none" w:sz="0" w:space="0" w:color="auto"/>
        <w:left w:val="none" w:sz="0" w:space="0" w:color="auto"/>
        <w:bottom w:val="none" w:sz="0" w:space="0" w:color="auto"/>
        <w:right w:val="none" w:sz="0" w:space="0" w:color="auto"/>
      </w:divBdr>
      <w:divsChild>
        <w:div w:id="1798449340">
          <w:marLeft w:val="0"/>
          <w:marRight w:val="0"/>
          <w:marTop w:val="0"/>
          <w:marBottom w:val="0"/>
          <w:divBdr>
            <w:top w:val="none" w:sz="0" w:space="0" w:color="auto"/>
            <w:left w:val="none" w:sz="0" w:space="0" w:color="auto"/>
            <w:bottom w:val="none" w:sz="0" w:space="0" w:color="auto"/>
            <w:right w:val="none" w:sz="0" w:space="0" w:color="auto"/>
          </w:divBdr>
        </w:div>
      </w:divsChild>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043006">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49099408">
      <w:marLeft w:val="0"/>
      <w:marRight w:val="0"/>
      <w:marTop w:val="0"/>
      <w:marBottom w:val="0"/>
      <w:divBdr>
        <w:top w:val="none" w:sz="0" w:space="0" w:color="auto"/>
        <w:left w:val="none" w:sz="0" w:space="0" w:color="auto"/>
        <w:bottom w:val="none" w:sz="0" w:space="0" w:color="auto"/>
        <w:right w:val="none" w:sz="0" w:space="0" w:color="auto"/>
      </w:divBdr>
      <w:divsChild>
        <w:div w:id="974749410">
          <w:marLeft w:val="0"/>
          <w:marRight w:val="0"/>
          <w:marTop w:val="0"/>
          <w:marBottom w:val="0"/>
          <w:divBdr>
            <w:top w:val="none" w:sz="0" w:space="0" w:color="auto"/>
            <w:left w:val="none" w:sz="0" w:space="0" w:color="auto"/>
            <w:bottom w:val="none" w:sz="0" w:space="0" w:color="auto"/>
            <w:right w:val="none" w:sz="0" w:space="0" w:color="auto"/>
          </w:divBdr>
        </w:div>
      </w:divsChild>
    </w:div>
    <w:div w:id="1557551035">
      <w:marLeft w:val="0"/>
      <w:marRight w:val="0"/>
      <w:marTop w:val="0"/>
      <w:marBottom w:val="0"/>
      <w:divBdr>
        <w:top w:val="none" w:sz="0" w:space="0" w:color="auto"/>
        <w:left w:val="none" w:sz="0" w:space="0" w:color="auto"/>
        <w:bottom w:val="none" w:sz="0" w:space="0" w:color="auto"/>
        <w:right w:val="none" w:sz="0" w:space="0" w:color="auto"/>
      </w:divBdr>
      <w:divsChild>
        <w:div w:id="856384301">
          <w:marLeft w:val="0"/>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627353135">
      <w:bodyDiv w:val="1"/>
      <w:marLeft w:val="0"/>
      <w:marRight w:val="0"/>
      <w:marTop w:val="0"/>
      <w:marBottom w:val="0"/>
      <w:divBdr>
        <w:top w:val="none" w:sz="0" w:space="0" w:color="auto"/>
        <w:left w:val="none" w:sz="0" w:space="0" w:color="auto"/>
        <w:bottom w:val="none" w:sz="0" w:space="0" w:color="auto"/>
        <w:right w:val="none" w:sz="0" w:space="0" w:color="auto"/>
      </w:divBdr>
      <w:divsChild>
        <w:div w:id="1382942290">
          <w:marLeft w:val="0"/>
          <w:marRight w:val="0"/>
          <w:marTop w:val="0"/>
          <w:marBottom w:val="0"/>
          <w:divBdr>
            <w:top w:val="none" w:sz="0" w:space="0" w:color="auto"/>
            <w:left w:val="none" w:sz="0" w:space="0" w:color="auto"/>
            <w:bottom w:val="none" w:sz="0" w:space="0" w:color="auto"/>
            <w:right w:val="none" w:sz="0" w:space="0" w:color="auto"/>
          </w:divBdr>
          <w:divsChild>
            <w:div w:id="845360070">
              <w:marLeft w:val="0"/>
              <w:marRight w:val="0"/>
              <w:marTop w:val="0"/>
              <w:marBottom w:val="0"/>
              <w:divBdr>
                <w:top w:val="none" w:sz="0" w:space="0" w:color="auto"/>
                <w:left w:val="none" w:sz="0" w:space="0" w:color="auto"/>
                <w:bottom w:val="none" w:sz="0" w:space="0" w:color="auto"/>
                <w:right w:val="none" w:sz="0" w:space="0" w:color="auto"/>
              </w:divBdr>
              <w:divsChild>
                <w:div w:id="1769960441">
                  <w:marLeft w:val="0"/>
                  <w:marRight w:val="0"/>
                  <w:marTop w:val="0"/>
                  <w:marBottom w:val="0"/>
                  <w:divBdr>
                    <w:top w:val="none" w:sz="0" w:space="0" w:color="auto"/>
                    <w:left w:val="none" w:sz="0" w:space="0" w:color="auto"/>
                    <w:bottom w:val="none" w:sz="0" w:space="0" w:color="auto"/>
                    <w:right w:val="none" w:sz="0" w:space="0" w:color="auto"/>
                  </w:divBdr>
                  <w:divsChild>
                    <w:div w:id="126778746">
                      <w:marLeft w:val="0"/>
                      <w:marRight w:val="0"/>
                      <w:marTop w:val="0"/>
                      <w:marBottom w:val="0"/>
                      <w:divBdr>
                        <w:top w:val="none" w:sz="0" w:space="0" w:color="auto"/>
                        <w:left w:val="none" w:sz="0" w:space="0" w:color="auto"/>
                        <w:bottom w:val="none" w:sz="0" w:space="0" w:color="auto"/>
                        <w:right w:val="none" w:sz="0" w:space="0" w:color="auto"/>
                      </w:divBdr>
                      <w:divsChild>
                        <w:div w:id="1600870990">
                          <w:marLeft w:val="0"/>
                          <w:marRight w:val="0"/>
                          <w:marTop w:val="0"/>
                          <w:marBottom w:val="0"/>
                          <w:divBdr>
                            <w:top w:val="none" w:sz="0" w:space="0" w:color="auto"/>
                            <w:left w:val="none" w:sz="0" w:space="0" w:color="auto"/>
                            <w:bottom w:val="none" w:sz="0" w:space="0" w:color="auto"/>
                            <w:right w:val="none" w:sz="0" w:space="0" w:color="auto"/>
                          </w:divBdr>
                          <w:divsChild>
                            <w:div w:id="1642080575">
                              <w:marLeft w:val="0"/>
                              <w:marRight w:val="0"/>
                              <w:marTop w:val="0"/>
                              <w:marBottom w:val="0"/>
                              <w:divBdr>
                                <w:top w:val="none" w:sz="0" w:space="0" w:color="auto"/>
                                <w:left w:val="none" w:sz="0" w:space="0" w:color="auto"/>
                                <w:bottom w:val="none" w:sz="0" w:space="0" w:color="auto"/>
                                <w:right w:val="none" w:sz="0" w:space="0" w:color="auto"/>
                              </w:divBdr>
                              <w:divsChild>
                                <w:div w:id="18305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2786">
          <w:marLeft w:val="0"/>
          <w:marRight w:val="0"/>
          <w:marTop w:val="0"/>
          <w:marBottom w:val="0"/>
          <w:divBdr>
            <w:top w:val="none" w:sz="0" w:space="0" w:color="auto"/>
            <w:left w:val="none" w:sz="0" w:space="0" w:color="auto"/>
            <w:bottom w:val="none" w:sz="0" w:space="0" w:color="auto"/>
            <w:right w:val="none" w:sz="0" w:space="0" w:color="auto"/>
          </w:divBdr>
          <w:divsChild>
            <w:div w:id="1831872328">
              <w:marLeft w:val="0"/>
              <w:marRight w:val="0"/>
              <w:marTop w:val="0"/>
              <w:marBottom w:val="0"/>
              <w:divBdr>
                <w:top w:val="none" w:sz="0" w:space="0" w:color="auto"/>
                <w:left w:val="none" w:sz="0" w:space="0" w:color="auto"/>
                <w:bottom w:val="none" w:sz="0" w:space="0" w:color="auto"/>
                <w:right w:val="none" w:sz="0" w:space="0" w:color="auto"/>
              </w:divBdr>
              <w:divsChild>
                <w:div w:id="2145849645">
                  <w:marLeft w:val="0"/>
                  <w:marRight w:val="0"/>
                  <w:marTop w:val="0"/>
                  <w:marBottom w:val="0"/>
                  <w:divBdr>
                    <w:top w:val="none" w:sz="0" w:space="0" w:color="auto"/>
                    <w:left w:val="none" w:sz="0" w:space="0" w:color="auto"/>
                    <w:bottom w:val="none" w:sz="0" w:space="0" w:color="auto"/>
                    <w:right w:val="none" w:sz="0" w:space="0" w:color="auto"/>
                  </w:divBdr>
                  <w:divsChild>
                    <w:div w:id="26374669">
                      <w:marLeft w:val="0"/>
                      <w:marRight w:val="0"/>
                      <w:marTop w:val="0"/>
                      <w:marBottom w:val="0"/>
                      <w:divBdr>
                        <w:top w:val="none" w:sz="0" w:space="0" w:color="auto"/>
                        <w:left w:val="none" w:sz="0" w:space="0" w:color="auto"/>
                        <w:bottom w:val="none" w:sz="0" w:space="0" w:color="auto"/>
                        <w:right w:val="none" w:sz="0" w:space="0" w:color="auto"/>
                      </w:divBdr>
                      <w:divsChild>
                        <w:div w:id="1720477513">
                          <w:marLeft w:val="0"/>
                          <w:marRight w:val="0"/>
                          <w:marTop w:val="0"/>
                          <w:marBottom w:val="0"/>
                          <w:divBdr>
                            <w:top w:val="none" w:sz="0" w:space="0" w:color="auto"/>
                            <w:left w:val="none" w:sz="0" w:space="0" w:color="auto"/>
                            <w:bottom w:val="none" w:sz="0" w:space="0" w:color="auto"/>
                            <w:right w:val="none" w:sz="0" w:space="0" w:color="auto"/>
                          </w:divBdr>
                          <w:divsChild>
                            <w:div w:id="1394426790">
                              <w:marLeft w:val="0"/>
                              <w:marRight w:val="0"/>
                              <w:marTop w:val="0"/>
                              <w:marBottom w:val="0"/>
                              <w:divBdr>
                                <w:top w:val="none" w:sz="0" w:space="0" w:color="auto"/>
                                <w:left w:val="none" w:sz="0" w:space="0" w:color="auto"/>
                                <w:bottom w:val="none" w:sz="0" w:space="0" w:color="auto"/>
                                <w:right w:val="none" w:sz="0" w:space="0" w:color="auto"/>
                              </w:divBdr>
                              <w:divsChild>
                                <w:div w:id="19266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7715">
          <w:marLeft w:val="0"/>
          <w:marRight w:val="0"/>
          <w:marTop w:val="0"/>
          <w:marBottom w:val="0"/>
          <w:divBdr>
            <w:top w:val="none" w:sz="0" w:space="0" w:color="auto"/>
            <w:left w:val="none" w:sz="0" w:space="0" w:color="auto"/>
            <w:bottom w:val="none" w:sz="0" w:space="0" w:color="auto"/>
            <w:right w:val="none" w:sz="0" w:space="0" w:color="auto"/>
          </w:divBdr>
          <w:divsChild>
            <w:div w:id="77479396">
              <w:marLeft w:val="0"/>
              <w:marRight w:val="0"/>
              <w:marTop w:val="0"/>
              <w:marBottom w:val="0"/>
              <w:divBdr>
                <w:top w:val="none" w:sz="0" w:space="0" w:color="auto"/>
                <w:left w:val="none" w:sz="0" w:space="0" w:color="auto"/>
                <w:bottom w:val="none" w:sz="0" w:space="0" w:color="auto"/>
                <w:right w:val="none" w:sz="0" w:space="0" w:color="auto"/>
              </w:divBdr>
              <w:divsChild>
                <w:div w:id="220019322">
                  <w:marLeft w:val="0"/>
                  <w:marRight w:val="0"/>
                  <w:marTop w:val="0"/>
                  <w:marBottom w:val="0"/>
                  <w:divBdr>
                    <w:top w:val="none" w:sz="0" w:space="0" w:color="auto"/>
                    <w:left w:val="none" w:sz="0" w:space="0" w:color="auto"/>
                    <w:bottom w:val="none" w:sz="0" w:space="0" w:color="auto"/>
                    <w:right w:val="none" w:sz="0" w:space="0" w:color="auto"/>
                  </w:divBdr>
                  <w:divsChild>
                    <w:div w:id="1689331989">
                      <w:marLeft w:val="0"/>
                      <w:marRight w:val="0"/>
                      <w:marTop w:val="0"/>
                      <w:marBottom w:val="0"/>
                      <w:divBdr>
                        <w:top w:val="none" w:sz="0" w:space="0" w:color="auto"/>
                        <w:left w:val="none" w:sz="0" w:space="0" w:color="auto"/>
                        <w:bottom w:val="none" w:sz="0" w:space="0" w:color="auto"/>
                        <w:right w:val="none" w:sz="0" w:space="0" w:color="auto"/>
                      </w:divBdr>
                      <w:divsChild>
                        <w:div w:id="1573808698">
                          <w:marLeft w:val="0"/>
                          <w:marRight w:val="0"/>
                          <w:marTop w:val="0"/>
                          <w:marBottom w:val="0"/>
                          <w:divBdr>
                            <w:top w:val="none" w:sz="0" w:space="0" w:color="auto"/>
                            <w:left w:val="none" w:sz="0" w:space="0" w:color="auto"/>
                            <w:bottom w:val="none" w:sz="0" w:space="0" w:color="auto"/>
                            <w:right w:val="none" w:sz="0" w:space="0" w:color="auto"/>
                          </w:divBdr>
                          <w:divsChild>
                            <w:div w:id="545875230">
                              <w:marLeft w:val="0"/>
                              <w:marRight w:val="0"/>
                              <w:marTop w:val="0"/>
                              <w:marBottom w:val="0"/>
                              <w:divBdr>
                                <w:top w:val="none" w:sz="0" w:space="0" w:color="auto"/>
                                <w:left w:val="none" w:sz="0" w:space="0" w:color="auto"/>
                                <w:bottom w:val="none" w:sz="0" w:space="0" w:color="auto"/>
                                <w:right w:val="none" w:sz="0" w:space="0" w:color="auto"/>
                              </w:divBdr>
                              <w:divsChild>
                                <w:div w:id="20047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1299">
          <w:marLeft w:val="0"/>
          <w:marRight w:val="0"/>
          <w:marTop w:val="0"/>
          <w:marBottom w:val="0"/>
          <w:divBdr>
            <w:top w:val="none" w:sz="0" w:space="0" w:color="auto"/>
            <w:left w:val="none" w:sz="0" w:space="0" w:color="auto"/>
            <w:bottom w:val="none" w:sz="0" w:space="0" w:color="auto"/>
            <w:right w:val="none" w:sz="0" w:space="0" w:color="auto"/>
          </w:divBdr>
          <w:divsChild>
            <w:div w:id="1895310739">
              <w:marLeft w:val="0"/>
              <w:marRight w:val="0"/>
              <w:marTop w:val="0"/>
              <w:marBottom w:val="0"/>
              <w:divBdr>
                <w:top w:val="none" w:sz="0" w:space="0" w:color="auto"/>
                <w:left w:val="none" w:sz="0" w:space="0" w:color="auto"/>
                <w:bottom w:val="none" w:sz="0" w:space="0" w:color="auto"/>
                <w:right w:val="none" w:sz="0" w:space="0" w:color="auto"/>
              </w:divBdr>
              <w:divsChild>
                <w:div w:id="1572235621">
                  <w:marLeft w:val="0"/>
                  <w:marRight w:val="0"/>
                  <w:marTop w:val="0"/>
                  <w:marBottom w:val="0"/>
                  <w:divBdr>
                    <w:top w:val="none" w:sz="0" w:space="0" w:color="auto"/>
                    <w:left w:val="none" w:sz="0" w:space="0" w:color="auto"/>
                    <w:bottom w:val="none" w:sz="0" w:space="0" w:color="auto"/>
                    <w:right w:val="none" w:sz="0" w:space="0" w:color="auto"/>
                  </w:divBdr>
                  <w:divsChild>
                    <w:div w:id="1255898043">
                      <w:marLeft w:val="0"/>
                      <w:marRight w:val="0"/>
                      <w:marTop w:val="0"/>
                      <w:marBottom w:val="0"/>
                      <w:divBdr>
                        <w:top w:val="none" w:sz="0" w:space="0" w:color="auto"/>
                        <w:left w:val="none" w:sz="0" w:space="0" w:color="auto"/>
                        <w:bottom w:val="none" w:sz="0" w:space="0" w:color="auto"/>
                        <w:right w:val="none" w:sz="0" w:space="0" w:color="auto"/>
                      </w:divBdr>
                      <w:divsChild>
                        <w:div w:id="504633428">
                          <w:marLeft w:val="0"/>
                          <w:marRight w:val="0"/>
                          <w:marTop w:val="0"/>
                          <w:marBottom w:val="0"/>
                          <w:divBdr>
                            <w:top w:val="none" w:sz="0" w:space="0" w:color="auto"/>
                            <w:left w:val="none" w:sz="0" w:space="0" w:color="auto"/>
                            <w:bottom w:val="none" w:sz="0" w:space="0" w:color="auto"/>
                            <w:right w:val="none" w:sz="0" w:space="0" w:color="auto"/>
                          </w:divBdr>
                          <w:divsChild>
                            <w:div w:id="330983579">
                              <w:marLeft w:val="0"/>
                              <w:marRight w:val="0"/>
                              <w:marTop w:val="0"/>
                              <w:marBottom w:val="0"/>
                              <w:divBdr>
                                <w:top w:val="none" w:sz="0" w:space="0" w:color="auto"/>
                                <w:left w:val="none" w:sz="0" w:space="0" w:color="auto"/>
                                <w:bottom w:val="none" w:sz="0" w:space="0" w:color="auto"/>
                                <w:right w:val="none" w:sz="0" w:space="0" w:color="auto"/>
                              </w:divBdr>
                              <w:divsChild>
                                <w:div w:id="42593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559519">
      <w:marLeft w:val="0"/>
      <w:marRight w:val="0"/>
      <w:marTop w:val="0"/>
      <w:marBottom w:val="0"/>
      <w:divBdr>
        <w:top w:val="none" w:sz="0" w:space="0" w:color="auto"/>
        <w:left w:val="none" w:sz="0" w:space="0" w:color="auto"/>
        <w:bottom w:val="none" w:sz="0" w:space="0" w:color="auto"/>
        <w:right w:val="none" w:sz="0" w:space="0" w:color="auto"/>
      </w:divBdr>
      <w:divsChild>
        <w:div w:id="1189877641">
          <w:marLeft w:val="0"/>
          <w:marRight w:val="0"/>
          <w:marTop w:val="0"/>
          <w:marBottom w:val="0"/>
          <w:divBdr>
            <w:top w:val="none" w:sz="0" w:space="0" w:color="auto"/>
            <w:left w:val="none" w:sz="0" w:space="0" w:color="auto"/>
            <w:bottom w:val="none" w:sz="0" w:space="0" w:color="auto"/>
            <w:right w:val="none" w:sz="0" w:space="0" w:color="auto"/>
          </w:divBdr>
        </w:div>
      </w:divsChild>
    </w:div>
    <w:div w:id="1838878983">
      <w:marLeft w:val="0"/>
      <w:marRight w:val="0"/>
      <w:marTop w:val="0"/>
      <w:marBottom w:val="0"/>
      <w:divBdr>
        <w:top w:val="none" w:sz="0" w:space="0" w:color="auto"/>
        <w:left w:val="none" w:sz="0" w:space="0" w:color="auto"/>
        <w:bottom w:val="none" w:sz="0" w:space="0" w:color="auto"/>
        <w:right w:val="none" w:sz="0" w:space="0" w:color="auto"/>
      </w:divBdr>
      <w:divsChild>
        <w:div w:id="1881933807">
          <w:marLeft w:val="0"/>
          <w:marRight w:val="0"/>
          <w:marTop w:val="0"/>
          <w:marBottom w:val="0"/>
          <w:divBdr>
            <w:top w:val="none" w:sz="0" w:space="0" w:color="auto"/>
            <w:left w:val="none" w:sz="0" w:space="0" w:color="auto"/>
            <w:bottom w:val="none" w:sz="0" w:space="0" w:color="auto"/>
            <w:right w:val="none" w:sz="0" w:space="0" w:color="auto"/>
          </w:divBdr>
        </w:div>
      </w:divsChild>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47819840">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55075336">
      <w:bodyDiv w:val="1"/>
      <w:marLeft w:val="0"/>
      <w:marRight w:val="0"/>
      <w:marTop w:val="0"/>
      <w:marBottom w:val="0"/>
      <w:divBdr>
        <w:top w:val="none" w:sz="0" w:space="0" w:color="auto"/>
        <w:left w:val="none" w:sz="0" w:space="0" w:color="auto"/>
        <w:bottom w:val="none" w:sz="0" w:space="0" w:color="auto"/>
        <w:right w:val="none" w:sz="0" w:space="0" w:color="auto"/>
      </w:divBdr>
    </w:div>
    <w:div w:id="1875267393">
      <w:marLeft w:val="0"/>
      <w:marRight w:val="0"/>
      <w:marTop w:val="0"/>
      <w:marBottom w:val="0"/>
      <w:divBdr>
        <w:top w:val="none" w:sz="0" w:space="0" w:color="auto"/>
        <w:left w:val="none" w:sz="0" w:space="0" w:color="auto"/>
        <w:bottom w:val="none" w:sz="0" w:space="0" w:color="auto"/>
        <w:right w:val="none" w:sz="0" w:space="0" w:color="auto"/>
      </w:divBdr>
      <w:divsChild>
        <w:div w:id="1464731942">
          <w:marLeft w:val="0"/>
          <w:marRight w:val="0"/>
          <w:marTop w:val="0"/>
          <w:marBottom w:val="0"/>
          <w:divBdr>
            <w:top w:val="none" w:sz="0" w:space="0" w:color="auto"/>
            <w:left w:val="none" w:sz="0" w:space="0" w:color="auto"/>
            <w:bottom w:val="none" w:sz="0" w:space="0" w:color="auto"/>
            <w:right w:val="none" w:sz="0" w:space="0" w:color="auto"/>
          </w:divBdr>
        </w:div>
      </w:divsChild>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1963533028">
      <w:marLeft w:val="0"/>
      <w:marRight w:val="0"/>
      <w:marTop w:val="0"/>
      <w:marBottom w:val="0"/>
      <w:divBdr>
        <w:top w:val="none" w:sz="0" w:space="0" w:color="auto"/>
        <w:left w:val="none" w:sz="0" w:space="0" w:color="auto"/>
        <w:bottom w:val="none" w:sz="0" w:space="0" w:color="auto"/>
        <w:right w:val="none" w:sz="0" w:space="0" w:color="auto"/>
      </w:divBdr>
      <w:divsChild>
        <w:div w:id="513151224">
          <w:marLeft w:val="0"/>
          <w:marRight w:val="0"/>
          <w:marTop w:val="0"/>
          <w:marBottom w:val="0"/>
          <w:divBdr>
            <w:top w:val="none" w:sz="0" w:space="0" w:color="auto"/>
            <w:left w:val="none" w:sz="0" w:space="0" w:color="auto"/>
            <w:bottom w:val="none" w:sz="0" w:space="0" w:color="auto"/>
            <w:right w:val="none" w:sz="0" w:space="0" w:color="auto"/>
          </w:divBdr>
        </w:div>
      </w:divsChild>
    </w:div>
    <w:div w:id="2043821918">
      <w:marLeft w:val="0"/>
      <w:marRight w:val="0"/>
      <w:marTop w:val="0"/>
      <w:marBottom w:val="0"/>
      <w:divBdr>
        <w:top w:val="none" w:sz="0" w:space="0" w:color="auto"/>
        <w:left w:val="none" w:sz="0" w:space="0" w:color="auto"/>
        <w:bottom w:val="none" w:sz="0" w:space="0" w:color="auto"/>
        <w:right w:val="none" w:sz="0" w:space="0" w:color="auto"/>
      </w:divBdr>
      <w:divsChild>
        <w:div w:id="204489235">
          <w:marLeft w:val="0"/>
          <w:marRight w:val="0"/>
          <w:marTop w:val="0"/>
          <w:marBottom w:val="0"/>
          <w:divBdr>
            <w:top w:val="none" w:sz="0" w:space="0" w:color="auto"/>
            <w:left w:val="none" w:sz="0" w:space="0" w:color="auto"/>
            <w:bottom w:val="none" w:sz="0" w:space="0" w:color="auto"/>
            <w:right w:val="none" w:sz="0" w:space="0" w:color="auto"/>
          </w:divBdr>
        </w:div>
      </w:divsChild>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 w:id="2115711336">
      <w:marLeft w:val="0"/>
      <w:marRight w:val="0"/>
      <w:marTop w:val="0"/>
      <w:marBottom w:val="0"/>
      <w:divBdr>
        <w:top w:val="none" w:sz="0" w:space="0" w:color="auto"/>
        <w:left w:val="none" w:sz="0" w:space="0" w:color="auto"/>
        <w:bottom w:val="none" w:sz="0" w:space="0" w:color="auto"/>
        <w:right w:val="none" w:sz="0" w:space="0" w:color="auto"/>
      </w:divBdr>
      <w:divsChild>
        <w:div w:id="5111848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1.pptx"/><Relationship Id="rId18" Type="http://schemas.openxmlformats.org/officeDocument/2006/relationships/image" Target="media/image6.emf"/><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direccionejecutiva.poder-judicial.go.cr/index.php/srubproceso/gestion-de-la-continuida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image" Target="media/image2.emf"/><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6992D51ACD22C4D81B42D96E76EFE5D" ma:contentTypeVersion="14" ma:contentTypeDescription="Crear nuevo documento." ma:contentTypeScope="" ma:versionID="cd4bf902f1a1d867006ec9f79c412e1f">
  <xsd:schema xmlns:xsd="http://www.w3.org/2001/XMLSchema" xmlns:xs="http://www.w3.org/2001/XMLSchema" xmlns:p="http://schemas.microsoft.com/office/2006/metadata/properties" xmlns:ns2="f04337a8-48a6-424a-b109-1db7e22f8387" xmlns:ns3="a3a7e55e-e075-4953-acbe-363891e65396" targetNamespace="http://schemas.microsoft.com/office/2006/metadata/properties" ma:root="true" ma:fieldsID="b66742aeb870d9f2ccf7e0bdb2d9ce49" ns2:_="" ns3:_="">
    <xsd:import namespace="f04337a8-48a6-424a-b109-1db7e22f8387"/>
    <xsd:import namespace="a3a7e55e-e075-4953-acbe-363891e653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337a8-48a6-424a-b109-1db7e22f8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a7e55e-e075-4953-acbe-363891e653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372467-4007-4418-991d-1a4202dd906a}" ma:internalName="TaxCatchAll" ma:showField="CatchAllData" ma:web="a3a7e55e-e075-4953-acbe-363891e653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4337a8-48a6-424a-b109-1db7e22f8387">
      <Terms xmlns="http://schemas.microsoft.com/office/infopath/2007/PartnerControls"/>
    </lcf76f155ced4ddcb4097134ff3c332f>
    <TaxCatchAll xmlns="a3a7e55e-e075-4953-acbe-363891e65396" xsi:nil="true"/>
  </documentManagement>
</p:properties>
</file>

<file path=customXml/itemProps1.xml><?xml version="1.0" encoding="utf-8"?>
<ds:datastoreItem xmlns:ds="http://schemas.openxmlformats.org/officeDocument/2006/customXml" ds:itemID="{10E5844A-8D82-489B-9FB7-97B948650650}">
  <ds:schemaRefs>
    <ds:schemaRef ds:uri="http://schemas.openxmlformats.org/officeDocument/2006/bibliography"/>
  </ds:schemaRefs>
</ds:datastoreItem>
</file>

<file path=customXml/itemProps2.xml><?xml version="1.0" encoding="utf-8"?>
<ds:datastoreItem xmlns:ds="http://schemas.openxmlformats.org/officeDocument/2006/customXml" ds:itemID="{FB5D50A7-21F4-463C-814F-3E02BFEC23D3}"/>
</file>

<file path=customXml/itemProps3.xml><?xml version="1.0" encoding="utf-8"?>
<ds:datastoreItem xmlns:ds="http://schemas.openxmlformats.org/officeDocument/2006/customXml" ds:itemID="{2E2789ED-B2E0-4B3A-9E30-CD59CE4BB00D}"/>
</file>

<file path=customXml/itemProps4.xml><?xml version="1.0" encoding="utf-8"?>
<ds:datastoreItem xmlns:ds="http://schemas.openxmlformats.org/officeDocument/2006/customXml" ds:itemID="{78ECA10F-8F6F-48FF-AD81-F151A735C3BE}"/>
</file>

<file path=docProps/app.xml><?xml version="1.0" encoding="utf-8"?>
<Properties xmlns="http://schemas.openxmlformats.org/officeDocument/2006/extended-properties" xmlns:vt="http://schemas.openxmlformats.org/officeDocument/2006/docPropsVTypes">
  <Template>Normal</Template>
  <TotalTime>214</TotalTime>
  <Pages>18</Pages>
  <Words>5472</Words>
  <Characters>30100</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12</cp:revision>
  <dcterms:created xsi:type="dcterms:W3CDTF">2024-01-12T20:46:00Z</dcterms:created>
  <dcterms:modified xsi:type="dcterms:W3CDTF">2024-01-23T21:51:00Z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0x01010036992D51ACD22C4D81B42D96E76EFE5D</vt:lpwstr>
  </property>
</Properties>
</file>