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5215E" w14:textId="77777777" w:rsidR="00734FFE" w:rsidRPr="005341D7" w:rsidRDefault="00734FFE" w:rsidP="00796137">
      <w:pPr>
        <w:spacing w:after="0" w:line="240" w:lineRule="auto"/>
        <w:jc w:val="center"/>
        <w:rPr>
          <w:rFonts w:ascii="Arial" w:hAnsi="Arial" w:cs="Arial"/>
          <w:b/>
          <w:color w:val="000000"/>
        </w:rPr>
      </w:pPr>
    </w:p>
    <w:p w14:paraId="491E10BA" w14:textId="77777777" w:rsidR="00A6448B" w:rsidRPr="005341D7" w:rsidRDefault="00734FFE" w:rsidP="00796137">
      <w:pPr>
        <w:spacing w:after="0" w:line="240" w:lineRule="auto"/>
        <w:jc w:val="center"/>
        <w:rPr>
          <w:rFonts w:ascii="Arial" w:hAnsi="Arial" w:cs="Arial"/>
          <w:b/>
          <w:color w:val="000000"/>
        </w:rPr>
      </w:pPr>
      <w:r w:rsidRPr="005341D7">
        <w:rPr>
          <w:rFonts w:ascii="Arial" w:hAnsi="Arial" w:cs="Arial"/>
          <w:b/>
          <w:color w:val="000000"/>
        </w:rPr>
        <w:t xml:space="preserve">Sesión en </w:t>
      </w:r>
      <w:r w:rsidR="00A6448B" w:rsidRPr="005341D7">
        <w:rPr>
          <w:rFonts w:ascii="Arial" w:hAnsi="Arial" w:cs="Arial"/>
          <w:b/>
          <w:color w:val="000000"/>
        </w:rPr>
        <w:t xml:space="preserve">Modalidad: virtual </w:t>
      </w:r>
    </w:p>
    <w:p w14:paraId="217499E5" w14:textId="77777777" w:rsidR="00734FFE" w:rsidRPr="00684680" w:rsidRDefault="00734FFE" w:rsidP="00796137">
      <w:pPr>
        <w:spacing w:after="0" w:line="240" w:lineRule="auto"/>
        <w:jc w:val="both"/>
        <w:rPr>
          <w:rFonts w:ascii="Arial" w:hAnsi="Arial" w:cs="Arial"/>
          <w:color w:val="002060"/>
        </w:rPr>
      </w:pPr>
    </w:p>
    <w:p w14:paraId="2006962C" w14:textId="2FD686B2" w:rsidR="00286833" w:rsidRPr="00583355" w:rsidRDefault="00286833" w:rsidP="00796137">
      <w:pPr>
        <w:spacing w:after="0" w:line="240" w:lineRule="auto"/>
        <w:jc w:val="both"/>
        <w:rPr>
          <w:rFonts w:ascii="Arial" w:hAnsi="Arial" w:cs="Arial"/>
          <w:lang w:val="es-ES"/>
        </w:rPr>
      </w:pPr>
      <w:r w:rsidRPr="00583355">
        <w:rPr>
          <w:rFonts w:ascii="Arial" w:hAnsi="Arial" w:cs="Arial"/>
          <w:lang w:val="es-ES"/>
        </w:rPr>
        <w:t xml:space="preserve">Inicia la sesión a las </w:t>
      </w:r>
      <w:r w:rsidR="00754730" w:rsidRPr="00583355">
        <w:rPr>
          <w:rFonts w:ascii="Arial" w:hAnsi="Arial" w:cs="Arial"/>
          <w:lang w:val="es-ES"/>
        </w:rPr>
        <w:t>catorce</w:t>
      </w:r>
      <w:r w:rsidRPr="00583355">
        <w:rPr>
          <w:rFonts w:ascii="Arial" w:hAnsi="Arial" w:cs="Arial"/>
          <w:lang w:val="es-ES"/>
        </w:rPr>
        <w:t xml:space="preserve"> horas del </w:t>
      </w:r>
      <w:r w:rsidR="006533B6" w:rsidRPr="00583355">
        <w:rPr>
          <w:rFonts w:ascii="Arial" w:hAnsi="Arial" w:cs="Arial"/>
          <w:lang w:val="es-ES"/>
        </w:rPr>
        <w:t>12</w:t>
      </w:r>
      <w:r w:rsidR="00627E79" w:rsidRPr="00583355">
        <w:rPr>
          <w:rFonts w:ascii="Arial" w:hAnsi="Arial" w:cs="Arial"/>
          <w:lang w:val="es-ES"/>
        </w:rPr>
        <w:t xml:space="preserve"> de </w:t>
      </w:r>
      <w:r w:rsidR="007567D6" w:rsidRPr="00583355">
        <w:rPr>
          <w:rFonts w:ascii="Arial" w:hAnsi="Arial" w:cs="Arial"/>
          <w:lang w:val="es-ES"/>
        </w:rPr>
        <w:t>marzo</w:t>
      </w:r>
      <w:r w:rsidR="00627E79" w:rsidRPr="00583355">
        <w:rPr>
          <w:rFonts w:ascii="Arial" w:hAnsi="Arial" w:cs="Arial"/>
          <w:lang w:val="es-ES"/>
        </w:rPr>
        <w:t xml:space="preserve"> de 2024</w:t>
      </w:r>
      <w:r w:rsidRPr="00583355">
        <w:rPr>
          <w:rFonts w:ascii="Arial" w:hAnsi="Arial" w:cs="Arial"/>
          <w:lang w:val="es-ES"/>
        </w:rPr>
        <w:t xml:space="preserve">, con la asistencia de la Máster Sandra Pizarro Gutiérrez, integrante del Consejo Superior, quien preside; </w:t>
      </w:r>
      <w:r w:rsidR="003163BF" w:rsidRPr="00583355">
        <w:rPr>
          <w:rFonts w:ascii="Arial" w:hAnsi="Arial" w:cs="Arial"/>
          <w:lang w:val="es-ES"/>
        </w:rPr>
        <w:t>Máster Ana Eugenia Romero Jenkins,</w:t>
      </w:r>
      <w:r w:rsidRPr="00583355">
        <w:rPr>
          <w:rFonts w:ascii="Arial" w:hAnsi="Arial" w:cs="Arial"/>
          <w:lang w:val="es-ES"/>
        </w:rPr>
        <w:t xml:space="preserve"> Direc</w:t>
      </w:r>
      <w:r w:rsidR="003163BF" w:rsidRPr="00583355">
        <w:rPr>
          <w:rFonts w:ascii="Arial" w:hAnsi="Arial" w:cs="Arial"/>
          <w:lang w:val="es-ES"/>
        </w:rPr>
        <w:t>tora</w:t>
      </w:r>
      <w:r w:rsidRPr="00583355">
        <w:rPr>
          <w:rFonts w:ascii="Arial" w:hAnsi="Arial" w:cs="Arial"/>
          <w:lang w:val="es-ES"/>
        </w:rPr>
        <w:t xml:space="preserve"> Ejecutiva; </w:t>
      </w:r>
      <w:r w:rsidR="005E3605" w:rsidRPr="00583355">
        <w:rPr>
          <w:rFonts w:ascii="Arial" w:hAnsi="Arial" w:cs="Arial"/>
          <w:lang w:val="es-ES"/>
        </w:rPr>
        <w:t xml:space="preserve">Licenciada </w:t>
      </w:r>
      <w:r w:rsidR="00684680" w:rsidRPr="00583355">
        <w:rPr>
          <w:rFonts w:ascii="Arial" w:hAnsi="Arial" w:cs="Arial"/>
          <w:lang w:val="es-ES"/>
        </w:rPr>
        <w:t xml:space="preserve">Roxana Arrieta Meléndez, Directora </w:t>
      </w:r>
      <w:r w:rsidRPr="00583355">
        <w:rPr>
          <w:rFonts w:ascii="Arial" w:hAnsi="Arial" w:cs="Arial"/>
          <w:lang w:val="es-ES"/>
        </w:rPr>
        <w:t>de Gestión Humana</w:t>
      </w:r>
      <w:r w:rsidR="003163BF" w:rsidRPr="00583355">
        <w:rPr>
          <w:rFonts w:ascii="Arial" w:hAnsi="Arial" w:cs="Arial"/>
          <w:lang w:val="es-ES"/>
        </w:rPr>
        <w:t xml:space="preserve">; Licenciado </w:t>
      </w:r>
      <w:r w:rsidRPr="00583355">
        <w:rPr>
          <w:rFonts w:ascii="Arial" w:hAnsi="Arial" w:cs="Arial"/>
          <w:lang w:val="es-ES"/>
        </w:rPr>
        <w:t>Juan Carlos Cubillo Miranda, Fiscal Adjunto del Ministerio P</w:t>
      </w:r>
      <w:r w:rsidR="003163BF" w:rsidRPr="00583355">
        <w:rPr>
          <w:rFonts w:ascii="Arial" w:hAnsi="Arial" w:cs="Arial"/>
          <w:lang w:val="es-ES"/>
        </w:rPr>
        <w:t>ú</w:t>
      </w:r>
      <w:r w:rsidRPr="00583355">
        <w:rPr>
          <w:rFonts w:ascii="Arial" w:hAnsi="Arial" w:cs="Arial"/>
          <w:lang w:val="es-ES"/>
        </w:rPr>
        <w:t>blico</w:t>
      </w:r>
      <w:r w:rsidR="005E3605" w:rsidRPr="00583355">
        <w:rPr>
          <w:rFonts w:ascii="Arial" w:hAnsi="Arial" w:cs="Arial"/>
          <w:lang w:val="es-ES"/>
        </w:rPr>
        <w:t>;</w:t>
      </w:r>
      <w:r w:rsidR="005028A1" w:rsidRPr="00583355">
        <w:rPr>
          <w:rFonts w:ascii="Arial" w:hAnsi="Arial" w:cs="Arial"/>
          <w:lang w:val="es-ES"/>
        </w:rPr>
        <w:t xml:space="preserve"> Máster Jorge David Morales Ramírez, Asesor del Despacho de la Presidencia</w:t>
      </w:r>
      <w:r w:rsidR="00453C2B" w:rsidRPr="00583355">
        <w:rPr>
          <w:rFonts w:ascii="Arial" w:hAnsi="Arial" w:cs="Arial"/>
          <w:lang w:val="es-ES"/>
        </w:rPr>
        <w:t xml:space="preserve">, Licenciado Rodolfo Arce Hernández, Jefe de la Plataforma de Información Policial del </w:t>
      </w:r>
      <w:r w:rsidR="00627E79" w:rsidRPr="00583355">
        <w:rPr>
          <w:rFonts w:ascii="Arial" w:hAnsi="Arial" w:cs="Arial"/>
          <w:lang w:val="es-ES"/>
        </w:rPr>
        <w:t>OIJ</w:t>
      </w:r>
      <w:r w:rsidR="005E3605" w:rsidRPr="00583355">
        <w:rPr>
          <w:rFonts w:ascii="Arial" w:hAnsi="Arial" w:cs="Arial"/>
          <w:lang w:val="es-ES"/>
        </w:rPr>
        <w:t>;</w:t>
      </w:r>
      <w:r w:rsidR="00645FDD" w:rsidRPr="00583355">
        <w:rPr>
          <w:rFonts w:ascii="Arial" w:hAnsi="Arial" w:cs="Arial"/>
          <w:lang w:val="es-ES"/>
        </w:rPr>
        <w:t xml:space="preserve"> </w:t>
      </w:r>
      <w:r w:rsidR="00F3728B" w:rsidRPr="00583355">
        <w:rPr>
          <w:rFonts w:ascii="Arial" w:hAnsi="Arial" w:cs="Arial"/>
          <w:lang w:val="es-ES"/>
        </w:rPr>
        <w:t>Máster Michael Jiménez Umaña</w:t>
      </w:r>
      <w:r w:rsidR="00645FDD" w:rsidRPr="00583355">
        <w:rPr>
          <w:rFonts w:ascii="Arial" w:hAnsi="Arial" w:cs="Arial"/>
          <w:lang w:val="es-ES"/>
        </w:rPr>
        <w:t>, Jef</w:t>
      </w:r>
      <w:r w:rsidR="00F3728B" w:rsidRPr="00583355">
        <w:rPr>
          <w:rFonts w:ascii="Arial" w:hAnsi="Arial" w:cs="Arial"/>
          <w:lang w:val="es-ES"/>
        </w:rPr>
        <w:t>e</w:t>
      </w:r>
      <w:r w:rsidR="00645FDD" w:rsidRPr="00583355">
        <w:rPr>
          <w:rFonts w:ascii="Arial" w:hAnsi="Arial" w:cs="Arial"/>
          <w:lang w:val="es-ES"/>
        </w:rPr>
        <w:t xml:space="preserve"> del Subproceso de Normas y Estándares de la Dirección de Tecnologías de la Información y Comunicaciones</w:t>
      </w:r>
      <w:r w:rsidR="005E3605" w:rsidRPr="00583355">
        <w:rPr>
          <w:rFonts w:ascii="Arial" w:hAnsi="Arial" w:cs="Arial"/>
          <w:lang w:val="es-ES"/>
        </w:rPr>
        <w:t xml:space="preserve">; </w:t>
      </w:r>
      <w:r w:rsidR="00F3728B" w:rsidRPr="00583355">
        <w:rPr>
          <w:rFonts w:ascii="Arial" w:hAnsi="Arial" w:cs="Arial"/>
          <w:lang w:val="es-ES"/>
        </w:rPr>
        <w:t xml:space="preserve">Licenciado Juan Carlos Pérez Murillo, Director </w:t>
      </w:r>
      <w:r w:rsidR="005E3605" w:rsidRPr="00583355">
        <w:rPr>
          <w:rFonts w:ascii="Arial" w:hAnsi="Arial" w:cs="Arial"/>
          <w:lang w:val="es-ES"/>
        </w:rPr>
        <w:t>de la Defensa Pública</w:t>
      </w:r>
      <w:r w:rsidR="00684680" w:rsidRPr="00583355">
        <w:rPr>
          <w:rFonts w:ascii="Arial" w:hAnsi="Arial" w:cs="Arial"/>
          <w:lang w:val="es-ES"/>
        </w:rPr>
        <w:t xml:space="preserve">; </w:t>
      </w:r>
      <w:r w:rsidR="00684680" w:rsidRPr="00583355">
        <w:rPr>
          <w:rFonts w:ascii="Arial" w:hAnsi="Arial" w:cs="Arial"/>
          <w:lang w:val="es-ES"/>
        </w:rPr>
        <w:t xml:space="preserve">Máster Ellen Villegas Hernández, </w:t>
      </w:r>
      <w:r w:rsidR="00684680" w:rsidRPr="00583355">
        <w:rPr>
          <w:rFonts w:ascii="Arial" w:hAnsi="Arial" w:cs="Arial"/>
          <w:lang w:val="es-ES"/>
        </w:rPr>
        <w:t xml:space="preserve">Jefa del Subproceso de Planificación Estratégica, como representante de </w:t>
      </w:r>
      <w:r w:rsidR="00684680" w:rsidRPr="00583355">
        <w:rPr>
          <w:rFonts w:ascii="Arial" w:hAnsi="Arial" w:cs="Arial"/>
          <w:lang w:val="es-ES"/>
        </w:rPr>
        <w:t>la Dirección de Planificación</w:t>
      </w:r>
    </w:p>
    <w:p w14:paraId="2DCA10BC" w14:textId="77777777" w:rsidR="00631608" w:rsidRDefault="00631608" w:rsidP="00796137">
      <w:pPr>
        <w:spacing w:after="0" w:line="240" w:lineRule="auto"/>
        <w:jc w:val="both"/>
        <w:rPr>
          <w:rFonts w:ascii="Arial" w:hAnsi="Arial" w:cs="Arial"/>
          <w:lang w:val="es-ES"/>
        </w:rPr>
      </w:pPr>
    </w:p>
    <w:p w14:paraId="3F9AD19A" w14:textId="409D0D68" w:rsidR="00BC382C" w:rsidRDefault="00286833" w:rsidP="00796137">
      <w:pPr>
        <w:spacing w:after="0" w:line="240" w:lineRule="auto"/>
        <w:jc w:val="both"/>
        <w:rPr>
          <w:rFonts w:ascii="Arial" w:hAnsi="Arial" w:cs="Arial"/>
          <w:lang w:val="es-ES"/>
        </w:rPr>
      </w:pPr>
      <w:r w:rsidRPr="005341D7">
        <w:rPr>
          <w:rFonts w:ascii="Arial" w:hAnsi="Arial" w:cs="Arial"/>
          <w:lang w:val="es-ES"/>
        </w:rPr>
        <w:t xml:space="preserve">Además, </w:t>
      </w:r>
      <w:r w:rsidR="00490240" w:rsidRPr="005341D7">
        <w:rPr>
          <w:rFonts w:ascii="Arial" w:hAnsi="Arial" w:cs="Arial"/>
          <w:lang w:val="es-ES"/>
        </w:rPr>
        <w:t>se cuenta con la participación de</w:t>
      </w:r>
      <w:r w:rsidR="00490240">
        <w:rPr>
          <w:rFonts w:ascii="Arial" w:hAnsi="Arial" w:cs="Arial"/>
          <w:lang w:val="es-ES"/>
        </w:rPr>
        <w:t xml:space="preserve"> la </w:t>
      </w:r>
      <w:r w:rsidRPr="005341D7">
        <w:rPr>
          <w:rFonts w:ascii="Arial" w:hAnsi="Arial" w:cs="Arial"/>
          <w:lang w:val="es-ES"/>
        </w:rPr>
        <w:t>Máster Arlette Zúñiga Lizano</w:t>
      </w:r>
      <w:r w:rsidR="00490240">
        <w:rPr>
          <w:rFonts w:ascii="Arial" w:hAnsi="Arial" w:cs="Arial"/>
          <w:lang w:val="es-ES"/>
        </w:rPr>
        <w:t xml:space="preserve"> y</w:t>
      </w:r>
      <w:r w:rsidR="00754730">
        <w:rPr>
          <w:rFonts w:ascii="Arial" w:hAnsi="Arial" w:cs="Arial"/>
          <w:lang w:val="es-ES"/>
        </w:rPr>
        <w:t xml:space="preserve"> la Licenciada Katherine Hernández Molina, ambas</w:t>
      </w:r>
      <w:r w:rsidRPr="005341D7">
        <w:rPr>
          <w:rFonts w:ascii="Arial" w:hAnsi="Arial" w:cs="Arial"/>
          <w:lang w:val="es-ES"/>
        </w:rPr>
        <w:t xml:space="preserve"> Profesional</w:t>
      </w:r>
      <w:r w:rsidR="00754730">
        <w:rPr>
          <w:rFonts w:ascii="Arial" w:hAnsi="Arial" w:cs="Arial"/>
          <w:lang w:val="es-ES"/>
        </w:rPr>
        <w:t>es</w:t>
      </w:r>
      <w:r w:rsidRPr="005341D7">
        <w:rPr>
          <w:rFonts w:ascii="Arial" w:hAnsi="Arial" w:cs="Arial"/>
          <w:lang w:val="es-ES"/>
        </w:rPr>
        <w:t xml:space="preserve"> del Subproceso de Continuidad del Servicio y el Máster Melvin Obando Villalobos, </w:t>
      </w:r>
      <w:proofErr w:type="gramStart"/>
      <w:r w:rsidRPr="005341D7">
        <w:rPr>
          <w:rFonts w:ascii="Arial" w:hAnsi="Arial" w:cs="Arial"/>
          <w:lang w:val="es-ES"/>
        </w:rPr>
        <w:t>Jef</w:t>
      </w:r>
      <w:r w:rsidR="00631608">
        <w:rPr>
          <w:rFonts w:ascii="Arial" w:hAnsi="Arial" w:cs="Arial"/>
          <w:lang w:val="es-ES"/>
        </w:rPr>
        <w:t>e</w:t>
      </w:r>
      <w:proofErr w:type="gramEnd"/>
      <w:r w:rsidRPr="005341D7">
        <w:rPr>
          <w:rFonts w:ascii="Arial" w:hAnsi="Arial" w:cs="Arial"/>
          <w:lang w:val="es-ES"/>
        </w:rPr>
        <w:t xml:space="preserve"> del Subproceso de Gestión de la Continuidad del Servicio de la Dirección Ejecutiva.</w:t>
      </w:r>
      <w:r w:rsidR="00490240">
        <w:rPr>
          <w:rFonts w:ascii="Arial" w:hAnsi="Arial" w:cs="Arial"/>
          <w:lang w:val="es-ES"/>
        </w:rPr>
        <w:t xml:space="preserve"> </w:t>
      </w:r>
    </w:p>
    <w:p w14:paraId="1ADCB4F4" w14:textId="77777777" w:rsidR="00942B71" w:rsidRPr="005341D7" w:rsidRDefault="00942B71" w:rsidP="00796137">
      <w:pPr>
        <w:spacing w:after="0" w:line="240" w:lineRule="auto"/>
        <w:jc w:val="both"/>
        <w:rPr>
          <w:rFonts w:ascii="Arial" w:hAnsi="Arial" w:cs="Arial"/>
          <w:lang w:val="es-ES"/>
        </w:rPr>
      </w:pPr>
    </w:p>
    <w:p w14:paraId="4F6EBF73" w14:textId="77777777" w:rsidR="00FD54D2" w:rsidRPr="005341D7" w:rsidRDefault="00FD54D2" w:rsidP="00796137">
      <w:pPr>
        <w:spacing w:after="0" w:line="240" w:lineRule="auto"/>
        <w:jc w:val="both"/>
        <w:rPr>
          <w:rFonts w:ascii="Arial" w:hAnsi="Arial" w:cs="Arial"/>
          <w:b/>
          <w:color w:val="2F5496"/>
        </w:rPr>
      </w:pPr>
    </w:p>
    <w:p w14:paraId="3167C6A1" w14:textId="77777777" w:rsidR="00BC382C" w:rsidRPr="005341D7" w:rsidRDefault="00BC382C" w:rsidP="00796137">
      <w:pPr>
        <w:spacing w:after="0" w:line="240" w:lineRule="auto"/>
        <w:jc w:val="center"/>
        <w:rPr>
          <w:rFonts w:ascii="Arial" w:hAnsi="Arial" w:cs="Arial"/>
          <w:b/>
          <w:color w:val="2F5496"/>
        </w:rPr>
      </w:pPr>
      <w:r w:rsidRPr="005341D7">
        <w:rPr>
          <w:rFonts w:ascii="Arial" w:hAnsi="Arial" w:cs="Arial"/>
          <w:b/>
          <w:color w:val="2F5496"/>
        </w:rPr>
        <w:t>ARTÍCULO</w:t>
      </w:r>
      <w:r w:rsidR="000D530C" w:rsidRPr="005341D7">
        <w:rPr>
          <w:rFonts w:ascii="Arial" w:hAnsi="Arial" w:cs="Arial"/>
          <w:b/>
          <w:color w:val="2F5496"/>
        </w:rPr>
        <w:t xml:space="preserve"> I</w:t>
      </w:r>
    </w:p>
    <w:p w14:paraId="753BE57A" w14:textId="77777777" w:rsidR="00D51017" w:rsidRPr="005341D7" w:rsidRDefault="00D51017" w:rsidP="00796137">
      <w:pPr>
        <w:spacing w:after="0" w:line="240" w:lineRule="auto"/>
        <w:jc w:val="both"/>
        <w:rPr>
          <w:rFonts w:ascii="Arial" w:hAnsi="Arial" w:cs="Arial"/>
          <w:b/>
          <w:color w:val="2F5496"/>
        </w:rPr>
      </w:pPr>
    </w:p>
    <w:p w14:paraId="7F03F10D" w14:textId="236EEF9F" w:rsidR="005341D7" w:rsidRPr="00F9702C" w:rsidRDefault="007567D6" w:rsidP="00796137">
      <w:pPr>
        <w:spacing w:after="0" w:line="240" w:lineRule="auto"/>
        <w:jc w:val="both"/>
        <w:rPr>
          <w:rFonts w:ascii="Arial" w:hAnsi="Arial" w:cs="Arial"/>
          <w:b/>
          <w:bCs/>
        </w:rPr>
      </w:pPr>
      <w:r w:rsidRPr="007567D6">
        <w:rPr>
          <w:rFonts w:ascii="Arial" w:hAnsi="Arial" w:cs="Arial"/>
          <w:b/>
          <w:bCs/>
        </w:rPr>
        <w:t>Informe de Seguimiento a la Implementación de la Gestión de la Continuidad</w:t>
      </w:r>
    </w:p>
    <w:p w14:paraId="539157C5" w14:textId="09E100DA" w:rsidR="00453C2B" w:rsidRDefault="00453C2B" w:rsidP="00796137">
      <w:pPr>
        <w:spacing w:after="0" w:line="240" w:lineRule="auto"/>
        <w:jc w:val="both"/>
        <w:rPr>
          <w:rFonts w:ascii="Arial" w:hAnsi="Arial" w:cs="Arial"/>
          <w:lang w:val="es-ES"/>
        </w:rPr>
      </w:pPr>
    </w:p>
    <w:p w14:paraId="7A648315" w14:textId="7A7D74B7" w:rsidR="003C6866" w:rsidRDefault="008358F1" w:rsidP="00796137">
      <w:pPr>
        <w:spacing w:after="0" w:line="240" w:lineRule="auto"/>
        <w:jc w:val="both"/>
        <w:rPr>
          <w:rFonts w:ascii="Arial" w:hAnsi="Arial" w:cs="Arial"/>
          <w:lang w:val="es-ES"/>
        </w:rPr>
      </w:pPr>
      <w:r>
        <w:rPr>
          <w:rFonts w:ascii="Arial" w:hAnsi="Arial" w:cs="Arial"/>
          <w:lang w:val="es-ES"/>
        </w:rPr>
        <w:t xml:space="preserve">En la sesión 01-2024 del Comité Técnico de Continuidad del Servicio, celebrada el 22 de enero de 2024, artículo III se conoció y aprobó el </w:t>
      </w:r>
      <w:r w:rsidRPr="008358F1">
        <w:rPr>
          <w:rFonts w:ascii="Arial" w:hAnsi="Arial" w:cs="Arial"/>
          <w:i/>
          <w:iCs/>
          <w:lang w:val="es-ES"/>
        </w:rPr>
        <w:t>“Informe de labores de la Gestión de la Continuidad, periodo 2023”</w:t>
      </w:r>
      <w:r>
        <w:rPr>
          <w:rFonts w:ascii="Arial" w:hAnsi="Arial" w:cs="Arial"/>
          <w:i/>
          <w:iCs/>
          <w:lang w:val="es-ES"/>
        </w:rPr>
        <w:t xml:space="preserve">. </w:t>
      </w:r>
      <w:r w:rsidR="003C6866">
        <w:rPr>
          <w:rFonts w:ascii="Arial" w:hAnsi="Arial" w:cs="Arial"/>
          <w:lang w:val="es-ES"/>
        </w:rPr>
        <w:t>Entre los aspectos contemplados en el informe, se reportaron las acciones realizadas en seguimiento</w:t>
      </w:r>
      <w:r w:rsidR="003C6866" w:rsidRPr="003C6866">
        <w:rPr>
          <w:rFonts w:ascii="Arial" w:hAnsi="Arial" w:cs="Arial"/>
          <w:lang w:val="es-ES"/>
        </w:rPr>
        <w:t xml:space="preserve"> al cumplimiento de las oficinas </w:t>
      </w:r>
      <w:r w:rsidR="003C6866">
        <w:rPr>
          <w:rFonts w:ascii="Arial" w:hAnsi="Arial" w:cs="Arial"/>
          <w:lang w:val="es-ES"/>
        </w:rPr>
        <w:t>y</w:t>
      </w:r>
      <w:r w:rsidR="003C6866" w:rsidRPr="003C6866">
        <w:rPr>
          <w:rFonts w:ascii="Arial" w:hAnsi="Arial" w:cs="Arial"/>
          <w:lang w:val="es-ES"/>
        </w:rPr>
        <w:t xml:space="preserve"> despachos que poseen procesos o servicios críticos o esenciales, en relación con su responsabilidad de definir, revisar, probar y aprobar los procedimientos de continuidad en lo que les corresponde</w:t>
      </w:r>
      <w:r w:rsidR="003C6866">
        <w:rPr>
          <w:rFonts w:ascii="Arial" w:hAnsi="Arial" w:cs="Arial"/>
          <w:lang w:val="es-ES"/>
        </w:rPr>
        <w:t xml:space="preserve">. No obstante, propiamente en lo referente al informe de resultados, se indicó: </w:t>
      </w:r>
    </w:p>
    <w:p w14:paraId="6F6251DF" w14:textId="77777777" w:rsidR="003C6866" w:rsidRDefault="003C6866" w:rsidP="00796137">
      <w:pPr>
        <w:spacing w:after="0" w:line="240" w:lineRule="auto"/>
        <w:jc w:val="both"/>
        <w:rPr>
          <w:rFonts w:ascii="Arial" w:hAnsi="Arial" w:cs="Arial"/>
          <w:lang w:val="es-ES"/>
        </w:rPr>
      </w:pPr>
    </w:p>
    <w:p w14:paraId="796467DA" w14:textId="2022F080" w:rsidR="003C6866" w:rsidRPr="003C6866" w:rsidRDefault="003C6866" w:rsidP="003C6866">
      <w:pPr>
        <w:spacing w:after="0" w:line="240" w:lineRule="auto"/>
        <w:ind w:left="567" w:right="142"/>
        <w:jc w:val="both"/>
        <w:rPr>
          <w:rFonts w:ascii="Arial" w:hAnsi="Arial" w:cs="Arial"/>
          <w:i/>
          <w:iCs/>
        </w:rPr>
      </w:pPr>
      <w:r w:rsidRPr="003C6866">
        <w:rPr>
          <w:rFonts w:ascii="Arial" w:hAnsi="Arial" w:cs="Arial"/>
          <w:i/>
          <w:iCs/>
        </w:rPr>
        <w:t>“[…] El estudio correspondiente al seguimiento de la implementación de la gestión de la continuidad por parte de las oficinas y despachos está en revisión de la información generada, para elaboración de informe de diagnóstico.</w:t>
      </w:r>
    </w:p>
    <w:p w14:paraId="1BF10C5C" w14:textId="77777777" w:rsidR="003C6866" w:rsidRPr="003C6866" w:rsidRDefault="003C6866" w:rsidP="003C6866">
      <w:pPr>
        <w:spacing w:after="0" w:line="240" w:lineRule="auto"/>
        <w:ind w:left="567" w:right="142"/>
        <w:jc w:val="both"/>
        <w:rPr>
          <w:rFonts w:ascii="Arial" w:hAnsi="Arial" w:cs="Arial"/>
          <w:i/>
          <w:iCs/>
        </w:rPr>
      </w:pPr>
    </w:p>
    <w:p w14:paraId="0973EA23" w14:textId="61421DE2" w:rsidR="003C6866" w:rsidRPr="003C6866" w:rsidRDefault="003C6866" w:rsidP="003C6866">
      <w:pPr>
        <w:spacing w:after="0" w:line="240" w:lineRule="auto"/>
        <w:ind w:left="567" w:right="142"/>
        <w:jc w:val="both"/>
        <w:rPr>
          <w:rFonts w:ascii="Arial" w:hAnsi="Arial" w:cs="Arial"/>
          <w:i/>
          <w:iCs/>
        </w:rPr>
      </w:pPr>
      <w:r w:rsidRPr="003C6866">
        <w:rPr>
          <w:rFonts w:ascii="Arial" w:hAnsi="Arial" w:cs="Arial"/>
          <w:i/>
          <w:iCs/>
        </w:rPr>
        <w:t xml:space="preserve">Este informe no fue posible finalizarlo durante el periodo 2023, ya que el Subproceso tuvo que concentrar la labor en la realización del Análisis de Impacto al Servicio y para el cierre del año se tuvo que prescindir de un puesto profesional, debido a la falta de recursos en la partida de remuneraciones, que obligó a la institución al recorte de los permisos con goce de salario y sustitución otorgados para este y otros proyectos.” </w:t>
      </w:r>
    </w:p>
    <w:p w14:paraId="3EE9E37B" w14:textId="77777777" w:rsidR="003C6866" w:rsidRDefault="003C6866" w:rsidP="003C6866">
      <w:pPr>
        <w:spacing w:after="0" w:line="240" w:lineRule="auto"/>
        <w:ind w:right="142"/>
        <w:jc w:val="both"/>
        <w:rPr>
          <w:rFonts w:ascii="Arial" w:hAnsi="Arial" w:cs="Arial"/>
        </w:rPr>
      </w:pPr>
    </w:p>
    <w:p w14:paraId="5B43E27D" w14:textId="65CB897D" w:rsidR="003C6866" w:rsidRDefault="003C6866" w:rsidP="003C6866">
      <w:pPr>
        <w:spacing w:after="0" w:line="240" w:lineRule="auto"/>
        <w:ind w:right="142"/>
        <w:jc w:val="both"/>
        <w:rPr>
          <w:rFonts w:ascii="Arial" w:hAnsi="Arial" w:cs="Arial"/>
        </w:rPr>
      </w:pPr>
      <w:r>
        <w:rPr>
          <w:rFonts w:ascii="Arial" w:hAnsi="Arial" w:cs="Arial"/>
        </w:rPr>
        <w:t>Al respecto, entre los puntos acordados por el Comité, se estableció:</w:t>
      </w:r>
    </w:p>
    <w:p w14:paraId="0F840533" w14:textId="77777777" w:rsidR="003C6866" w:rsidRDefault="003C6866" w:rsidP="003C6866">
      <w:pPr>
        <w:spacing w:after="0" w:line="240" w:lineRule="auto"/>
        <w:ind w:right="142"/>
        <w:jc w:val="both"/>
        <w:rPr>
          <w:rFonts w:ascii="Arial" w:hAnsi="Arial" w:cs="Arial"/>
        </w:rPr>
      </w:pPr>
    </w:p>
    <w:p w14:paraId="5783A0EA" w14:textId="629E7D13" w:rsidR="003C6866" w:rsidRPr="003C6866" w:rsidRDefault="003C6866" w:rsidP="003C6866">
      <w:pPr>
        <w:spacing w:after="0" w:line="240" w:lineRule="auto"/>
        <w:ind w:left="567" w:right="142"/>
        <w:jc w:val="both"/>
        <w:rPr>
          <w:rFonts w:ascii="Arial" w:hAnsi="Arial" w:cs="Arial"/>
          <w:i/>
          <w:iCs/>
        </w:rPr>
      </w:pPr>
      <w:r>
        <w:rPr>
          <w:rFonts w:ascii="Arial" w:hAnsi="Arial" w:cs="Arial"/>
          <w:i/>
          <w:iCs/>
        </w:rPr>
        <w:lastRenderedPageBreak/>
        <w:t xml:space="preserve">“[…] </w:t>
      </w:r>
      <w:r w:rsidRPr="00E4463F">
        <w:rPr>
          <w:rFonts w:ascii="Arial" w:hAnsi="Arial" w:cs="Arial"/>
          <w:b/>
          <w:bCs/>
          <w:i/>
          <w:iCs/>
        </w:rPr>
        <w:t>2)</w:t>
      </w:r>
      <w:r w:rsidRPr="003C6866">
        <w:rPr>
          <w:rFonts w:ascii="Arial" w:hAnsi="Arial" w:cs="Arial"/>
          <w:i/>
          <w:iCs/>
        </w:rPr>
        <w:t xml:space="preserve"> Este Subproceso deberá presentar en el transcurso del I trimestre del periodo 2024 el resultado del seguimiento y actualización de planes y estrategias de continuidad del periodo 2023, con el fin de cumplir con los compromisos de trabajo de este periodo.</w:t>
      </w:r>
      <w:r>
        <w:rPr>
          <w:rFonts w:ascii="Arial" w:hAnsi="Arial" w:cs="Arial"/>
          <w:i/>
          <w:iCs/>
        </w:rPr>
        <w:t xml:space="preserve"> […]”.</w:t>
      </w:r>
    </w:p>
    <w:p w14:paraId="49446576" w14:textId="77777777" w:rsidR="003C6866" w:rsidRDefault="003C6866" w:rsidP="003C6866">
      <w:pPr>
        <w:spacing w:after="0" w:line="240" w:lineRule="auto"/>
        <w:ind w:right="142"/>
        <w:jc w:val="both"/>
        <w:rPr>
          <w:rFonts w:ascii="Arial" w:hAnsi="Arial" w:cs="Arial"/>
        </w:rPr>
      </w:pPr>
    </w:p>
    <w:p w14:paraId="674A1F90" w14:textId="62AB2883" w:rsidR="00942737" w:rsidRPr="00942737" w:rsidRDefault="003C6866" w:rsidP="003C6866">
      <w:pPr>
        <w:spacing w:after="0" w:line="240" w:lineRule="auto"/>
        <w:ind w:right="142"/>
        <w:jc w:val="both"/>
        <w:rPr>
          <w:rFonts w:ascii="Arial" w:hAnsi="Arial" w:cs="Arial"/>
          <w:lang w:val="es-ES"/>
        </w:rPr>
      </w:pPr>
      <w:r>
        <w:rPr>
          <w:rFonts w:ascii="Arial" w:hAnsi="Arial" w:cs="Arial"/>
        </w:rPr>
        <w:t xml:space="preserve">En cumplimiento de lo ordenado por el Comité, se presenta </w:t>
      </w:r>
      <w:r w:rsidR="00942737">
        <w:rPr>
          <w:rFonts w:ascii="Arial" w:hAnsi="Arial" w:cs="Arial"/>
          <w:lang w:val="es-ES"/>
        </w:rPr>
        <w:t xml:space="preserve">el </w:t>
      </w:r>
      <w:r w:rsidR="00942737" w:rsidRPr="00942737">
        <w:rPr>
          <w:rFonts w:ascii="Arial" w:hAnsi="Arial" w:cs="Arial"/>
          <w:i/>
          <w:iCs/>
          <w:lang w:val="es-ES"/>
        </w:rPr>
        <w:t>“</w:t>
      </w:r>
      <w:r w:rsidR="00C42A89" w:rsidRPr="00C42A89">
        <w:rPr>
          <w:rFonts w:ascii="Arial" w:hAnsi="Arial" w:cs="Arial"/>
          <w:i/>
          <w:iCs/>
          <w:lang w:val="es-ES"/>
        </w:rPr>
        <w:t>Informe de Seguimiento a la Implementación de la Gestión de la Continuidad</w:t>
      </w:r>
      <w:r w:rsidR="00C42A89">
        <w:rPr>
          <w:rFonts w:ascii="Arial" w:hAnsi="Arial" w:cs="Arial"/>
          <w:i/>
          <w:iCs/>
          <w:lang w:val="es-ES"/>
        </w:rPr>
        <w:t>. P</w:t>
      </w:r>
      <w:r w:rsidR="00942737" w:rsidRPr="00942737">
        <w:rPr>
          <w:rFonts w:ascii="Arial" w:hAnsi="Arial" w:cs="Arial"/>
          <w:i/>
          <w:iCs/>
          <w:lang w:val="es-ES"/>
        </w:rPr>
        <w:t>eriodo 2023”</w:t>
      </w:r>
      <w:r w:rsidR="00942737">
        <w:rPr>
          <w:rFonts w:ascii="Arial" w:hAnsi="Arial" w:cs="Arial"/>
          <w:i/>
          <w:iCs/>
          <w:lang w:val="es-ES"/>
        </w:rPr>
        <w:t xml:space="preserve">. </w:t>
      </w:r>
    </w:p>
    <w:p w14:paraId="12F8EA56" w14:textId="77777777" w:rsidR="00FB66BE" w:rsidRDefault="00FB66BE" w:rsidP="00796137">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4414"/>
        <w:gridCol w:w="4414"/>
      </w:tblGrid>
      <w:tr w:rsidR="00FB66BE" w14:paraId="18A71EEF" w14:textId="77777777" w:rsidTr="0021430A">
        <w:tc>
          <w:tcPr>
            <w:tcW w:w="4414" w:type="dxa"/>
          </w:tcPr>
          <w:p w14:paraId="72429D36" w14:textId="77777777" w:rsidR="00FB66BE" w:rsidRPr="000C6AF6" w:rsidRDefault="00FB66BE" w:rsidP="00796137">
            <w:pPr>
              <w:spacing w:after="0" w:line="240" w:lineRule="auto"/>
              <w:jc w:val="center"/>
              <w:rPr>
                <w:rFonts w:ascii="Arial" w:hAnsi="Arial" w:cs="Arial"/>
              </w:rPr>
            </w:pPr>
            <w:r w:rsidRPr="000C6AF6">
              <w:rPr>
                <w:rFonts w:ascii="Arial" w:hAnsi="Arial" w:cs="Arial"/>
              </w:rPr>
              <w:t>Presentación resumen del informe</w:t>
            </w:r>
          </w:p>
        </w:tc>
        <w:tc>
          <w:tcPr>
            <w:tcW w:w="4414" w:type="dxa"/>
          </w:tcPr>
          <w:p w14:paraId="009614C3" w14:textId="77777777" w:rsidR="00FB66BE" w:rsidRPr="000C6AF6" w:rsidRDefault="00FB66BE" w:rsidP="00796137">
            <w:pPr>
              <w:spacing w:after="0" w:line="240" w:lineRule="auto"/>
              <w:jc w:val="center"/>
              <w:rPr>
                <w:rFonts w:ascii="Arial" w:hAnsi="Arial" w:cs="Arial"/>
              </w:rPr>
            </w:pPr>
            <w:r w:rsidRPr="000C6AF6">
              <w:rPr>
                <w:rFonts w:ascii="Arial" w:hAnsi="Arial" w:cs="Arial"/>
              </w:rPr>
              <w:t>Documento del informe</w:t>
            </w:r>
          </w:p>
        </w:tc>
      </w:tr>
      <w:tr w:rsidR="00FB66BE" w14:paraId="3465D5C5" w14:textId="77777777" w:rsidTr="0021430A">
        <w:tc>
          <w:tcPr>
            <w:tcW w:w="4414" w:type="dxa"/>
          </w:tcPr>
          <w:p w14:paraId="12840254" w14:textId="0B1599E7" w:rsidR="00FB66BE" w:rsidRDefault="00945228" w:rsidP="00796137">
            <w:pPr>
              <w:spacing w:after="0" w:line="240" w:lineRule="auto"/>
              <w:jc w:val="center"/>
              <w:rPr>
                <w:rFonts w:ascii="Arial" w:hAnsi="Arial" w:cs="Arial"/>
              </w:rPr>
            </w:pPr>
            <w:r>
              <w:rPr>
                <w:rFonts w:ascii="Calibri" w:eastAsia="Calibri" w:hAnsi="Calibri"/>
              </w:rPr>
              <w:object w:dxaOrig="1508" w:dyaOrig="984" w14:anchorId="691FFC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5pt;height:48.95pt" o:ole="">
                  <v:imagedata r:id="rId8" o:title=""/>
                </v:shape>
                <o:OLEObject Type="Embed" ProgID="PowerPoint.Show.12" ShapeID="_x0000_i1025" DrawAspect="Icon" ObjectID="_1771761240" r:id="rId9"/>
              </w:object>
            </w:r>
          </w:p>
        </w:tc>
        <w:tc>
          <w:tcPr>
            <w:tcW w:w="4414" w:type="dxa"/>
          </w:tcPr>
          <w:p w14:paraId="6D5A185F" w14:textId="4C7F4C25" w:rsidR="00FB66BE" w:rsidRDefault="00945228" w:rsidP="00796137">
            <w:pPr>
              <w:spacing w:after="0" w:line="240" w:lineRule="auto"/>
              <w:jc w:val="center"/>
              <w:rPr>
                <w:rFonts w:ascii="Arial" w:hAnsi="Arial" w:cs="Arial"/>
              </w:rPr>
            </w:pPr>
            <w:r>
              <w:rPr>
                <w:rFonts w:ascii="Calibri" w:eastAsia="Calibri" w:hAnsi="Calibri"/>
              </w:rPr>
              <w:object w:dxaOrig="1508" w:dyaOrig="984" w14:anchorId="07C28545">
                <v:shape id="_x0000_i1026" type="#_x0000_t75" style="width:75.45pt;height:48.95pt" o:ole="">
                  <v:imagedata r:id="rId10" o:title=""/>
                </v:shape>
                <o:OLEObject Type="Embed" ProgID="Word.Document.12" ShapeID="_x0000_i1026" DrawAspect="Icon" ObjectID="_1771761241" r:id="rId11">
                  <o:FieldCodes>\s</o:FieldCodes>
                </o:OLEObject>
              </w:object>
            </w:r>
          </w:p>
        </w:tc>
      </w:tr>
    </w:tbl>
    <w:p w14:paraId="52A2225C" w14:textId="310CF312" w:rsidR="00FB66BE" w:rsidRDefault="00FB66BE" w:rsidP="00796137">
      <w:pPr>
        <w:spacing w:after="0" w:line="240" w:lineRule="auto"/>
        <w:jc w:val="both"/>
        <w:rPr>
          <w:rFonts w:ascii="Arial" w:hAnsi="Arial" w:cs="Arial"/>
          <w:b/>
          <w:color w:val="2F5496"/>
        </w:rPr>
      </w:pPr>
    </w:p>
    <w:p w14:paraId="58D5D699" w14:textId="77777777" w:rsidR="00FB66BE" w:rsidRPr="005341D7" w:rsidRDefault="00FB66BE" w:rsidP="00796137">
      <w:pPr>
        <w:spacing w:after="0" w:line="240" w:lineRule="auto"/>
        <w:jc w:val="both"/>
        <w:rPr>
          <w:rFonts w:ascii="Arial" w:hAnsi="Arial" w:cs="Arial"/>
          <w:b/>
          <w:color w:val="2F5496"/>
        </w:rPr>
      </w:pPr>
    </w:p>
    <w:p w14:paraId="172D7B93" w14:textId="7B894D3E" w:rsidR="00D46487" w:rsidRPr="005341D7" w:rsidRDefault="00D46487" w:rsidP="00796137">
      <w:pPr>
        <w:spacing w:after="0" w:line="240" w:lineRule="auto"/>
        <w:jc w:val="both"/>
        <w:rPr>
          <w:rFonts w:ascii="Arial" w:eastAsia="Times New Roman" w:hAnsi="Arial" w:cs="Arial"/>
          <w:b/>
          <w:bCs/>
          <w:lang w:eastAsia="es-ES"/>
        </w:rPr>
      </w:pPr>
      <w:r w:rsidRPr="00CA2BF4">
        <w:rPr>
          <w:rFonts w:ascii="Arial" w:eastAsia="Times New Roman" w:hAnsi="Arial" w:cs="Arial"/>
          <w:b/>
          <w:bCs/>
          <w:lang w:eastAsia="es-ES"/>
        </w:rPr>
        <w:t xml:space="preserve">Se acuerda: </w:t>
      </w:r>
      <w:r w:rsidR="00FB66BE" w:rsidRPr="00CA2BF4">
        <w:rPr>
          <w:rFonts w:ascii="Arial" w:eastAsia="Times New Roman" w:hAnsi="Arial" w:cs="Arial"/>
          <w:b/>
          <w:bCs/>
          <w:lang w:eastAsia="es-ES"/>
        </w:rPr>
        <w:t>1)</w:t>
      </w:r>
      <w:r w:rsidR="00FB66BE" w:rsidRPr="00CA2BF4">
        <w:rPr>
          <w:rFonts w:ascii="Arial" w:eastAsia="Times New Roman" w:hAnsi="Arial" w:cs="Arial"/>
          <w:lang w:eastAsia="es-ES"/>
        </w:rPr>
        <w:t xml:space="preserve"> Aprobar el contenido del </w:t>
      </w:r>
      <w:r w:rsidR="0043472F" w:rsidRPr="00CA2BF4">
        <w:rPr>
          <w:rFonts w:ascii="Arial" w:hAnsi="Arial" w:cs="Arial"/>
          <w:i/>
          <w:iCs/>
          <w:lang w:val="es-ES"/>
        </w:rPr>
        <w:t xml:space="preserve">“Informe de Seguimiento a la Implementación de la Gestión de la Continuidad. Periodo 2023” </w:t>
      </w:r>
      <w:r w:rsidR="00FB66BE" w:rsidRPr="00CA2BF4">
        <w:rPr>
          <w:rFonts w:ascii="Arial" w:eastAsia="Times New Roman" w:hAnsi="Arial" w:cs="Arial"/>
          <w:lang w:eastAsia="es-ES"/>
        </w:rPr>
        <w:t xml:space="preserve">elaborado por el Subproceso de Gestión de Continuidad del Servicio, así como sus recomendaciones. </w:t>
      </w:r>
      <w:r w:rsidR="00FB66BE" w:rsidRPr="00CA2BF4">
        <w:rPr>
          <w:rFonts w:ascii="Arial" w:eastAsia="Times New Roman" w:hAnsi="Arial" w:cs="Arial"/>
          <w:b/>
          <w:bCs/>
          <w:lang w:eastAsia="es-ES"/>
        </w:rPr>
        <w:t>2)</w:t>
      </w:r>
      <w:r w:rsidR="00FB66BE" w:rsidRPr="00CA2BF4">
        <w:rPr>
          <w:rFonts w:ascii="Arial" w:eastAsia="Times New Roman" w:hAnsi="Arial" w:cs="Arial"/>
          <w:lang w:eastAsia="es-ES"/>
        </w:rPr>
        <w:t xml:space="preserve"> El Subproceso deberá trasladar dicho informe al Consejo Superior, para conocimiento y aprobación de ese órgano.  </w:t>
      </w:r>
      <w:r w:rsidRPr="00CA2BF4">
        <w:rPr>
          <w:rFonts w:ascii="Arial" w:eastAsia="Times New Roman" w:hAnsi="Arial" w:cs="Arial"/>
          <w:b/>
          <w:bCs/>
          <w:lang w:eastAsia="es-ES"/>
        </w:rPr>
        <w:t>ACUERDO FIRME.</w:t>
      </w:r>
      <w:r w:rsidRPr="005341D7">
        <w:rPr>
          <w:rFonts w:ascii="Arial" w:eastAsia="Times New Roman" w:hAnsi="Arial" w:cs="Arial"/>
          <w:b/>
          <w:bCs/>
          <w:lang w:eastAsia="es-ES"/>
        </w:rPr>
        <w:t xml:space="preserve"> </w:t>
      </w:r>
    </w:p>
    <w:p w14:paraId="070C3EFD" w14:textId="77777777" w:rsidR="00D46487" w:rsidRPr="005341D7" w:rsidRDefault="00D46487" w:rsidP="00796137">
      <w:pPr>
        <w:spacing w:after="0" w:line="240" w:lineRule="auto"/>
        <w:jc w:val="both"/>
        <w:rPr>
          <w:rFonts w:ascii="Arial" w:hAnsi="Arial" w:cs="Arial"/>
          <w:b/>
          <w:bCs/>
        </w:rPr>
      </w:pPr>
    </w:p>
    <w:p w14:paraId="798FCFDF" w14:textId="77777777" w:rsidR="00862926" w:rsidRPr="005341D7" w:rsidRDefault="00862926" w:rsidP="00796137">
      <w:pPr>
        <w:spacing w:after="0" w:line="240" w:lineRule="auto"/>
        <w:jc w:val="both"/>
        <w:rPr>
          <w:rFonts w:ascii="Arial" w:eastAsia="Times New Roman" w:hAnsi="Arial" w:cs="Arial"/>
          <w:b/>
          <w:bCs/>
          <w:lang w:eastAsia="es-ES"/>
        </w:rPr>
      </w:pPr>
      <w:bookmarkStart w:id="0" w:name="_Hlk52169883"/>
    </w:p>
    <w:p w14:paraId="1D26856A" w14:textId="77777777" w:rsidR="0047232D" w:rsidRPr="005341D7" w:rsidRDefault="0047232D" w:rsidP="00796137">
      <w:pPr>
        <w:spacing w:after="0" w:line="240" w:lineRule="auto"/>
        <w:jc w:val="center"/>
        <w:rPr>
          <w:rFonts w:ascii="Arial" w:hAnsi="Arial" w:cs="Arial"/>
          <w:b/>
          <w:color w:val="2F5496"/>
        </w:rPr>
      </w:pPr>
      <w:r w:rsidRPr="005341D7">
        <w:rPr>
          <w:rFonts w:ascii="Arial" w:hAnsi="Arial" w:cs="Arial"/>
          <w:b/>
          <w:color w:val="2F5496"/>
        </w:rPr>
        <w:t>ARTÍCULO II</w:t>
      </w:r>
    </w:p>
    <w:p w14:paraId="69D90075" w14:textId="77777777" w:rsidR="0047232D" w:rsidRPr="005341D7" w:rsidRDefault="0047232D" w:rsidP="00796137">
      <w:pPr>
        <w:spacing w:after="0" w:line="240" w:lineRule="auto"/>
        <w:jc w:val="both"/>
        <w:rPr>
          <w:rFonts w:ascii="Arial" w:hAnsi="Arial" w:cs="Arial"/>
          <w:b/>
          <w:color w:val="2F5496"/>
        </w:rPr>
      </w:pPr>
    </w:p>
    <w:p w14:paraId="47E3B891" w14:textId="44BD7700" w:rsidR="0047232D" w:rsidRDefault="007567D6" w:rsidP="00796137">
      <w:pPr>
        <w:spacing w:after="0" w:line="240" w:lineRule="auto"/>
        <w:jc w:val="both"/>
        <w:rPr>
          <w:rFonts w:ascii="Arial" w:hAnsi="Arial" w:cs="Arial"/>
          <w:highlight w:val="darkGray"/>
        </w:rPr>
      </w:pPr>
      <w:r w:rsidRPr="007567D6">
        <w:rPr>
          <w:rFonts w:ascii="Arial" w:hAnsi="Arial" w:cs="Arial"/>
          <w:b/>
          <w:bCs/>
        </w:rPr>
        <w:t>Informe de actualización de estrategias de continuidad</w:t>
      </w:r>
    </w:p>
    <w:p w14:paraId="7B3DBBAB" w14:textId="77777777" w:rsidR="007567D6" w:rsidRDefault="007567D6" w:rsidP="00796137">
      <w:pPr>
        <w:spacing w:after="0" w:line="240" w:lineRule="auto"/>
        <w:jc w:val="both"/>
        <w:rPr>
          <w:rFonts w:ascii="Arial" w:hAnsi="Arial" w:cs="Arial"/>
        </w:rPr>
      </w:pPr>
    </w:p>
    <w:p w14:paraId="7A18AC2A" w14:textId="77777777" w:rsidR="00B60DBC" w:rsidRPr="00B60DBC" w:rsidRDefault="00B60DBC" w:rsidP="00B60DBC">
      <w:pPr>
        <w:spacing w:after="0" w:line="240" w:lineRule="auto"/>
        <w:jc w:val="both"/>
        <w:rPr>
          <w:rFonts w:ascii="Arial" w:hAnsi="Arial" w:cs="Arial"/>
        </w:rPr>
      </w:pPr>
      <w:r w:rsidRPr="00B60DBC">
        <w:rPr>
          <w:rFonts w:ascii="Arial" w:hAnsi="Arial" w:cs="Arial"/>
        </w:rPr>
        <w:t>Según la norma INTE G130 2022, con base en los resultados del análisis de impacto en el servicio y la evaluación de riesgos, la organización pública y sin fines de lucro debe identificar y seleccionar estrategias de continuidad del servicio que consideren opciones para antes, durante y después de la disrupción, estas se deben conformar a partir de una o más alternativas o soluciones.</w:t>
      </w:r>
    </w:p>
    <w:p w14:paraId="1F91BEC5" w14:textId="77777777" w:rsidR="00B60DBC" w:rsidRPr="00B60DBC" w:rsidRDefault="00B60DBC" w:rsidP="00B60DBC">
      <w:pPr>
        <w:spacing w:after="0" w:line="240" w:lineRule="auto"/>
        <w:jc w:val="both"/>
        <w:rPr>
          <w:rFonts w:ascii="Arial" w:hAnsi="Arial" w:cs="Arial"/>
        </w:rPr>
      </w:pPr>
    </w:p>
    <w:p w14:paraId="67AD57B7" w14:textId="4A919A31" w:rsidR="000F366E" w:rsidRDefault="00B60DBC" w:rsidP="00B60DBC">
      <w:pPr>
        <w:spacing w:after="0" w:line="240" w:lineRule="auto"/>
        <w:jc w:val="both"/>
        <w:rPr>
          <w:rFonts w:ascii="Arial" w:hAnsi="Arial" w:cs="Arial"/>
        </w:rPr>
      </w:pPr>
      <w:r w:rsidRPr="00B60DBC">
        <w:rPr>
          <w:rFonts w:ascii="Arial" w:hAnsi="Arial" w:cs="Arial"/>
        </w:rPr>
        <w:t xml:space="preserve">La identificación y selección de las estrategias de continuidad y recuperación es un componente fundamental de la gestión de la continuidad del servicio. Requiere que la institución utilice los datos recopilados durante los procesos de análisis de impacto (SIA, por sus siglas en inglés) y </w:t>
      </w:r>
      <w:r w:rsidR="00A91034">
        <w:rPr>
          <w:rFonts w:ascii="Arial" w:hAnsi="Arial" w:cs="Arial"/>
        </w:rPr>
        <w:t xml:space="preserve">la </w:t>
      </w:r>
      <w:r w:rsidRPr="00B60DBC">
        <w:rPr>
          <w:rFonts w:ascii="Arial" w:hAnsi="Arial" w:cs="Arial"/>
        </w:rPr>
        <w:t>evaluación de riesgos ejecutados previamente para buscar alternativas que garanticen la disponibilidad de las operaciones y tecnologías críticas, a fin de proteger la prestación de servicios a la ciudadanía.</w:t>
      </w:r>
    </w:p>
    <w:p w14:paraId="35CE6347" w14:textId="77777777" w:rsidR="00B60DBC" w:rsidRDefault="00B60DBC" w:rsidP="00B60DBC">
      <w:pPr>
        <w:spacing w:after="0" w:line="240" w:lineRule="auto"/>
        <w:jc w:val="both"/>
        <w:rPr>
          <w:rFonts w:ascii="Arial" w:hAnsi="Arial" w:cs="Arial"/>
        </w:rPr>
      </w:pPr>
    </w:p>
    <w:p w14:paraId="016CAE2B" w14:textId="720CCC4A" w:rsidR="00F9702C" w:rsidRDefault="000F366E" w:rsidP="00A91034">
      <w:pPr>
        <w:spacing w:after="0" w:line="240" w:lineRule="auto"/>
        <w:jc w:val="both"/>
        <w:rPr>
          <w:rFonts w:ascii="Arial" w:hAnsi="Arial" w:cs="Arial"/>
        </w:rPr>
      </w:pPr>
      <w:r>
        <w:rPr>
          <w:rFonts w:ascii="Arial" w:hAnsi="Arial" w:cs="Arial"/>
        </w:rPr>
        <w:t>A manera de resumen, se exponen los principales resultados obtenidos en</w:t>
      </w:r>
      <w:r w:rsidR="00FB66BE">
        <w:rPr>
          <w:rFonts w:ascii="Arial" w:hAnsi="Arial" w:cs="Arial"/>
        </w:rPr>
        <w:t xml:space="preserve"> el </w:t>
      </w:r>
      <w:r w:rsidR="00FB66BE" w:rsidRPr="00FB66BE">
        <w:rPr>
          <w:rFonts w:ascii="Arial" w:hAnsi="Arial" w:cs="Arial"/>
          <w:i/>
          <w:iCs/>
        </w:rPr>
        <w:t>“</w:t>
      </w:r>
      <w:r w:rsidR="00A91034" w:rsidRPr="00A91034">
        <w:rPr>
          <w:rFonts w:ascii="Arial" w:hAnsi="Arial" w:cs="Arial"/>
          <w:i/>
          <w:iCs/>
        </w:rPr>
        <w:t>Informe de Seguimiento a Estrategias de Continuidad</w:t>
      </w:r>
      <w:r w:rsidR="00A91034">
        <w:rPr>
          <w:rFonts w:ascii="Arial" w:hAnsi="Arial" w:cs="Arial"/>
          <w:i/>
          <w:iCs/>
        </w:rPr>
        <w:t xml:space="preserve">. </w:t>
      </w:r>
      <w:r w:rsidR="00A91034" w:rsidRPr="00A91034">
        <w:rPr>
          <w:rFonts w:ascii="Arial" w:hAnsi="Arial" w:cs="Arial"/>
          <w:i/>
          <w:iCs/>
        </w:rPr>
        <w:t>Periodo 2023</w:t>
      </w:r>
      <w:r w:rsidR="00FB66BE" w:rsidRPr="00FB66BE">
        <w:rPr>
          <w:rFonts w:ascii="Arial" w:hAnsi="Arial" w:cs="Arial"/>
          <w:i/>
          <w:iCs/>
        </w:rPr>
        <w:t>”</w:t>
      </w:r>
      <w:r w:rsidR="00FF5CF7">
        <w:rPr>
          <w:rFonts w:ascii="Arial" w:hAnsi="Arial" w:cs="Arial"/>
        </w:rPr>
        <w:t>.</w:t>
      </w:r>
    </w:p>
    <w:p w14:paraId="249893EA" w14:textId="0C6F3A06" w:rsidR="00FF5CF7" w:rsidRDefault="00FF5CF7" w:rsidP="00796137">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4414"/>
        <w:gridCol w:w="4414"/>
      </w:tblGrid>
      <w:tr w:rsidR="00FF5CF7" w14:paraId="1E079DCD" w14:textId="77777777" w:rsidTr="00FF5CF7">
        <w:tc>
          <w:tcPr>
            <w:tcW w:w="4414" w:type="dxa"/>
          </w:tcPr>
          <w:p w14:paraId="61DE6AA2" w14:textId="62034A86" w:rsidR="00FF5CF7" w:rsidRDefault="00FF5CF7" w:rsidP="00796137">
            <w:pPr>
              <w:spacing w:after="0" w:line="240" w:lineRule="auto"/>
              <w:jc w:val="center"/>
              <w:rPr>
                <w:rFonts w:ascii="Arial" w:hAnsi="Arial" w:cs="Arial"/>
              </w:rPr>
            </w:pPr>
            <w:r>
              <w:rPr>
                <w:rFonts w:ascii="Arial" w:hAnsi="Arial" w:cs="Arial"/>
              </w:rPr>
              <w:t>Presentación resumen del informe</w:t>
            </w:r>
          </w:p>
        </w:tc>
        <w:tc>
          <w:tcPr>
            <w:tcW w:w="4414" w:type="dxa"/>
          </w:tcPr>
          <w:p w14:paraId="2CADAE62" w14:textId="653866DB" w:rsidR="00FF5CF7" w:rsidRDefault="00FF5CF7" w:rsidP="00796137">
            <w:pPr>
              <w:spacing w:after="0" w:line="240" w:lineRule="auto"/>
              <w:jc w:val="center"/>
              <w:rPr>
                <w:rFonts w:ascii="Arial" w:hAnsi="Arial" w:cs="Arial"/>
              </w:rPr>
            </w:pPr>
            <w:r>
              <w:rPr>
                <w:rFonts w:ascii="Arial" w:hAnsi="Arial" w:cs="Arial"/>
              </w:rPr>
              <w:t>Documento del informe</w:t>
            </w:r>
          </w:p>
        </w:tc>
      </w:tr>
      <w:tr w:rsidR="00FF5CF7" w14:paraId="472E95C4" w14:textId="77777777" w:rsidTr="00FF5CF7">
        <w:tc>
          <w:tcPr>
            <w:tcW w:w="4414" w:type="dxa"/>
          </w:tcPr>
          <w:p w14:paraId="253D7DCB" w14:textId="158927B4" w:rsidR="00FF5CF7" w:rsidRDefault="000C6AF6" w:rsidP="00796137">
            <w:pPr>
              <w:spacing w:after="0" w:line="240" w:lineRule="auto"/>
              <w:jc w:val="center"/>
              <w:rPr>
                <w:rFonts w:ascii="Arial" w:hAnsi="Arial" w:cs="Arial"/>
              </w:rPr>
            </w:pPr>
            <w:r>
              <w:rPr>
                <w:rFonts w:ascii="Calibri" w:eastAsia="Calibri" w:hAnsi="Calibri"/>
              </w:rPr>
              <w:object w:dxaOrig="1508" w:dyaOrig="984" w14:anchorId="48D103BC">
                <v:shape id="_x0000_i1027" type="#_x0000_t75" style="width:75.45pt;height:48.95pt" o:ole="">
                  <v:imagedata r:id="rId12" o:title=""/>
                </v:shape>
                <o:OLEObject Type="Embed" ProgID="PowerPoint.Show.12" ShapeID="_x0000_i1027" DrawAspect="Icon" ObjectID="_1771761242" r:id="rId13"/>
              </w:object>
            </w:r>
          </w:p>
        </w:tc>
        <w:tc>
          <w:tcPr>
            <w:tcW w:w="4414" w:type="dxa"/>
          </w:tcPr>
          <w:p w14:paraId="430F90B0" w14:textId="30A15A2A" w:rsidR="00942085" w:rsidRDefault="00F3728B" w:rsidP="00796137">
            <w:pPr>
              <w:spacing w:after="0" w:line="240" w:lineRule="auto"/>
              <w:jc w:val="center"/>
              <w:rPr>
                <w:rFonts w:ascii="Arial" w:hAnsi="Arial" w:cs="Arial"/>
              </w:rPr>
            </w:pPr>
            <w:r>
              <w:rPr>
                <w:rFonts w:ascii="Calibri" w:eastAsia="Calibri" w:hAnsi="Calibri"/>
              </w:rPr>
              <w:object w:dxaOrig="1508" w:dyaOrig="984" w14:anchorId="2100A407">
                <v:shape id="_x0000_i1028" type="#_x0000_t75" style="width:75.45pt;height:48.95pt" o:ole="">
                  <v:imagedata r:id="rId14" o:title=""/>
                </v:shape>
                <o:OLEObject Type="Embed" ProgID="Word.Document.12" ShapeID="_x0000_i1028" DrawAspect="Icon" ObjectID="_1771761243" r:id="rId15">
                  <o:FieldCodes>\s</o:FieldCodes>
                </o:OLEObject>
              </w:object>
            </w:r>
          </w:p>
        </w:tc>
      </w:tr>
    </w:tbl>
    <w:p w14:paraId="2211ACA2" w14:textId="77777777" w:rsidR="00FF5CF7" w:rsidRPr="000F366E" w:rsidRDefault="00FF5CF7" w:rsidP="00796137">
      <w:pPr>
        <w:spacing w:after="0" w:line="240" w:lineRule="auto"/>
        <w:jc w:val="both"/>
        <w:rPr>
          <w:rFonts w:ascii="Arial" w:hAnsi="Arial" w:cs="Arial"/>
        </w:rPr>
      </w:pPr>
    </w:p>
    <w:p w14:paraId="062C6B3F" w14:textId="1C0275EB" w:rsidR="0047232D" w:rsidRPr="0031757E" w:rsidRDefault="0047232D" w:rsidP="00796137">
      <w:pPr>
        <w:spacing w:after="0" w:line="240" w:lineRule="auto"/>
        <w:jc w:val="both"/>
        <w:rPr>
          <w:rFonts w:ascii="Arial" w:eastAsia="Times New Roman" w:hAnsi="Arial" w:cs="Arial"/>
          <w:b/>
          <w:bCs/>
          <w:lang w:eastAsia="es-ES"/>
        </w:rPr>
      </w:pPr>
      <w:r w:rsidRPr="00441E2F">
        <w:rPr>
          <w:rFonts w:ascii="Arial" w:eastAsia="Times New Roman" w:hAnsi="Arial" w:cs="Arial"/>
          <w:b/>
          <w:bCs/>
          <w:lang w:eastAsia="es-ES"/>
        </w:rPr>
        <w:t>Se acuerda: 1)</w:t>
      </w:r>
      <w:r w:rsidRPr="00441E2F">
        <w:rPr>
          <w:rFonts w:ascii="Arial" w:eastAsia="Times New Roman" w:hAnsi="Arial" w:cs="Arial"/>
          <w:lang w:eastAsia="es-ES"/>
        </w:rPr>
        <w:t xml:space="preserve"> </w:t>
      </w:r>
      <w:r w:rsidR="00387A7E" w:rsidRPr="00441E2F">
        <w:rPr>
          <w:rFonts w:ascii="Arial" w:eastAsia="Times New Roman" w:hAnsi="Arial" w:cs="Arial"/>
          <w:lang w:eastAsia="es-ES"/>
        </w:rPr>
        <w:t xml:space="preserve">Aprobar el contenido del </w:t>
      </w:r>
      <w:r w:rsidR="00A91034" w:rsidRPr="00441E2F">
        <w:rPr>
          <w:rFonts w:ascii="Arial" w:hAnsi="Arial" w:cs="Arial"/>
          <w:i/>
          <w:iCs/>
        </w:rPr>
        <w:t>“Informe de Seguimiento a Estrategias de Continuidad. Periodo 2023”</w:t>
      </w:r>
      <w:r w:rsidR="00387A7E" w:rsidRPr="00441E2F">
        <w:rPr>
          <w:rFonts w:ascii="Arial" w:eastAsia="Times New Roman" w:hAnsi="Arial" w:cs="Arial"/>
          <w:lang w:eastAsia="es-ES"/>
        </w:rPr>
        <w:t xml:space="preserve"> elaborado por el Subproceso de Gestión de Continuidad del Servicio, así como sus recomendaciones</w:t>
      </w:r>
      <w:r w:rsidR="00064F25" w:rsidRPr="00441E2F">
        <w:rPr>
          <w:rFonts w:ascii="Arial" w:eastAsia="Times New Roman" w:hAnsi="Arial" w:cs="Arial"/>
          <w:lang w:eastAsia="es-ES"/>
        </w:rPr>
        <w:t>.</w:t>
      </w:r>
      <w:r w:rsidR="00387A7E" w:rsidRPr="00441E2F">
        <w:rPr>
          <w:rFonts w:ascii="Arial" w:eastAsia="Times New Roman" w:hAnsi="Arial" w:cs="Arial"/>
          <w:lang w:eastAsia="es-ES"/>
        </w:rPr>
        <w:t xml:space="preserve"> </w:t>
      </w:r>
      <w:r w:rsidR="00387A7E" w:rsidRPr="00441E2F">
        <w:rPr>
          <w:rFonts w:ascii="Arial" w:eastAsia="Times New Roman" w:hAnsi="Arial" w:cs="Arial"/>
          <w:b/>
          <w:bCs/>
          <w:lang w:eastAsia="es-ES"/>
        </w:rPr>
        <w:t>2)</w:t>
      </w:r>
      <w:r w:rsidR="00387A7E" w:rsidRPr="00441E2F">
        <w:rPr>
          <w:rFonts w:ascii="Arial" w:eastAsia="Times New Roman" w:hAnsi="Arial" w:cs="Arial"/>
          <w:lang w:eastAsia="es-ES"/>
        </w:rPr>
        <w:t xml:space="preserve"> El Subproceso deberá trasladar dicho informe al Consejo Superior, para conocimiento y aprobación de ese órgano. </w:t>
      </w:r>
      <w:r w:rsidR="00064F25" w:rsidRPr="00441E2F">
        <w:rPr>
          <w:rFonts w:ascii="Arial" w:eastAsia="Times New Roman" w:hAnsi="Arial" w:cs="Arial"/>
          <w:lang w:eastAsia="es-ES"/>
        </w:rPr>
        <w:t xml:space="preserve"> </w:t>
      </w:r>
      <w:r w:rsidRPr="00441E2F">
        <w:rPr>
          <w:rFonts w:ascii="Arial" w:eastAsia="Times New Roman" w:hAnsi="Arial" w:cs="Arial"/>
          <w:b/>
          <w:bCs/>
          <w:lang w:eastAsia="es-ES"/>
        </w:rPr>
        <w:t>ACUERDO FIRME.</w:t>
      </w:r>
      <w:r w:rsidRPr="0031757E">
        <w:rPr>
          <w:rFonts w:ascii="Arial" w:eastAsia="Times New Roman" w:hAnsi="Arial" w:cs="Arial"/>
          <w:b/>
          <w:bCs/>
          <w:lang w:eastAsia="es-ES"/>
        </w:rPr>
        <w:t xml:space="preserve"> </w:t>
      </w:r>
    </w:p>
    <w:p w14:paraId="711AF7D2" w14:textId="7D27F753" w:rsidR="00AB00AD" w:rsidRDefault="00AB00AD" w:rsidP="00796137">
      <w:pPr>
        <w:spacing w:after="0" w:line="240" w:lineRule="auto"/>
        <w:jc w:val="both"/>
        <w:rPr>
          <w:rFonts w:ascii="Arial" w:eastAsia="Times New Roman" w:hAnsi="Arial" w:cs="Arial"/>
          <w:b/>
          <w:bCs/>
          <w:lang w:eastAsia="es-ES"/>
        </w:rPr>
      </w:pPr>
    </w:p>
    <w:p w14:paraId="67D02DD4" w14:textId="5906F63D" w:rsidR="00490240" w:rsidRDefault="00490240">
      <w:pPr>
        <w:spacing w:after="0" w:line="240" w:lineRule="auto"/>
        <w:rPr>
          <w:rFonts w:ascii="Arial" w:hAnsi="Arial" w:cs="Arial"/>
          <w:b/>
        </w:rPr>
      </w:pPr>
    </w:p>
    <w:p w14:paraId="576B2519" w14:textId="7F11C56F" w:rsidR="008C038A" w:rsidRPr="0031757E" w:rsidRDefault="008C038A" w:rsidP="00796137">
      <w:pPr>
        <w:spacing w:after="0" w:line="240" w:lineRule="auto"/>
        <w:jc w:val="center"/>
        <w:rPr>
          <w:rFonts w:ascii="Arial" w:hAnsi="Arial" w:cs="Arial"/>
          <w:b/>
        </w:rPr>
      </w:pPr>
      <w:r w:rsidRPr="0031757E">
        <w:rPr>
          <w:rFonts w:ascii="Arial" w:hAnsi="Arial" w:cs="Arial"/>
          <w:b/>
        </w:rPr>
        <w:t>ARTÍCULO II</w:t>
      </w:r>
      <w:r w:rsidR="008D22AE" w:rsidRPr="0031757E">
        <w:rPr>
          <w:rFonts w:ascii="Arial" w:hAnsi="Arial" w:cs="Arial"/>
          <w:b/>
        </w:rPr>
        <w:t>I</w:t>
      </w:r>
    </w:p>
    <w:p w14:paraId="447B0E31" w14:textId="77777777" w:rsidR="008C038A" w:rsidRPr="00754730" w:rsidRDefault="008C038A" w:rsidP="00796137">
      <w:pPr>
        <w:spacing w:after="0" w:line="240" w:lineRule="auto"/>
        <w:jc w:val="center"/>
        <w:rPr>
          <w:rFonts w:ascii="Arial" w:hAnsi="Arial" w:cs="Arial"/>
          <w:b/>
          <w:color w:val="2F5496"/>
        </w:rPr>
      </w:pPr>
    </w:p>
    <w:p w14:paraId="0C88DC0C" w14:textId="74ED90CD" w:rsidR="00DD515B" w:rsidRPr="00754730" w:rsidRDefault="007567D6" w:rsidP="00796137">
      <w:pPr>
        <w:spacing w:after="0" w:line="240" w:lineRule="auto"/>
        <w:jc w:val="both"/>
        <w:rPr>
          <w:rFonts w:ascii="Arial" w:hAnsi="Arial" w:cs="Arial"/>
          <w:lang w:val="es-ES"/>
        </w:rPr>
      </w:pPr>
      <w:r w:rsidRPr="007567D6">
        <w:rPr>
          <w:rFonts w:ascii="Arial" w:hAnsi="Arial" w:cs="Arial"/>
          <w:b/>
          <w:bCs/>
          <w:lang w:val="es-ES"/>
        </w:rPr>
        <w:t>Plan de pruebas 2024</w:t>
      </w:r>
    </w:p>
    <w:p w14:paraId="158590C2" w14:textId="77777777" w:rsidR="007567D6" w:rsidRDefault="007567D6" w:rsidP="00796137">
      <w:pPr>
        <w:spacing w:after="0" w:line="240" w:lineRule="auto"/>
        <w:jc w:val="both"/>
        <w:rPr>
          <w:rFonts w:ascii="Arial" w:hAnsi="Arial" w:cs="Arial"/>
          <w:lang w:val="es-ES"/>
        </w:rPr>
      </w:pPr>
    </w:p>
    <w:p w14:paraId="0AA9BE37" w14:textId="614C0AFD" w:rsidR="008C038A" w:rsidRDefault="008358F1" w:rsidP="008358F1">
      <w:pPr>
        <w:spacing w:after="0" w:line="240" w:lineRule="auto"/>
        <w:jc w:val="both"/>
        <w:rPr>
          <w:rFonts w:ascii="Arial" w:hAnsi="Arial" w:cs="Arial"/>
          <w:lang w:val="es-ES"/>
        </w:rPr>
      </w:pPr>
      <w:r>
        <w:rPr>
          <w:rFonts w:ascii="Arial" w:hAnsi="Arial" w:cs="Arial"/>
          <w:lang w:val="es-ES"/>
        </w:rPr>
        <w:t xml:space="preserve">En la sesión 01-2024 del Comité Técnico de Continuidad del Servicio, celebrada el 22 de enero de 2024, artículo IV, se conoció y aprobó la </w:t>
      </w:r>
      <w:r w:rsidRPr="00EB32C0">
        <w:rPr>
          <w:rFonts w:ascii="Arial" w:hAnsi="Arial" w:cs="Arial"/>
          <w:i/>
          <w:iCs/>
          <w:lang w:val="es-ES"/>
        </w:rPr>
        <w:t>“Propuesta de plan de trabajo para periodo 2024”</w:t>
      </w:r>
      <w:r>
        <w:rPr>
          <w:rFonts w:ascii="Arial" w:hAnsi="Arial" w:cs="Arial"/>
          <w:lang w:val="es-ES"/>
        </w:rPr>
        <w:t xml:space="preserve">; a su vez, esta </w:t>
      </w:r>
      <w:r w:rsidR="00EB32C0">
        <w:rPr>
          <w:rFonts w:ascii="Arial" w:hAnsi="Arial" w:cs="Arial"/>
          <w:lang w:val="es-ES"/>
        </w:rPr>
        <w:t xml:space="preserve">propuesta </w:t>
      </w:r>
      <w:r>
        <w:rPr>
          <w:rFonts w:ascii="Arial" w:hAnsi="Arial" w:cs="Arial"/>
          <w:lang w:val="es-ES"/>
        </w:rPr>
        <w:t>fue conocida y aprobada por el Consejo Superior en la sesión</w:t>
      </w:r>
      <w:r w:rsidR="008C038A" w:rsidRPr="00754730">
        <w:rPr>
          <w:rFonts w:ascii="Arial" w:hAnsi="Arial" w:cs="Arial"/>
          <w:lang w:val="es-ES"/>
        </w:rPr>
        <w:t xml:space="preserve"> número</w:t>
      </w:r>
      <w:r w:rsidR="00EB32C0">
        <w:rPr>
          <w:rFonts w:ascii="Arial" w:hAnsi="Arial" w:cs="Arial"/>
          <w:lang w:val="es-ES"/>
        </w:rPr>
        <w:t xml:space="preserve"> 09-2024 celebrada el 6 de febrero de 2024, </w:t>
      </w:r>
      <w:r w:rsidR="008C038A" w:rsidRPr="00754730">
        <w:rPr>
          <w:rFonts w:ascii="Arial" w:hAnsi="Arial" w:cs="Arial"/>
          <w:lang w:val="es-ES"/>
        </w:rPr>
        <w:t xml:space="preserve">artículo XVI, </w:t>
      </w:r>
      <w:r w:rsidR="00EB32C0">
        <w:rPr>
          <w:rFonts w:ascii="Arial" w:hAnsi="Arial" w:cs="Arial"/>
          <w:lang w:val="es-ES"/>
        </w:rPr>
        <w:t xml:space="preserve">donde, entre otros aspectos, </w:t>
      </w:r>
      <w:r w:rsidR="008C038A" w:rsidRPr="00754730">
        <w:rPr>
          <w:rFonts w:ascii="Arial" w:hAnsi="Arial" w:cs="Arial"/>
          <w:lang w:val="es-ES"/>
        </w:rPr>
        <w:t>se acordó:</w:t>
      </w:r>
    </w:p>
    <w:p w14:paraId="04EFB96D" w14:textId="77777777" w:rsidR="00EB32C0" w:rsidRDefault="00EB32C0" w:rsidP="008358F1">
      <w:pPr>
        <w:spacing w:after="0" w:line="240" w:lineRule="auto"/>
        <w:jc w:val="both"/>
        <w:rPr>
          <w:rFonts w:ascii="Arial" w:hAnsi="Arial" w:cs="Arial"/>
          <w:lang w:val="es-ES"/>
        </w:rPr>
      </w:pPr>
    </w:p>
    <w:p w14:paraId="24078FE0" w14:textId="2A63A25B" w:rsidR="00EB32C0" w:rsidRPr="00EB32C0" w:rsidRDefault="00EB32C0" w:rsidP="00EB32C0">
      <w:pPr>
        <w:spacing w:after="0" w:line="240" w:lineRule="auto"/>
        <w:ind w:left="567"/>
        <w:jc w:val="both"/>
        <w:rPr>
          <w:rFonts w:ascii="Arial" w:hAnsi="Arial" w:cs="Arial"/>
          <w:i/>
          <w:iCs/>
          <w:lang w:val="es-ES"/>
        </w:rPr>
      </w:pPr>
      <w:r w:rsidRPr="00EB32C0">
        <w:rPr>
          <w:rFonts w:ascii="Arial" w:hAnsi="Arial" w:cs="Arial"/>
          <w:i/>
          <w:iCs/>
          <w:lang w:val="es-ES"/>
        </w:rPr>
        <w:t>[…] 3.) Aprobar el plan de trabajo presentado por el citado Subproceso, el cual se adopta como Plan de Trabajo, del cual dará seguimiento el Comité Técnico de Continuidad del Servicio para el periodo 2024. […]”</w:t>
      </w:r>
      <w:r>
        <w:rPr>
          <w:rFonts w:ascii="Arial" w:hAnsi="Arial" w:cs="Arial"/>
          <w:i/>
          <w:iCs/>
          <w:lang w:val="es-ES"/>
        </w:rPr>
        <w:t>.</w:t>
      </w:r>
    </w:p>
    <w:p w14:paraId="2CF30086" w14:textId="77777777" w:rsidR="008C038A" w:rsidRPr="00656A4C" w:rsidRDefault="008C038A" w:rsidP="00796137">
      <w:pPr>
        <w:spacing w:after="0" w:line="240" w:lineRule="auto"/>
        <w:jc w:val="both"/>
        <w:rPr>
          <w:rFonts w:ascii="Arial" w:hAnsi="Arial" w:cs="Arial"/>
          <w:lang w:val="es-ES"/>
        </w:rPr>
      </w:pPr>
    </w:p>
    <w:p w14:paraId="7EC63D4F" w14:textId="0F5FC71E" w:rsidR="00EB32C0" w:rsidRPr="000D1904" w:rsidRDefault="00EB32C0" w:rsidP="00964607">
      <w:pPr>
        <w:spacing w:after="0" w:line="240" w:lineRule="auto"/>
        <w:jc w:val="both"/>
        <w:rPr>
          <w:rFonts w:ascii="Arial" w:hAnsi="Arial" w:cs="Arial"/>
          <w:lang w:val="es-ES"/>
        </w:rPr>
      </w:pPr>
      <w:r w:rsidRPr="000D1904">
        <w:rPr>
          <w:rFonts w:ascii="Arial" w:hAnsi="Arial" w:cs="Arial"/>
          <w:lang w:val="es-ES"/>
        </w:rPr>
        <w:t xml:space="preserve">Entre las labores por desarrollar durante el año 2024, se tiene la </w:t>
      </w:r>
      <w:r w:rsidRPr="000D1904">
        <w:rPr>
          <w:rFonts w:ascii="Arial" w:hAnsi="Arial" w:cs="Arial"/>
          <w:i/>
          <w:iCs/>
          <w:lang w:val="es-ES"/>
        </w:rPr>
        <w:t>“Ejecución de pruebas y simulacros a los planes de continuidad en los diferentes escenarios”</w:t>
      </w:r>
      <w:r w:rsidR="000D1904">
        <w:rPr>
          <w:rFonts w:ascii="Arial" w:hAnsi="Arial" w:cs="Arial"/>
          <w:lang w:val="es-ES"/>
        </w:rPr>
        <w:t>.</w:t>
      </w:r>
    </w:p>
    <w:p w14:paraId="0840EE58" w14:textId="77777777" w:rsidR="00EB32C0" w:rsidRDefault="00EB32C0" w:rsidP="00964607">
      <w:pPr>
        <w:spacing w:after="0" w:line="240" w:lineRule="auto"/>
        <w:jc w:val="both"/>
        <w:rPr>
          <w:rFonts w:ascii="Arial" w:eastAsia="Times New Roman" w:hAnsi="Arial" w:cs="Arial"/>
          <w:b/>
          <w:bCs/>
          <w:lang w:eastAsia="es-ES"/>
        </w:rPr>
      </w:pPr>
    </w:p>
    <w:p w14:paraId="690FC192" w14:textId="3535137D" w:rsidR="0080709B" w:rsidRPr="0080709B" w:rsidRDefault="0080709B" w:rsidP="0080709B">
      <w:pPr>
        <w:spacing w:after="0" w:line="240" w:lineRule="auto"/>
        <w:jc w:val="both"/>
        <w:rPr>
          <w:rFonts w:ascii="Arial" w:hAnsi="Arial" w:cs="Arial"/>
          <w:lang w:val="es-ES"/>
        </w:rPr>
      </w:pPr>
      <w:r w:rsidRPr="0080709B">
        <w:rPr>
          <w:rFonts w:ascii="Arial" w:hAnsi="Arial" w:cs="Arial"/>
          <w:lang w:val="es-ES"/>
        </w:rPr>
        <w:t xml:space="preserve">Para conocimiento y aprobación del Comité, se presenta el </w:t>
      </w:r>
      <w:r w:rsidRPr="0080709B">
        <w:rPr>
          <w:rFonts w:ascii="Arial" w:hAnsi="Arial" w:cs="Arial"/>
          <w:i/>
          <w:iCs/>
          <w:lang w:val="es-ES"/>
        </w:rPr>
        <w:t>“Abordaje para Ejecutar el Plan de pruebas del Plan de Continuidad. Periodo 2024”</w:t>
      </w:r>
      <w:r>
        <w:rPr>
          <w:rFonts w:ascii="Arial" w:hAnsi="Arial" w:cs="Arial"/>
          <w:lang w:val="es-ES"/>
        </w:rPr>
        <w:t>.</w:t>
      </w:r>
    </w:p>
    <w:p w14:paraId="4A20DDF6" w14:textId="77777777" w:rsidR="0080709B" w:rsidRDefault="0080709B" w:rsidP="0080709B">
      <w:pPr>
        <w:spacing w:after="0" w:line="240" w:lineRule="auto"/>
        <w:jc w:val="both"/>
        <w:rPr>
          <w:rFonts w:ascii="Arial" w:hAnsi="Arial" w:cs="Arial"/>
        </w:rPr>
      </w:pPr>
    </w:p>
    <w:tbl>
      <w:tblPr>
        <w:tblStyle w:val="Tablaconcuadrcula"/>
        <w:tblW w:w="0" w:type="auto"/>
        <w:jc w:val="center"/>
        <w:tblLook w:val="04A0" w:firstRow="1" w:lastRow="0" w:firstColumn="1" w:lastColumn="0" w:noHBand="0" w:noVBand="1"/>
      </w:tblPr>
      <w:tblGrid>
        <w:gridCol w:w="4414"/>
      </w:tblGrid>
      <w:tr w:rsidR="0080709B" w14:paraId="6D794BCE" w14:textId="77777777" w:rsidTr="0080709B">
        <w:trPr>
          <w:jc w:val="center"/>
        </w:trPr>
        <w:tc>
          <w:tcPr>
            <w:tcW w:w="4414" w:type="dxa"/>
          </w:tcPr>
          <w:p w14:paraId="394A2BA6" w14:textId="55FAE0F6" w:rsidR="0080709B" w:rsidRDefault="0080709B" w:rsidP="00A466B9">
            <w:pPr>
              <w:spacing w:after="0" w:line="240" w:lineRule="auto"/>
              <w:jc w:val="center"/>
              <w:rPr>
                <w:rFonts w:ascii="Arial" w:hAnsi="Arial" w:cs="Arial"/>
              </w:rPr>
            </w:pPr>
            <w:r>
              <w:rPr>
                <w:rFonts w:ascii="Arial" w:hAnsi="Arial" w:cs="Arial"/>
              </w:rPr>
              <w:t>Documento del</w:t>
            </w:r>
            <w:r w:rsidR="00DF5E79">
              <w:rPr>
                <w:rFonts w:ascii="Arial" w:hAnsi="Arial" w:cs="Arial"/>
              </w:rPr>
              <w:t xml:space="preserve"> Plan</w:t>
            </w:r>
          </w:p>
        </w:tc>
      </w:tr>
      <w:tr w:rsidR="0080709B" w14:paraId="668E395F" w14:textId="77777777" w:rsidTr="0080709B">
        <w:trPr>
          <w:jc w:val="center"/>
        </w:trPr>
        <w:tc>
          <w:tcPr>
            <w:tcW w:w="4414" w:type="dxa"/>
          </w:tcPr>
          <w:p w14:paraId="6F913B62" w14:textId="586E9C2E" w:rsidR="0080709B" w:rsidRDefault="007B33F7" w:rsidP="00A466B9">
            <w:pPr>
              <w:spacing w:after="0" w:line="240" w:lineRule="auto"/>
              <w:jc w:val="center"/>
              <w:rPr>
                <w:rFonts w:ascii="Arial" w:hAnsi="Arial" w:cs="Arial"/>
              </w:rPr>
            </w:pPr>
            <w:r>
              <w:rPr>
                <w:rFonts w:ascii="Calibri" w:eastAsia="Calibri" w:hAnsi="Calibri"/>
              </w:rPr>
              <w:object w:dxaOrig="1508" w:dyaOrig="984" w14:anchorId="1B3842FD">
                <v:shape id="_x0000_i1029" type="#_x0000_t75" style="width:75.45pt;height:48.95pt" o:ole="">
                  <v:imagedata r:id="rId16" o:title=""/>
                </v:shape>
                <o:OLEObject Type="Embed" ProgID="Word.Document.12" ShapeID="_x0000_i1029" DrawAspect="Icon" ObjectID="_1771761244" r:id="rId17">
                  <o:FieldCodes>\s</o:FieldCodes>
                </o:OLEObject>
              </w:object>
            </w:r>
          </w:p>
          <w:p w14:paraId="31A01D3B" w14:textId="77777777" w:rsidR="0080709B" w:rsidRDefault="0080709B" w:rsidP="00A466B9">
            <w:pPr>
              <w:spacing w:after="0" w:line="240" w:lineRule="auto"/>
              <w:jc w:val="center"/>
              <w:rPr>
                <w:rFonts w:ascii="Arial" w:hAnsi="Arial" w:cs="Arial"/>
              </w:rPr>
            </w:pPr>
          </w:p>
        </w:tc>
      </w:tr>
    </w:tbl>
    <w:p w14:paraId="793BE2A6" w14:textId="77777777" w:rsidR="0080709B" w:rsidRPr="000F366E" w:rsidRDefault="0080709B" w:rsidP="0080709B">
      <w:pPr>
        <w:spacing w:after="0" w:line="240" w:lineRule="auto"/>
        <w:jc w:val="both"/>
        <w:rPr>
          <w:rFonts w:ascii="Arial" w:hAnsi="Arial" w:cs="Arial"/>
        </w:rPr>
      </w:pPr>
    </w:p>
    <w:p w14:paraId="628D9E32" w14:textId="032C0A4F" w:rsidR="0080709B" w:rsidRPr="0080709B" w:rsidRDefault="0080709B" w:rsidP="00964607">
      <w:pPr>
        <w:spacing w:after="0" w:line="240" w:lineRule="auto"/>
        <w:jc w:val="both"/>
        <w:rPr>
          <w:rFonts w:ascii="Arial" w:hAnsi="Arial" w:cs="Arial"/>
          <w:lang w:val="es-ES"/>
        </w:rPr>
      </w:pPr>
      <w:r w:rsidRPr="0080709B">
        <w:rPr>
          <w:rFonts w:ascii="Arial" w:hAnsi="Arial" w:cs="Arial"/>
          <w:lang w:val="es-ES"/>
        </w:rPr>
        <w:t xml:space="preserve">En resumen, </w:t>
      </w:r>
      <w:r>
        <w:rPr>
          <w:rFonts w:ascii="Arial" w:hAnsi="Arial" w:cs="Arial"/>
          <w:lang w:val="es-ES"/>
        </w:rPr>
        <w:t>como aspectos relevantes de este documento, se</w:t>
      </w:r>
      <w:r w:rsidRPr="0080709B">
        <w:rPr>
          <w:rFonts w:ascii="Arial" w:hAnsi="Arial" w:cs="Arial"/>
          <w:lang w:val="es-ES"/>
        </w:rPr>
        <w:t xml:space="preserve"> </w:t>
      </w:r>
      <w:r>
        <w:rPr>
          <w:rFonts w:ascii="Arial" w:hAnsi="Arial" w:cs="Arial"/>
          <w:lang w:val="es-ES"/>
        </w:rPr>
        <w:t>expone</w:t>
      </w:r>
      <w:r w:rsidRPr="0080709B">
        <w:rPr>
          <w:rFonts w:ascii="Arial" w:hAnsi="Arial" w:cs="Arial"/>
          <w:lang w:val="es-ES"/>
        </w:rPr>
        <w:t xml:space="preserve">: </w:t>
      </w:r>
    </w:p>
    <w:p w14:paraId="3D51D841" w14:textId="77777777" w:rsidR="0080709B" w:rsidRPr="0080709B" w:rsidRDefault="0080709B" w:rsidP="00964607">
      <w:pPr>
        <w:spacing w:after="0" w:line="240" w:lineRule="auto"/>
        <w:jc w:val="both"/>
        <w:rPr>
          <w:rFonts w:ascii="Arial" w:hAnsi="Arial" w:cs="Arial"/>
          <w:lang w:val="es-ES"/>
        </w:rPr>
      </w:pPr>
    </w:p>
    <w:p w14:paraId="05D6AE0F" w14:textId="6F85A16C" w:rsidR="0080709B" w:rsidRDefault="0080709B" w:rsidP="0080709B">
      <w:pPr>
        <w:pStyle w:val="Prrafodelista"/>
        <w:numPr>
          <w:ilvl w:val="0"/>
          <w:numId w:val="22"/>
        </w:numPr>
        <w:rPr>
          <w:rFonts w:ascii="Arial" w:eastAsia="Calibri" w:hAnsi="Arial" w:cs="Arial"/>
          <w:lang w:eastAsia="en-US"/>
        </w:rPr>
      </w:pPr>
      <w:r w:rsidRPr="0080709B">
        <w:rPr>
          <w:rFonts w:ascii="Arial" w:eastAsia="Calibri" w:hAnsi="Arial" w:cs="Arial"/>
          <w:lang w:eastAsia="en-US"/>
        </w:rPr>
        <w:t xml:space="preserve">El alcance de este plan corresponde a las pruebas a los planes de continuidad del Poder Judicial para el periodo 2024, por aplicar en despachos y oficinas de los tres ámbitos institucionales, considerando cualquiera de los escenarios contemplados en el Plan de Continuidad Institucional.   </w:t>
      </w:r>
    </w:p>
    <w:p w14:paraId="5B882F35" w14:textId="77777777" w:rsidR="0080709B" w:rsidRPr="0080709B" w:rsidRDefault="0080709B" w:rsidP="0080709B">
      <w:pPr>
        <w:pStyle w:val="Prrafodelista"/>
        <w:ind w:left="720"/>
        <w:rPr>
          <w:rFonts w:ascii="Arial" w:eastAsia="Calibri" w:hAnsi="Arial" w:cs="Arial"/>
          <w:lang w:eastAsia="en-US"/>
        </w:rPr>
      </w:pPr>
    </w:p>
    <w:p w14:paraId="397AEA96" w14:textId="43BA5200" w:rsidR="0080709B" w:rsidRDefault="0080709B" w:rsidP="0080709B">
      <w:pPr>
        <w:pStyle w:val="Prrafodelista"/>
        <w:numPr>
          <w:ilvl w:val="0"/>
          <w:numId w:val="22"/>
        </w:numPr>
        <w:rPr>
          <w:rFonts w:ascii="Arial" w:eastAsia="Calibri" w:hAnsi="Arial" w:cs="Arial"/>
          <w:lang w:eastAsia="en-US"/>
        </w:rPr>
      </w:pPr>
      <w:r w:rsidRPr="0080709B">
        <w:rPr>
          <w:rFonts w:ascii="Arial" w:eastAsia="Calibri" w:hAnsi="Arial" w:cs="Arial"/>
          <w:lang w:eastAsia="en-US"/>
        </w:rPr>
        <w:t>Cada prueba proveerá retroalimentación valiosa con respecto a las brechas de los planes, la viabilidad de aplicarlos y las actualizaciones que tengan que ser realizadas en la etapa de mantenimiento del Sistema de Gestión de Continuidad del Servicio.</w:t>
      </w:r>
    </w:p>
    <w:p w14:paraId="083227FB" w14:textId="77777777" w:rsidR="0080709B" w:rsidRPr="0080709B" w:rsidRDefault="0080709B" w:rsidP="0080709B">
      <w:pPr>
        <w:pStyle w:val="Prrafodelista"/>
        <w:rPr>
          <w:rFonts w:ascii="Arial" w:eastAsia="Calibri" w:hAnsi="Arial" w:cs="Arial"/>
          <w:lang w:eastAsia="en-US"/>
        </w:rPr>
      </w:pPr>
    </w:p>
    <w:p w14:paraId="19807E6A" w14:textId="7F4EE152" w:rsidR="0080709B" w:rsidRPr="00417EC1" w:rsidRDefault="00417EC1" w:rsidP="0080709B">
      <w:pPr>
        <w:pStyle w:val="Prrafodelista"/>
        <w:numPr>
          <w:ilvl w:val="0"/>
          <w:numId w:val="22"/>
        </w:numPr>
        <w:rPr>
          <w:rFonts w:ascii="Arial" w:eastAsia="Calibri" w:hAnsi="Arial" w:cs="Arial"/>
          <w:lang w:eastAsia="en-US"/>
        </w:rPr>
      </w:pPr>
      <w:r w:rsidRPr="00417EC1">
        <w:rPr>
          <w:rFonts w:ascii="Arial" w:eastAsia="Calibri" w:hAnsi="Arial" w:cs="Arial"/>
          <w:lang w:eastAsia="en-US"/>
        </w:rPr>
        <w:t>Al considerar l</w:t>
      </w:r>
      <w:r w:rsidR="0080709B" w:rsidRPr="00417EC1">
        <w:rPr>
          <w:rFonts w:ascii="Arial" w:eastAsia="Calibri" w:hAnsi="Arial" w:cs="Arial"/>
          <w:lang w:eastAsia="en-US"/>
        </w:rPr>
        <w:t xml:space="preserve">a cantidad de oficinas y despachos que deben ejecutar pruebas según </w:t>
      </w:r>
      <w:r w:rsidR="0080709B" w:rsidRPr="00417EC1">
        <w:rPr>
          <w:rFonts w:ascii="Arial" w:eastAsia="Calibri" w:hAnsi="Arial" w:cs="Arial"/>
          <w:lang w:eastAsia="en-US"/>
        </w:rPr>
        <w:lastRenderedPageBreak/>
        <w:t>los planes de continuidad que les apliquen</w:t>
      </w:r>
      <w:r w:rsidRPr="00417EC1">
        <w:rPr>
          <w:rFonts w:ascii="Arial" w:eastAsia="Calibri" w:hAnsi="Arial" w:cs="Arial"/>
          <w:lang w:eastAsia="en-US"/>
        </w:rPr>
        <w:t xml:space="preserve"> y los</w:t>
      </w:r>
      <w:r w:rsidR="0080709B" w:rsidRPr="00417EC1">
        <w:rPr>
          <w:rFonts w:ascii="Arial" w:eastAsia="Calibri" w:hAnsi="Arial" w:cs="Arial"/>
          <w:lang w:eastAsia="en-US"/>
        </w:rPr>
        <w:t xml:space="preserve"> escenarios de riesgos de disrupción</w:t>
      </w:r>
      <w:r w:rsidRPr="00417EC1">
        <w:rPr>
          <w:rFonts w:ascii="Arial" w:eastAsia="Calibri" w:hAnsi="Arial" w:cs="Arial"/>
          <w:lang w:eastAsia="en-US"/>
        </w:rPr>
        <w:t xml:space="preserve">, </w:t>
      </w:r>
      <w:r w:rsidR="00E4463F">
        <w:rPr>
          <w:rFonts w:ascii="Arial" w:eastAsia="Calibri" w:hAnsi="Arial" w:cs="Arial"/>
          <w:lang w:eastAsia="en-US"/>
        </w:rPr>
        <w:t>se</w:t>
      </w:r>
      <w:r w:rsidRPr="00417EC1">
        <w:rPr>
          <w:rFonts w:ascii="Arial" w:eastAsia="Calibri" w:hAnsi="Arial" w:cs="Arial"/>
          <w:lang w:eastAsia="en-US"/>
        </w:rPr>
        <w:t xml:space="preserve"> determina que</w:t>
      </w:r>
      <w:r w:rsidR="0080709B" w:rsidRPr="00417EC1">
        <w:rPr>
          <w:rFonts w:ascii="Arial" w:eastAsia="Calibri" w:hAnsi="Arial" w:cs="Arial"/>
          <w:lang w:eastAsia="en-US"/>
        </w:rPr>
        <w:t xml:space="preserve"> se torna materialmente imposible </w:t>
      </w:r>
      <w:r w:rsidRPr="00417EC1">
        <w:rPr>
          <w:rFonts w:ascii="Arial" w:eastAsia="Calibri" w:hAnsi="Arial" w:cs="Arial"/>
          <w:lang w:eastAsia="en-US"/>
        </w:rPr>
        <w:t xml:space="preserve">aplicar la totalidad de las pruebas, pues </w:t>
      </w:r>
      <w:r w:rsidR="0080709B" w:rsidRPr="00417EC1">
        <w:rPr>
          <w:rFonts w:ascii="Arial" w:eastAsia="Calibri" w:hAnsi="Arial" w:cs="Arial"/>
          <w:lang w:eastAsia="en-US"/>
        </w:rPr>
        <w:t>se debería realizar un estimado de 2131 ejercicios.</w:t>
      </w:r>
    </w:p>
    <w:p w14:paraId="6D18DA9B" w14:textId="77777777" w:rsidR="0080709B" w:rsidRPr="0080709B" w:rsidRDefault="0080709B" w:rsidP="0080709B">
      <w:pPr>
        <w:pStyle w:val="Prrafodelista"/>
        <w:rPr>
          <w:rFonts w:ascii="Arial" w:eastAsia="Calibri" w:hAnsi="Arial" w:cs="Arial"/>
          <w:lang w:eastAsia="en-US"/>
        </w:rPr>
      </w:pPr>
    </w:p>
    <w:p w14:paraId="717E79BA" w14:textId="452C1F41" w:rsidR="0080709B" w:rsidRDefault="0080709B" w:rsidP="0080709B">
      <w:pPr>
        <w:pStyle w:val="Prrafodelista"/>
        <w:numPr>
          <w:ilvl w:val="0"/>
          <w:numId w:val="22"/>
        </w:numPr>
        <w:rPr>
          <w:rFonts w:ascii="Arial" w:eastAsia="Calibri" w:hAnsi="Arial" w:cs="Arial"/>
          <w:lang w:eastAsia="en-US"/>
        </w:rPr>
      </w:pPr>
      <w:r>
        <w:rPr>
          <w:rFonts w:ascii="Arial" w:eastAsia="Calibri" w:hAnsi="Arial" w:cs="Arial"/>
          <w:lang w:eastAsia="en-US"/>
        </w:rPr>
        <w:t>P</w:t>
      </w:r>
      <w:r w:rsidRPr="0080709B">
        <w:rPr>
          <w:rFonts w:ascii="Arial" w:eastAsia="Calibri" w:hAnsi="Arial" w:cs="Arial"/>
          <w:lang w:eastAsia="en-US"/>
        </w:rPr>
        <w:t xml:space="preserve">ara alcanzar a la mayor cantidad de ejercicios de prueba, es necesario aplicar un enfoque multiplicador que recurra a una estructura operativa que permita el mayor rango de acción posible. </w:t>
      </w:r>
    </w:p>
    <w:p w14:paraId="7520BBCE" w14:textId="77777777" w:rsidR="0080709B" w:rsidRPr="0080709B" w:rsidRDefault="0080709B" w:rsidP="0080709B">
      <w:pPr>
        <w:pStyle w:val="Prrafodelista"/>
        <w:rPr>
          <w:rFonts w:ascii="Arial" w:eastAsia="Calibri" w:hAnsi="Arial" w:cs="Arial"/>
          <w:lang w:eastAsia="en-US"/>
        </w:rPr>
      </w:pPr>
    </w:p>
    <w:p w14:paraId="1C10D0E1" w14:textId="59BF953A" w:rsidR="0080709B" w:rsidRDefault="0080709B" w:rsidP="0080709B">
      <w:pPr>
        <w:pStyle w:val="Prrafodelista"/>
        <w:numPr>
          <w:ilvl w:val="0"/>
          <w:numId w:val="22"/>
        </w:numPr>
        <w:rPr>
          <w:rFonts w:ascii="Arial" w:eastAsia="Calibri" w:hAnsi="Arial" w:cs="Arial"/>
          <w:lang w:eastAsia="en-US"/>
        </w:rPr>
      </w:pPr>
      <w:r w:rsidRPr="0080709B">
        <w:rPr>
          <w:rFonts w:ascii="Arial" w:eastAsia="Calibri" w:hAnsi="Arial" w:cs="Arial"/>
          <w:lang w:eastAsia="en-US"/>
        </w:rPr>
        <w:t xml:space="preserve">Según la </w:t>
      </w:r>
      <w:r w:rsidR="00911426" w:rsidRPr="00911426">
        <w:rPr>
          <w:rFonts w:ascii="Arial" w:eastAsia="Calibri" w:hAnsi="Arial" w:cs="Arial"/>
          <w:i/>
          <w:iCs/>
          <w:lang w:eastAsia="en-US"/>
        </w:rPr>
        <w:t xml:space="preserve">“Política de Gestión de la Continuidad del Servicio” </w:t>
      </w:r>
      <w:r w:rsidR="00911426" w:rsidRPr="00911426">
        <w:rPr>
          <w:rFonts w:ascii="Arial" w:eastAsia="Calibri" w:hAnsi="Arial" w:cs="Arial"/>
          <w:lang w:eastAsia="en-US"/>
        </w:rPr>
        <w:t>del Poder Judicial</w:t>
      </w:r>
      <w:r w:rsidR="00911426">
        <w:rPr>
          <w:rFonts w:ascii="Arial" w:eastAsia="Calibri" w:hAnsi="Arial" w:cs="Arial"/>
          <w:lang w:eastAsia="en-US"/>
        </w:rPr>
        <w:t xml:space="preserve"> </w:t>
      </w:r>
      <w:r w:rsidRPr="0080709B">
        <w:rPr>
          <w:rFonts w:ascii="Arial" w:eastAsia="Calibri" w:hAnsi="Arial" w:cs="Arial"/>
          <w:lang w:eastAsia="en-US"/>
        </w:rPr>
        <w:t>aprobada</w:t>
      </w:r>
      <w:r>
        <w:rPr>
          <w:rFonts w:ascii="Arial" w:eastAsia="Calibri" w:hAnsi="Arial" w:cs="Arial"/>
          <w:lang w:eastAsia="en-US"/>
        </w:rPr>
        <w:t xml:space="preserve"> por la Corte Plena </w:t>
      </w:r>
      <w:r w:rsidR="00911426" w:rsidRPr="00911426">
        <w:rPr>
          <w:rFonts w:ascii="Arial" w:eastAsia="Calibri" w:hAnsi="Arial" w:cs="Arial"/>
          <w:lang w:eastAsia="en-US"/>
        </w:rPr>
        <w:t>en sesión 01-2024 celebrada el 15 de enero de 2024, artículo L</w:t>
      </w:r>
      <w:r w:rsidRPr="0080709B">
        <w:rPr>
          <w:rFonts w:ascii="Arial" w:eastAsia="Calibri" w:hAnsi="Arial" w:cs="Arial"/>
          <w:lang w:eastAsia="en-US"/>
        </w:rPr>
        <w:t>, corresponde a las Jefaturas o Administraciones de Programas (OIJ, DP, MP, OAPVD, JUNAFO):</w:t>
      </w:r>
    </w:p>
    <w:p w14:paraId="2FFDF37A" w14:textId="77777777" w:rsidR="00911426" w:rsidRPr="00911426" w:rsidRDefault="00911426" w:rsidP="00911426">
      <w:pPr>
        <w:pStyle w:val="Prrafodelista"/>
        <w:rPr>
          <w:rFonts w:ascii="Arial" w:eastAsia="Calibri" w:hAnsi="Arial" w:cs="Arial"/>
          <w:lang w:eastAsia="en-US"/>
        </w:rPr>
      </w:pPr>
    </w:p>
    <w:p w14:paraId="4C2A0867" w14:textId="25AB82AF" w:rsidR="0080709B" w:rsidRPr="0080709B" w:rsidRDefault="0080709B" w:rsidP="00911426">
      <w:pPr>
        <w:pStyle w:val="Prrafodelista"/>
        <w:numPr>
          <w:ilvl w:val="0"/>
          <w:numId w:val="23"/>
        </w:numPr>
        <w:ind w:left="1418" w:hanging="284"/>
        <w:rPr>
          <w:rFonts w:ascii="Arial" w:eastAsia="Calibri" w:hAnsi="Arial" w:cs="Arial"/>
          <w:lang w:eastAsia="en-US"/>
        </w:rPr>
      </w:pPr>
      <w:r w:rsidRPr="0080709B">
        <w:rPr>
          <w:rFonts w:ascii="Arial" w:eastAsia="Calibri" w:hAnsi="Arial" w:cs="Arial"/>
          <w:lang w:eastAsia="en-US"/>
        </w:rPr>
        <w:t>Ser responsable</w:t>
      </w:r>
      <w:r w:rsidR="00911426">
        <w:rPr>
          <w:rFonts w:ascii="Arial" w:eastAsia="Calibri" w:hAnsi="Arial" w:cs="Arial"/>
          <w:lang w:eastAsia="en-US"/>
        </w:rPr>
        <w:t>s</w:t>
      </w:r>
      <w:r w:rsidRPr="0080709B">
        <w:rPr>
          <w:rFonts w:ascii="Arial" w:eastAsia="Calibri" w:hAnsi="Arial" w:cs="Arial"/>
          <w:lang w:eastAsia="en-US"/>
        </w:rPr>
        <w:t xml:space="preserve"> de la continuidad del servicio en su Centro de Responsabilidad. </w:t>
      </w:r>
    </w:p>
    <w:p w14:paraId="039127E5" w14:textId="77777777" w:rsidR="0080709B" w:rsidRPr="0080709B" w:rsidRDefault="0080709B" w:rsidP="00911426">
      <w:pPr>
        <w:pStyle w:val="Prrafodelista"/>
        <w:numPr>
          <w:ilvl w:val="0"/>
          <w:numId w:val="23"/>
        </w:numPr>
        <w:ind w:left="1418" w:hanging="284"/>
        <w:rPr>
          <w:rFonts w:ascii="Arial" w:eastAsia="Calibri" w:hAnsi="Arial" w:cs="Arial"/>
          <w:lang w:eastAsia="en-US"/>
        </w:rPr>
      </w:pPr>
      <w:r w:rsidRPr="0080709B">
        <w:rPr>
          <w:rFonts w:ascii="Arial" w:eastAsia="Calibri" w:hAnsi="Arial" w:cs="Arial"/>
          <w:lang w:eastAsia="en-US"/>
        </w:rPr>
        <w:t>Dar seguimiento a la realización, actualización y ejecución de los planes de continuidad.</w:t>
      </w:r>
    </w:p>
    <w:p w14:paraId="72B432D0" w14:textId="77777777" w:rsidR="0080709B" w:rsidRPr="0080709B" w:rsidRDefault="0080709B" w:rsidP="00911426">
      <w:pPr>
        <w:pStyle w:val="Prrafodelista"/>
        <w:numPr>
          <w:ilvl w:val="0"/>
          <w:numId w:val="23"/>
        </w:numPr>
        <w:ind w:left="1418" w:hanging="284"/>
        <w:rPr>
          <w:rFonts w:ascii="Arial" w:eastAsia="Calibri" w:hAnsi="Arial" w:cs="Arial"/>
          <w:lang w:eastAsia="en-US"/>
        </w:rPr>
      </w:pPr>
      <w:r w:rsidRPr="0080709B">
        <w:rPr>
          <w:rFonts w:ascii="Arial" w:eastAsia="Calibri" w:hAnsi="Arial" w:cs="Arial"/>
          <w:lang w:eastAsia="en-US"/>
        </w:rPr>
        <w:t xml:space="preserve">Velar por la efectiva aplicación de los lineamientos y directrices incluidos en la Política de Gestión de Continuidad del Servicio. </w:t>
      </w:r>
    </w:p>
    <w:p w14:paraId="060E3F5D" w14:textId="77777777" w:rsidR="0080709B" w:rsidRPr="0080709B" w:rsidRDefault="0080709B" w:rsidP="00911426">
      <w:pPr>
        <w:pStyle w:val="Prrafodelista"/>
        <w:ind w:left="720"/>
        <w:rPr>
          <w:rFonts w:ascii="Arial" w:eastAsia="Calibri" w:hAnsi="Arial" w:cs="Arial"/>
          <w:lang w:eastAsia="en-US"/>
        </w:rPr>
      </w:pPr>
    </w:p>
    <w:p w14:paraId="6BA1988B" w14:textId="77777777" w:rsidR="0080709B" w:rsidRPr="0080709B" w:rsidRDefault="0080709B" w:rsidP="0080709B">
      <w:pPr>
        <w:pStyle w:val="Prrafodelista"/>
        <w:numPr>
          <w:ilvl w:val="0"/>
          <w:numId w:val="22"/>
        </w:numPr>
        <w:rPr>
          <w:rFonts w:ascii="Arial" w:eastAsia="Calibri" w:hAnsi="Arial" w:cs="Arial"/>
          <w:lang w:eastAsia="en-US"/>
        </w:rPr>
      </w:pPr>
      <w:r w:rsidRPr="0080709B">
        <w:rPr>
          <w:rFonts w:ascii="Arial" w:eastAsia="Calibri" w:hAnsi="Arial" w:cs="Arial"/>
          <w:lang w:eastAsia="en-US"/>
        </w:rPr>
        <w:t>Además, entre otras responsabilidades, corresponde al personal “Monitor de Continuidad”:</w:t>
      </w:r>
    </w:p>
    <w:p w14:paraId="3165EA75" w14:textId="77777777" w:rsidR="0080709B" w:rsidRPr="0080709B" w:rsidRDefault="0080709B" w:rsidP="00911426">
      <w:pPr>
        <w:pStyle w:val="Prrafodelista"/>
        <w:ind w:left="720"/>
        <w:rPr>
          <w:rFonts w:ascii="Arial" w:eastAsia="Calibri" w:hAnsi="Arial" w:cs="Arial"/>
          <w:lang w:eastAsia="en-US"/>
        </w:rPr>
      </w:pPr>
    </w:p>
    <w:p w14:paraId="2DE05BF4" w14:textId="77777777" w:rsidR="0080709B" w:rsidRDefault="0080709B" w:rsidP="00911426">
      <w:pPr>
        <w:pStyle w:val="Prrafodelista"/>
        <w:numPr>
          <w:ilvl w:val="0"/>
          <w:numId w:val="24"/>
        </w:numPr>
        <w:ind w:left="1418" w:hanging="284"/>
        <w:rPr>
          <w:rFonts w:ascii="Arial" w:eastAsia="Calibri" w:hAnsi="Arial" w:cs="Arial"/>
          <w:lang w:eastAsia="en-US"/>
        </w:rPr>
      </w:pPr>
      <w:r w:rsidRPr="0080709B">
        <w:rPr>
          <w:rFonts w:ascii="Arial" w:eastAsia="Calibri" w:hAnsi="Arial" w:cs="Arial"/>
          <w:lang w:eastAsia="en-US"/>
        </w:rPr>
        <w:t>Coordinar la ejecución de las pruebas y ejercicios de los planes de continuidad y recuperación dentro de su ámbito de acción, según las directrices del SGCS.</w:t>
      </w:r>
    </w:p>
    <w:p w14:paraId="34B36DB6" w14:textId="77777777" w:rsidR="00911426" w:rsidRPr="0080709B" w:rsidRDefault="00911426" w:rsidP="00911426">
      <w:pPr>
        <w:pStyle w:val="Prrafodelista"/>
        <w:ind w:left="1418"/>
        <w:rPr>
          <w:rFonts w:ascii="Arial" w:eastAsia="Calibri" w:hAnsi="Arial" w:cs="Arial"/>
          <w:lang w:eastAsia="en-US"/>
        </w:rPr>
      </w:pPr>
    </w:p>
    <w:p w14:paraId="046DED38" w14:textId="4CAA2C79" w:rsidR="0080709B" w:rsidRDefault="00911426" w:rsidP="0080709B">
      <w:pPr>
        <w:pStyle w:val="Prrafodelista"/>
        <w:numPr>
          <w:ilvl w:val="0"/>
          <w:numId w:val="22"/>
        </w:numPr>
        <w:rPr>
          <w:rFonts w:ascii="Arial" w:eastAsia="Calibri" w:hAnsi="Arial" w:cs="Arial"/>
          <w:lang w:eastAsia="en-US"/>
        </w:rPr>
      </w:pPr>
      <w:r w:rsidRPr="00911426">
        <w:rPr>
          <w:rFonts w:ascii="Arial" w:eastAsia="Calibri" w:hAnsi="Arial" w:cs="Arial"/>
          <w:lang w:eastAsia="en-US"/>
        </w:rPr>
        <w:t>Con base en lo anterior, la materialización del plan de pruebas se platea con la participación de la figura de las personas monitoras de continuidad, a fin de operativizar una ejecución que permita alcanzar a la mayor cantidad posible de oficinas y despachos judiciales.</w:t>
      </w:r>
    </w:p>
    <w:p w14:paraId="72F647B9" w14:textId="77777777" w:rsidR="00417EC1" w:rsidRDefault="00417EC1" w:rsidP="00417EC1">
      <w:pPr>
        <w:jc w:val="both"/>
        <w:rPr>
          <w:rFonts w:ascii="Arial" w:hAnsi="Arial" w:cs="Arial"/>
        </w:rPr>
      </w:pPr>
    </w:p>
    <w:p w14:paraId="1887F04B" w14:textId="65B6E3F0" w:rsidR="00417EC1" w:rsidRPr="00417EC1" w:rsidRDefault="00417EC1" w:rsidP="00417EC1">
      <w:pPr>
        <w:jc w:val="both"/>
        <w:rPr>
          <w:rFonts w:ascii="Arial" w:hAnsi="Arial" w:cs="Arial"/>
        </w:rPr>
      </w:pPr>
      <w:r>
        <w:rPr>
          <w:rFonts w:ascii="Arial" w:hAnsi="Arial" w:cs="Arial"/>
        </w:rPr>
        <w:t>En las siguientes figuras se muestra la propuesta de abordaje, de manera esquemática.</w:t>
      </w:r>
      <w:r w:rsidR="00247A6C">
        <w:rPr>
          <w:rFonts w:ascii="Arial" w:hAnsi="Arial" w:cs="Arial"/>
        </w:rPr>
        <w:t xml:space="preserve"> </w:t>
      </w:r>
      <w:r>
        <w:rPr>
          <w:rFonts w:ascii="Arial" w:hAnsi="Arial" w:cs="Arial"/>
        </w:rPr>
        <w:t>E</w:t>
      </w:r>
      <w:r w:rsidRPr="00417EC1">
        <w:rPr>
          <w:rFonts w:ascii="Arial" w:hAnsi="Arial" w:cs="Arial"/>
        </w:rPr>
        <w:t xml:space="preserve">l Subproceso de Gestión de Continuidad del Servicio deberá preparar al personal monitor de continuidad para que adquieran el conocimiento y cuenten con las herramientas para aplicar pruebas a los planes de continuidad del servicio, según su área de acción. Una vez que cuenten con la formación, se podrá calendarizar el periodo en el cual el personal monitor deberá ejecutar las pruebas de continuidad, con la orientación y acompañamiento del Subproceso. Finalmente, será necesario recabar los reportes de los resultados a </w:t>
      </w:r>
      <w:r w:rsidR="006A6507">
        <w:rPr>
          <w:rFonts w:ascii="Arial" w:hAnsi="Arial" w:cs="Arial"/>
        </w:rPr>
        <w:t xml:space="preserve">fin de </w:t>
      </w:r>
      <w:r w:rsidRPr="00417EC1">
        <w:rPr>
          <w:rFonts w:ascii="Arial" w:hAnsi="Arial" w:cs="Arial"/>
        </w:rPr>
        <w:t xml:space="preserve">aplicar el análisis correspondiente para presentar el informe final del plan, con el </w:t>
      </w:r>
      <w:r w:rsidR="006A6507">
        <w:rPr>
          <w:rFonts w:ascii="Arial" w:hAnsi="Arial" w:cs="Arial"/>
        </w:rPr>
        <w:t>propósito</w:t>
      </w:r>
      <w:r w:rsidRPr="00417EC1">
        <w:rPr>
          <w:rFonts w:ascii="Arial" w:hAnsi="Arial" w:cs="Arial"/>
        </w:rPr>
        <w:t xml:space="preserve"> de informar lo correspondiente al Comité Técnico de Continuidad del Servicio del Poder Judicial.</w:t>
      </w:r>
    </w:p>
    <w:p w14:paraId="2C03E88B" w14:textId="62A3CFBE" w:rsidR="00247A6C" w:rsidRDefault="00247A6C">
      <w:pPr>
        <w:spacing w:after="0" w:line="240" w:lineRule="auto"/>
        <w:rPr>
          <w:rFonts w:ascii="Arial" w:eastAsia="Times New Roman" w:hAnsi="Arial" w:cs="Arial"/>
          <w:b/>
          <w:bCs/>
          <w:lang w:eastAsia="es-ES"/>
        </w:rPr>
      </w:pPr>
      <w:r>
        <w:rPr>
          <w:rFonts w:ascii="Arial" w:eastAsia="Times New Roman" w:hAnsi="Arial" w:cs="Arial"/>
          <w:b/>
          <w:bCs/>
          <w:lang w:eastAsia="es-ES"/>
        </w:rPr>
        <w:br w:type="page"/>
      </w:r>
    </w:p>
    <w:p w14:paraId="4165A0D6" w14:textId="77777777" w:rsidR="0080709B" w:rsidRDefault="0080709B" w:rsidP="00964607">
      <w:pPr>
        <w:spacing w:after="0" w:line="240" w:lineRule="auto"/>
        <w:jc w:val="both"/>
        <w:rPr>
          <w:rFonts w:ascii="Arial" w:eastAsia="Times New Roman" w:hAnsi="Arial" w:cs="Arial"/>
          <w:b/>
          <w:bCs/>
          <w:lang w:eastAsia="es-ES"/>
        </w:rPr>
      </w:pPr>
    </w:p>
    <w:p w14:paraId="26F8537A" w14:textId="77777777" w:rsidR="00911426" w:rsidRPr="00911426" w:rsidRDefault="00911426" w:rsidP="00911426">
      <w:pPr>
        <w:spacing w:after="0" w:line="240" w:lineRule="auto"/>
        <w:jc w:val="both"/>
        <w:rPr>
          <w:rFonts w:ascii="Arial" w:eastAsia="Times New Roman" w:hAnsi="Arial" w:cs="Arial"/>
          <w:b/>
          <w:bCs/>
          <w:lang w:eastAsia="es-ES"/>
        </w:rPr>
      </w:pPr>
      <w:r w:rsidRPr="00911426">
        <w:rPr>
          <w:rFonts w:ascii="Arial" w:eastAsia="Times New Roman" w:hAnsi="Arial" w:cs="Arial"/>
          <w:b/>
          <w:bCs/>
          <w:lang w:eastAsia="es-ES"/>
        </w:rPr>
        <w:t>Esquema de ejecución de pruebas a los planes de continuidad del servicio</w:t>
      </w:r>
    </w:p>
    <w:p w14:paraId="1FA72A4B" w14:textId="77777777" w:rsidR="00911426" w:rsidRPr="00911426" w:rsidRDefault="00911426" w:rsidP="00911426">
      <w:pPr>
        <w:spacing w:after="0" w:line="240" w:lineRule="auto"/>
        <w:jc w:val="both"/>
        <w:rPr>
          <w:rFonts w:ascii="Arial" w:eastAsia="Times New Roman" w:hAnsi="Arial" w:cs="Arial"/>
          <w:b/>
          <w:bCs/>
          <w:lang w:eastAsia="es-ES"/>
        </w:rPr>
      </w:pPr>
    </w:p>
    <w:p w14:paraId="6B0E30D9" w14:textId="51206EAF" w:rsidR="00911426" w:rsidRPr="00911426" w:rsidRDefault="00911426" w:rsidP="00911426">
      <w:pPr>
        <w:spacing w:after="0" w:line="240" w:lineRule="auto"/>
        <w:jc w:val="center"/>
        <w:rPr>
          <w:rFonts w:ascii="Arial" w:eastAsia="Times New Roman" w:hAnsi="Arial" w:cs="Arial"/>
          <w:b/>
          <w:bCs/>
          <w:lang w:eastAsia="es-ES"/>
        </w:rPr>
      </w:pPr>
      <w:r>
        <w:rPr>
          <w:rFonts w:ascii="Arial" w:eastAsia="Times New Roman" w:hAnsi="Arial" w:cs="Arial"/>
          <w:b/>
          <w:bCs/>
          <w:noProof/>
          <w:lang w:eastAsia="es-ES"/>
        </w:rPr>
        <w:drawing>
          <wp:inline distT="0" distB="0" distL="0" distR="0" wp14:anchorId="14F0D901" wp14:editId="18154D29">
            <wp:extent cx="4346293" cy="2458737"/>
            <wp:effectExtent l="0" t="0" r="0" b="0"/>
            <wp:docPr id="167049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8416" cy="2465595"/>
                    </a:xfrm>
                    <a:prstGeom prst="rect">
                      <a:avLst/>
                    </a:prstGeom>
                    <a:noFill/>
                  </pic:spPr>
                </pic:pic>
              </a:graphicData>
            </a:graphic>
          </wp:inline>
        </w:drawing>
      </w:r>
    </w:p>
    <w:p w14:paraId="4FA54344" w14:textId="77777777" w:rsidR="00911426" w:rsidRDefault="00911426" w:rsidP="00964607">
      <w:pPr>
        <w:spacing w:after="0" w:line="240" w:lineRule="auto"/>
        <w:jc w:val="both"/>
        <w:rPr>
          <w:rFonts w:ascii="Arial" w:eastAsia="Times New Roman" w:hAnsi="Arial" w:cs="Arial"/>
          <w:b/>
          <w:bCs/>
          <w:lang w:eastAsia="es-ES"/>
        </w:rPr>
      </w:pPr>
    </w:p>
    <w:p w14:paraId="1D280508" w14:textId="2355C698" w:rsidR="00911426" w:rsidRPr="00911426" w:rsidRDefault="00911426" w:rsidP="00964607">
      <w:pPr>
        <w:spacing w:after="0" w:line="240" w:lineRule="auto"/>
        <w:jc w:val="both"/>
        <w:rPr>
          <w:rFonts w:ascii="Arial" w:eastAsia="Times New Roman" w:hAnsi="Arial" w:cs="Arial"/>
          <w:b/>
          <w:bCs/>
          <w:lang w:eastAsia="es-ES"/>
        </w:rPr>
      </w:pPr>
      <w:r w:rsidRPr="00911426">
        <w:rPr>
          <w:rFonts w:ascii="Arial" w:eastAsia="Times New Roman" w:hAnsi="Arial" w:cs="Arial"/>
          <w:b/>
          <w:bCs/>
          <w:lang w:eastAsia="es-ES"/>
        </w:rPr>
        <w:t>Etapas para el Plan de Pruebas 2024</w:t>
      </w:r>
    </w:p>
    <w:p w14:paraId="36383267" w14:textId="77777777" w:rsidR="00911426" w:rsidRDefault="00911426" w:rsidP="00964607">
      <w:pPr>
        <w:spacing w:after="0" w:line="240" w:lineRule="auto"/>
        <w:jc w:val="both"/>
        <w:rPr>
          <w:rFonts w:ascii="Arial" w:eastAsia="Times New Roman" w:hAnsi="Arial" w:cs="Arial"/>
          <w:b/>
          <w:bCs/>
          <w:lang w:eastAsia="es-ES"/>
        </w:rPr>
      </w:pPr>
    </w:p>
    <w:p w14:paraId="4F9D3E22" w14:textId="41A4F190" w:rsidR="00911426" w:rsidRDefault="00911426" w:rsidP="00911426">
      <w:pPr>
        <w:spacing w:after="0" w:line="240" w:lineRule="auto"/>
        <w:jc w:val="center"/>
        <w:rPr>
          <w:rFonts w:ascii="Arial" w:eastAsia="Times New Roman" w:hAnsi="Arial" w:cs="Arial"/>
          <w:b/>
          <w:bCs/>
          <w:lang w:eastAsia="es-ES"/>
        </w:rPr>
      </w:pPr>
      <w:r>
        <w:rPr>
          <w:rFonts w:ascii="Arial" w:eastAsia="Times New Roman" w:hAnsi="Arial" w:cs="Arial"/>
          <w:b/>
          <w:bCs/>
          <w:noProof/>
          <w:lang w:eastAsia="es-ES"/>
        </w:rPr>
        <w:drawing>
          <wp:inline distT="0" distB="0" distL="0" distR="0" wp14:anchorId="76255CF1" wp14:editId="07688E1C">
            <wp:extent cx="5044347" cy="2968874"/>
            <wp:effectExtent l="0" t="0" r="4445" b="3175"/>
            <wp:docPr id="6735142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5434" cy="2975399"/>
                    </a:xfrm>
                    <a:prstGeom prst="rect">
                      <a:avLst/>
                    </a:prstGeom>
                    <a:noFill/>
                  </pic:spPr>
                </pic:pic>
              </a:graphicData>
            </a:graphic>
          </wp:inline>
        </w:drawing>
      </w:r>
    </w:p>
    <w:p w14:paraId="01A6469F" w14:textId="77777777" w:rsidR="00417EC1" w:rsidRDefault="00417EC1" w:rsidP="00964607">
      <w:pPr>
        <w:spacing w:after="0" w:line="240" w:lineRule="auto"/>
        <w:jc w:val="both"/>
        <w:rPr>
          <w:rFonts w:ascii="Arial" w:eastAsia="Times New Roman" w:hAnsi="Arial" w:cs="Arial"/>
          <w:b/>
          <w:bCs/>
          <w:lang w:eastAsia="es-ES"/>
        </w:rPr>
      </w:pPr>
    </w:p>
    <w:p w14:paraId="11974AC7" w14:textId="466C6EFD" w:rsidR="008C038A" w:rsidRPr="00143C2B" w:rsidRDefault="008C038A" w:rsidP="00964607">
      <w:pPr>
        <w:spacing w:after="0" w:line="240" w:lineRule="auto"/>
        <w:jc w:val="both"/>
        <w:rPr>
          <w:rFonts w:ascii="Arial" w:eastAsia="Times New Roman" w:hAnsi="Arial" w:cs="Arial"/>
          <w:b/>
          <w:bCs/>
          <w:lang w:eastAsia="es-ES"/>
        </w:rPr>
      </w:pPr>
      <w:r w:rsidRPr="00441E2F">
        <w:rPr>
          <w:rFonts w:ascii="Arial" w:eastAsia="Times New Roman" w:hAnsi="Arial" w:cs="Arial"/>
          <w:b/>
          <w:bCs/>
          <w:lang w:eastAsia="es-ES"/>
        </w:rPr>
        <w:t>Se acuerda: 1)</w:t>
      </w:r>
      <w:r w:rsidRPr="00441E2F">
        <w:rPr>
          <w:rFonts w:ascii="Arial" w:eastAsia="Times New Roman" w:hAnsi="Arial" w:cs="Arial"/>
          <w:lang w:eastAsia="es-ES"/>
        </w:rPr>
        <w:t xml:space="preserve"> Tomar nota de</w:t>
      </w:r>
      <w:r w:rsidR="00247A6C" w:rsidRPr="00441E2F">
        <w:rPr>
          <w:rFonts w:ascii="Arial" w:eastAsia="Times New Roman" w:hAnsi="Arial" w:cs="Arial"/>
          <w:lang w:eastAsia="es-ES"/>
        </w:rPr>
        <w:t xml:space="preserve"> </w:t>
      </w:r>
      <w:r w:rsidRPr="00441E2F">
        <w:rPr>
          <w:rFonts w:ascii="Arial" w:eastAsia="Times New Roman" w:hAnsi="Arial" w:cs="Arial"/>
          <w:lang w:eastAsia="es-ES"/>
        </w:rPr>
        <w:t>l</w:t>
      </w:r>
      <w:r w:rsidR="00247A6C" w:rsidRPr="00441E2F">
        <w:rPr>
          <w:rFonts w:ascii="Arial" w:eastAsia="Times New Roman" w:hAnsi="Arial" w:cs="Arial"/>
          <w:lang w:eastAsia="es-ES"/>
        </w:rPr>
        <w:t>a</w:t>
      </w:r>
      <w:r w:rsidRPr="00441E2F">
        <w:rPr>
          <w:rFonts w:ascii="Arial" w:eastAsia="Times New Roman" w:hAnsi="Arial" w:cs="Arial"/>
          <w:lang w:eastAsia="es-ES"/>
        </w:rPr>
        <w:t xml:space="preserve"> </w:t>
      </w:r>
      <w:r w:rsidR="00247A6C" w:rsidRPr="00441E2F">
        <w:rPr>
          <w:rFonts w:ascii="Arial" w:eastAsia="Times New Roman" w:hAnsi="Arial" w:cs="Arial"/>
          <w:lang w:eastAsia="es-ES"/>
        </w:rPr>
        <w:t xml:space="preserve">propuesta de </w:t>
      </w:r>
      <w:r w:rsidR="00247A6C" w:rsidRPr="00441E2F">
        <w:rPr>
          <w:rFonts w:ascii="Arial" w:hAnsi="Arial" w:cs="Arial"/>
          <w:i/>
          <w:iCs/>
          <w:lang w:val="es-ES"/>
        </w:rPr>
        <w:t>“Abordaje para Ejecutar el Plan de pruebas del Plan de Continuidad. Periodo 2024”</w:t>
      </w:r>
      <w:r w:rsidR="00247A6C" w:rsidRPr="00441E2F">
        <w:rPr>
          <w:rFonts w:ascii="Arial" w:hAnsi="Arial" w:cs="Arial"/>
          <w:lang w:val="es-ES"/>
        </w:rPr>
        <w:t xml:space="preserve">, presentada </w:t>
      </w:r>
      <w:r w:rsidRPr="00441E2F">
        <w:rPr>
          <w:rFonts w:ascii="Arial" w:eastAsia="Times New Roman" w:hAnsi="Arial" w:cs="Arial"/>
          <w:lang w:eastAsia="es-ES"/>
        </w:rPr>
        <w:t>por el Subproceso de Gestión de Continuidad del Servicio.</w:t>
      </w:r>
      <w:r w:rsidR="00964607" w:rsidRPr="00441E2F">
        <w:rPr>
          <w:rFonts w:ascii="Arial" w:eastAsia="Times New Roman" w:hAnsi="Arial" w:cs="Arial"/>
          <w:lang w:eastAsia="es-ES"/>
        </w:rPr>
        <w:t xml:space="preserve"> </w:t>
      </w:r>
      <w:r w:rsidR="00964607" w:rsidRPr="00441E2F">
        <w:rPr>
          <w:rFonts w:ascii="Arial" w:eastAsia="Times New Roman" w:hAnsi="Arial" w:cs="Arial"/>
          <w:b/>
          <w:bCs/>
          <w:lang w:eastAsia="es-ES"/>
        </w:rPr>
        <w:t>2)</w:t>
      </w:r>
      <w:r w:rsidR="00964607" w:rsidRPr="00441E2F">
        <w:rPr>
          <w:rFonts w:ascii="Arial" w:eastAsia="Times New Roman" w:hAnsi="Arial" w:cs="Arial"/>
          <w:lang w:eastAsia="es-ES"/>
        </w:rPr>
        <w:t xml:space="preserve"> </w:t>
      </w:r>
      <w:r w:rsidR="00247A6C" w:rsidRPr="00441E2F">
        <w:rPr>
          <w:rFonts w:ascii="Arial" w:eastAsia="Times New Roman" w:hAnsi="Arial" w:cs="Arial"/>
          <w:lang w:eastAsia="es-ES"/>
        </w:rPr>
        <w:t>Trasladar la propuesta al C</w:t>
      </w:r>
      <w:r w:rsidR="00964607" w:rsidRPr="00441E2F">
        <w:rPr>
          <w:rFonts w:ascii="Arial" w:hAnsi="Arial" w:cs="Arial"/>
        </w:rPr>
        <w:t>onsejo Superior, para su conocimiento</w:t>
      </w:r>
      <w:r w:rsidR="00247A6C" w:rsidRPr="00441E2F">
        <w:rPr>
          <w:rFonts w:ascii="Arial" w:hAnsi="Arial" w:cs="Arial"/>
        </w:rPr>
        <w:t xml:space="preserve"> y aprobación, con el fin de que se reafirme el compromiso de todas las partes que deben intervenir para el éxito de este abordaje</w:t>
      </w:r>
      <w:r w:rsidR="00964607" w:rsidRPr="00441E2F">
        <w:rPr>
          <w:rFonts w:ascii="Arial" w:hAnsi="Arial" w:cs="Arial"/>
        </w:rPr>
        <w:t>.</w:t>
      </w:r>
      <w:r w:rsidR="00FC6A8C" w:rsidRPr="00441E2F">
        <w:rPr>
          <w:rFonts w:ascii="Arial" w:hAnsi="Arial" w:cs="Arial"/>
        </w:rPr>
        <w:t xml:space="preserve"> </w:t>
      </w:r>
      <w:r w:rsidRPr="00441E2F">
        <w:rPr>
          <w:rFonts w:ascii="Arial" w:eastAsia="Times New Roman" w:hAnsi="Arial" w:cs="Arial"/>
          <w:b/>
          <w:bCs/>
          <w:lang w:eastAsia="es-ES"/>
        </w:rPr>
        <w:t>ACUERDO FIRME.</w:t>
      </w:r>
      <w:r w:rsidRPr="00143C2B">
        <w:rPr>
          <w:rFonts w:ascii="Arial" w:eastAsia="Times New Roman" w:hAnsi="Arial" w:cs="Arial"/>
          <w:b/>
          <w:bCs/>
          <w:lang w:eastAsia="es-ES"/>
        </w:rPr>
        <w:t xml:space="preserve"> </w:t>
      </w:r>
    </w:p>
    <w:p w14:paraId="67D74018" w14:textId="71DF5B0B" w:rsidR="0037036B" w:rsidRDefault="0037036B" w:rsidP="00796137">
      <w:pPr>
        <w:spacing w:after="0" w:line="240" w:lineRule="auto"/>
        <w:jc w:val="center"/>
        <w:rPr>
          <w:rFonts w:ascii="Arial" w:hAnsi="Arial" w:cs="Arial"/>
          <w:b/>
          <w:color w:val="2F5496"/>
        </w:rPr>
      </w:pPr>
    </w:p>
    <w:p w14:paraId="56DB6BA5" w14:textId="135EE0FC" w:rsidR="00672108" w:rsidRPr="00143C2B" w:rsidRDefault="00672108" w:rsidP="00796137">
      <w:pPr>
        <w:spacing w:after="0" w:line="240" w:lineRule="auto"/>
        <w:jc w:val="center"/>
        <w:rPr>
          <w:rFonts w:ascii="Arial" w:hAnsi="Arial" w:cs="Arial"/>
          <w:b/>
        </w:rPr>
      </w:pPr>
      <w:r w:rsidRPr="00143C2B">
        <w:rPr>
          <w:rFonts w:ascii="Arial" w:hAnsi="Arial" w:cs="Arial"/>
          <w:b/>
        </w:rPr>
        <w:lastRenderedPageBreak/>
        <w:t>ARTÍCULO I</w:t>
      </w:r>
      <w:r w:rsidR="003F291D" w:rsidRPr="00143C2B">
        <w:rPr>
          <w:rFonts w:ascii="Arial" w:hAnsi="Arial" w:cs="Arial"/>
          <w:b/>
        </w:rPr>
        <w:t>V</w:t>
      </w:r>
    </w:p>
    <w:p w14:paraId="20B4A158" w14:textId="3ABD7208" w:rsidR="00672108" w:rsidRPr="00672108" w:rsidRDefault="00672108" w:rsidP="00796137">
      <w:pPr>
        <w:spacing w:after="0" w:line="240" w:lineRule="auto"/>
        <w:jc w:val="center"/>
        <w:rPr>
          <w:rFonts w:ascii="Arial" w:hAnsi="Arial" w:cs="Arial"/>
          <w:b/>
          <w:color w:val="2F5496"/>
          <w:highlight w:val="green"/>
        </w:rPr>
      </w:pPr>
    </w:p>
    <w:p w14:paraId="270DE136" w14:textId="1A86EB65" w:rsidR="00367311" w:rsidRPr="003F291D" w:rsidRDefault="007567D6" w:rsidP="00796137">
      <w:pPr>
        <w:spacing w:after="0" w:line="240" w:lineRule="auto"/>
        <w:rPr>
          <w:rFonts w:ascii="Arial" w:hAnsi="Arial" w:cs="Arial"/>
          <w:b/>
        </w:rPr>
      </w:pPr>
      <w:r w:rsidRPr="007567D6">
        <w:rPr>
          <w:rFonts w:ascii="Arial" w:hAnsi="Arial" w:cs="Arial"/>
          <w:b/>
        </w:rPr>
        <w:t>Divulgación de la Política, SIA y análisis de riesgos</w:t>
      </w:r>
    </w:p>
    <w:bookmarkEnd w:id="0"/>
    <w:p w14:paraId="5B6CD844" w14:textId="77777777" w:rsidR="007567D6" w:rsidRDefault="007567D6" w:rsidP="00796137">
      <w:pPr>
        <w:spacing w:after="0" w:line="240" w:lineRule="auto"/>
        <w:jc w:val="both"/>
        <w:rPr>
          <w:rFonts w:ascii="Arial" w:hAnsi="Arial" w:cs="Arial"/>
          <w:lang w:val="es-ES"/>
        </w:rPr>
      </w:pPr>
    </w:p>
    <w:p w14:paraId="1AF6F12B" w14:textId="3C02DEF8" w:rsidR="001343D5" w:rsidRPr="001343D5" w:rsidRDefault="001343D5" w:rsidP="001343D5">
      <w:pPr>
        <w:pStyle w:val="Prrafodelista"/>
        <w:numPr>
          <w:ilvl w:val="0"/>
          <w:numId w:val="25"/>
        </w:numPr>
        <w:rPr>
          <w:rFonts w:ascii="Arial" w:hAnsi="Arial" w:cs="Arial"/>
          <w:b/>
          <w:bCs/>
        </w:rPr>
      </w:pPr>
      <w:r w:rsidRPr="001343D5">
        <w:rPr>
          <w:rFonts w:ascii="Arial" w:hAnsi="Arial" w:cs="Arial"/>
          <w:b/>
          <w:bCs/>
        </w:rPr>
        <w:t>“Política de Gestión de la Continuidad del Servicio”</w:t>
      </w:r>
    </w:p>
    <w:p w14:paraId="159AC081" w14:textId="77777777" w:rsidR="001343D5" w:rsidRDefault="001343D5" w:rsidP="00E15E29">
      <w:pPr>
        <w:spacing w:after="0" w:line="240" w:lineRule="auto"/>
        <w:jc w:val="both"/>
        <w:rPr>
          <w:rFonts w:ascii="Arial" w:hAnsi="Arial" w:cs="Arial"/>
          <w:lang w:val="es-ES"/>
        </w:rPr>
      </w:pPr>
    </w:p>
    <w:p w14:paraId="3B04E9A8" w14:textId="453B9CB0" w:rsidR="00E15E29" w:rsidRDefault="00E15E29" w:rsidP="00E15E29">
      <w:pPr>
        <w:spacing w:after="0" w:line="240" w:lineRule="auto"/>
        <w:jc w:val="both"/>
        <w:rPr>
          <w:rFonts w:ascii="Arial" w:hAnsi="Arial" w:cs="Arial"/>
          <w:lang w:val="es-ES"/>
        </w:rPr>
      </w:pPr>
      <w:r>
        <w:rPr>
          <w:rFonts w:ascii="Arial" w:hAnsi="Arial" w:cs="Arial"/>
          <w:lang w:val="es-ES"/>
        </w:rPr>
        <w:t xml:space="preserve">La </w:t>
      </w:r>
      <w:r w:rsidRPr="00E15E29">
        <w:rPr>
          <w:rFonts w:ascii="Arial" w:hAnsi="Arial" w:cs="Arial"/>
          <w:lang w:val="es-ES"/>
        </w:rPr>
        <w:t>propuesta</w:t>
      </w:r>
      <w:r>
        <w:rPr>
          <w:rFonts w:ascii="Arial" w:hAnsi="Arial" w:cs="Arial"/>
          <w:lang w:val="es-ES"/>
        </w:rPr>
        <w:t xml:space="preserve"> inicial </w:t>
      </w:r>
      <w:r w:rsidRPr="00E15E29">
        <w:rPr>
          <w:rFonts w:ascii="Arial" w:hAnsi="Arial" w:cs="Arial"/>
          <w:lang w:val="es-ES"/>
        </w:rPr>
        <w:t xml:space="preserve">de actualización de la </w:t>
      </w:r>
      <w:r w:rsidRPr="006A6507">
        <w:rPr>
          <w:rFonts w:ascii="Arial" w:hAnsi="Arial" w:cs="Arial"/>
          <w:i/>
          <w:iCs/>
          <w:lang w:val="es-ES"/>
        </w:rPr>
        <w:t>“Política de Gestión de la Continuidad del Servicio”</w:t>
      </w:r>
      <w:r w:rsidRPr="00E15E29">
        <w:rPr>
          <w:rFonts w:ascii="Arial" w:hAnsi="Arial" w:cs="Arial"/>
          <w:lang w:val="es-ES"/>
        </w:rPr>
        <w:t xml:space="preserve"> fue conocida por el Comité Técnico de Continuidad de Servicios del Poder Judicial en la sesión </w:t>
      </w:r>
      <w:proofErr w:type="spellStart"/>
      <w:r w:rsidRPr="00E15E29">
        <w:rPr>
          <w:rFonts w:ascii="Arial" w:hAnsi="Arial" w:cs="Arial"/>
          <w:lang w:val="es-ES"/>
        </w:rPr>
        <w:t>Nº</w:t>
      </w:r>
      <w:proofErr w:type="spellEnd"/>
      <w:r w:rsidRPr="00E15E29">
        <w:rPr>
          <w:rFonts w:ascii="Arial" w:hAnsi="Arial" w:cs="Arial"/>
          <w:lang w:val="es-ES"/>
        </w:rPr>
        <w:t xml:space="preserve"> 3</w:t>
      </w:r>
      <w:r>
        <w:rPr>
          <w:rFonts w:ascii="Arial" w:hAnsi="Arial" w:cs="Arial"/>
          <w:lang w:val="es-ES"/>
        </w:rPr>
        <w:t>-2022</w:t>
      </w:r>
      <w:r w:rsidRPr="00E15E29">
        <w:rPr>
          <w:rFonts w:ascii="Arial" w:hAnsi="Arial" w:cs="Arial"/>
          <w:lang w:val="es-ES"/>
        </w:rPr>
        <w:t>, celebrada el 25 de octubre de 2022, artículo I.</w:t>
      </w:r>
    </w:p>
    <w:p w14:paraId="6B0FF831" w14:textId="77777777" w:rsidR="00E15E29" w:rsidRDefault="00E15E29" w:rsidP="00E15E29">
      <w:pPr>
        <w:spacing w:after="0" w:line="240" w:lineRule="auto"/>
        <w:jc w:val="both"/>
        <w:rPr>
          <w:rFonts w:ascii="Arial" w:hAnsi="Arial" w:cs="Arial"/>
          <w:lang w:val="es-ES"/>
        </w:rPr>
      </w:pPr>
    </w:p>
    <w:p w14:paraId="73129C1D" w14:textId="13810343" w:rsidR="00E15E29" w:rsidRDefault="00E15E29" w:rsidP="00796137">
      <w:pPr>
        <w:spacing w:after="0" w:line="240" w:lineRule="auto"/>
        <w:jc w:val="both"/>
        <w:rPr>
          <w:rFonts w:ascii="Arial" w:hAnsi="Arial" w:cs="Arial"/>
          <w:lang w:val="es-ES"/>
        </w:rPr>
      </w:pPr>
      <w:r>
        <w:rPr>
          <w:rFonts w:ascii="Arial" w:hAnsi="Arial" w:cs="Arial"/>
          <w:lang w:val="es-ES"/>
        </w:rPr>
        <w:t xml:space="preserve">En esa sesión misma sesión, en el artículo III, el Comité acordó: </w:t>
      </w:r>
    </w:p>
    <w:p w14:paraId="44EE7A0F" w14:textId="77777777" w:rsidR="00E15E29" w:rsidRDefault="00E15E29" w:rsidP="00796137">
      <w:pPr>
        <w:spacing w:after="0" w:line="240" w:lineRule="auto"/>
        <w:jc w:val="both"/>
        <w:rPr>
          <w:rFonts w:ascii="Arial" w:hAnsi="Arial" w:cs="Arial"/>
          <w:lang w:val="es-ES"/>
        </w:rPr>
      </w:pPr>
    </w:p>
    <w:p w14:paraId="61B3D1E6" w14:textId="16582898" w:rsidR="00E15E29" w:rsidRPr="00E15E29" w:rsidRDefault="00E15E29" w:rsidP="00E15E29">
      <w:pPr>
        <w:spacing w:after="0" w:line="240" w:lineRule="auto"/>
        <w:ind w:left="567"/>
        <w:jc w:val="both"/>
        <w:rPr>
          <w:rFonts w:ascii="Arial" w:hAnsi="Arial" w:cs="Arial"/>
          <w:lang w:val="es-ES"/>
        </w:rPr>
      </w:pPr>
      <w:r>
        <w:rPr>
          <w:rFonts w:ascii="Arial" w:hAnsi="Arial" w:cs="Arial"/>
          <w:i/>
          <w:iCs/>
          <w:lang w:val="es-ES"/>
        </w:rPr>
        <w:t>“</w:t>
      </w:r>
      <w:r w:rsidRPr="00E15E29">
        <w:rPr>
          <w:rFonts w:ascii="Arial" w:hAnsi="Arial" w:cs="Arial"/>
          <w:i/>
          <w:iCs/>
          <w:lang w:val="es-ES"/>
        </w:rPr>
        <w:t xml:space="preserve">[…] 1) Tomar nota del inicio de la publicación de la campaña de sensibilización y de conocimiento del Sistema de Continuidad del Servicio del Poder Judicial. </w:t>
      </w:r>
      <w:r w:rsidRPr="00E15E29">
        <w:rPr>
          <w:rFonts w:ascii="Arial" w:hAnsi="Arial" w:cs="Arial"/>
          <w:i/>
          <w:iCs/>
          <w:u w:val="single"/>
          <w:lang w:val="es-ES"/>
        </w:rPr>
        <w:t>2) Una vez aprobada la Política Institucional de Continuidad del Servicio, se realice una extensión de la campaña con cápsulas informativas para la población judicial”</w:t>
      </w:r>
      <w:r w:rsidRPr="00E15E29">
        <w:rPr>
          <w:rFonts w:ascii="Arial" w:hAnsi="Arial" w:cs="Arial"/>
          <w:i/>
          <w:iCs/>
          <w:lang w:val="es-ES"/>
        </w:rPr>
        <w:t>.</w:t>
      </w:r>
      <w:r>
        <w:rPr>
          <w:rFonts w:ascii="Arial" w:hAnsi="Arial" w:cs="Arial"/>
          <w:lang w:val="es-ES"/>
        </w:rPr>
        <w:t xml:space="preserve"> (El subrayado ha sido agregado).</w:t>
      </w:r>
    </w:p>
    <w:p w14:paraId="23DDF49A" w14:textId="77777777" w:rsidR="00E15E29" w:rsidRDefault="00E15E29" w:rsidP="00796137">
      <w:pPr>
        <w:spacing w:after="0" w:line="240" w:lineRule="auto"/>
        <w:jc w:val="both"/>
        <w:rPr>
          <w:rFonts w:ascii="Arial" w:hAnsi="Arial" w:cs="Arial"/>
          <w:lang w:val="es-ES"/>
        </w:rPr>
      </w:pPr>
    </w:p>
    <w:p w14:paraId="3431FFED" w14:textId="1AEDCAD3" w:rsidR="00E15E29" w:rsidRDefault="00E15E29" w:rsidP="00796137">
      <w:pPr>
        <w:spacing w:after="0" w:line="240" w:lineRule="auto"/>
        <w:jc w:val="both"/>
        <w:rPr>
          <w:rFonts w:ascii="Arial" w:hAnsi="Arial" w:cs="Arial"/>
          <w:lang w:val="es-ES"/>
        </w:rPr>
      </w:pPr>
      <w:r>
        <w:rPr>
          <w:rFonts w:ascii="Arial" w:hAnsi="Arial" w:cs="Arial"/>
          <w:lang w:val="es-ES"/>
        </w:rPr>
        <w:t xml:space="preserve">No obstante, </w:t>
      </w:r>
      <w:r w:rsidRPr="00E15E29">
        <w:rPr>
          <w:rFonts w:ascii="Arial" w:hAnsi="Arial" w:cs="Arial"/>
          <w:lang w:val="es-ES"/>
        </w:rPr>
        <w:t xml:space="preserve">la </w:t>
      </w:r>
      <w:r w:rsidRPr="006A6507">
        <w:rPr>
          <w:rFonts w:ascii="Arial" w:hAnsi="Arial" w:cs="Arial"/>
          <w:i/>
          <w:iCs/>
          <w:lang w:val="es-ES"/>
        </w:rPr>
        <w:t>“Política de Gestión de la Continuidad del Servicio”</w:t>
      </w:r>
      <w:r w:rsidRPr="00E15E29">
        <w:rPr>
          <w:rFonts w:ascii="Arial" w:hAnsi="Arial" w:cs="Arial"/>
          <w:lang w:val="es-ES"/>
        </w:rPr>
        <w:t xml:space="preserve"> del Poder Judicial </w:t>
      </w:r>
      <w:r>
        <w:rPr>
          <w:rFonts w:ascii="Arial" w:hAnsi="Arial" w:cs="Arial"/>
          <w:lang w:val="es-ES"/>
        </w:rPr>
        <w:t xml:space="preserve">fue </w:t>
      </w:r>
      <w:r w:rsidRPr="00E15E29">
        <w:rPr>
          <w:rFonts w:ascii="Arial" w:hAnsi="Arial" w:cs="Arial"/>
          <w:lang w:val="es-ES"/>
        </w:rPr>
        <w:t xml:space="preserve">aprobada por la Corte Plena </w:t>
      </w:r>
      <w:r>
        <w:rPr>
          <w:rFonts w:ascii="Arial" w:hAnsi="Arial" w:cs="Arial"/>
          <w:lang w:val="es-ES"/>
        </w:rPr>
        <w:t>hasta la</w:t>
      </w:r>
      <w:r w:rsidRPr="00E15E29">
        <w:rPr>
          <w:rFonts w:ascii="Arial" w:hAnsi="Arial" w:cs="Arial"/>
          <w:lang w:val="es-ES"/>
        </w:rPr>
        <w:t xml:space="preserve"> sesión 01-2024 celebrada el 15 de enero de 2024, artículo L</w:t>
      </w:r>
      <w:r>
        <w:rPr>
          <w:rFonts w:ascii="Arial" w:hAnsi="Arial" w:cs="Arial"/>
          <w:lang w:val="es-ES"/>
        </w:rPr>
        <w:t xml:space="preserve">; de manera que hasta este momento se tenía pendiente la ejecución del acuerdo del Comité del año 2022. </w:t>
      </w:r>
    </w:p>
    <w:p w14:paraId="77F09EDD" w14:textId="77777777" w:rsidR="00E15E29" w:rsidRDefault="00E15E29" w:rsidP="00796137">
      <w:pPr>
        <w:spacing w:after="0" w:line="240" w:lineRule="auto"/>
        <w:jc w:val="both"/>
        <w:rPr>
          <w:rFonts w:ascii="Arial" w:hAnsi="Arial" w:cs="Arial"/>
          <w:lang w:val="es-ES"/>
        </w:rPr>
      </w:pPr>
    </w:p>
    <w:p w14:paraId="0414D61D" w14:textId="0633BB4E" w:rsidR="00E15E29" w:rsidRDefault="00E15E29" w:rsidP="00796137">
      <w:pPr>
        <w:spacing w:after="0" w:line="240" w:lineRule="auto"/>
        <w:jc w:val="both"/>
        <w:rPr>
          <w:rFonts w:ascii="Arial" w:hAnsi="Arial" w:cs="Arial"/>
          <w:lang w:val="es-ES"/>
        </w:rPr>
      </w:pPr>
      <w:r>
        <w:rPr>
          <w:rFonts w:ascii="Arial" w:hAnsi="Arial" w:cs="Arial"/>
          <w:lang w:val="es-ES"/>
        </w:rPr>
        <w:t>En cumplimiento de lo indicado se informa que</w:t>
      </w:r>
      <w:r w:rsidR="006A6507">
        <w:rPr>
          <w:rFonts w:ascii="Arial" w:hAnsi="Arial" w:cs="Arial"/>
          <w:lang w:val="es-ES"/>
        </w:rPr>
        <w:t>,</w:t>
      </w:r>
      <w:r>
        <w:rPr>
          <w:rFonts w:ascii="Arial" w:hAnsi="Arial" w:cs="Arial"/>
          <w:lang w:val="es-ES"/>
        </w:rPr>
        <w:t xml:space="preserve"> </w:t>
      </w:r>
      <w:r w:rsidR="009B4478">
        <w:rPr>
          <w:rFonts w:ascii="Arial" w:hAnsi="Arial" w:cs="Arial"/>
          <w:lang w:val="es-ES"/>
        </w:rPr>
        <w:t xml:space="preserve">mediante cápsulas informativas tramitadas a través del Departamento de Prensa y Comunicación Organizacional, en los días </w:t>
      </w:r>
      <w:r w:rsidR="00826060">
        <w:rPr>
          <w:rFonts w:ascii="Arial" w:hAnsi="Arial" w:cs="Arial"/>
          <w:lang w:val="es-ES"/>
        </w:rPr>
        <w:t xml:space="preserve">21, 22 y 23 de febrero de 2024, </w:t>
      </w:r>
      <w:r w:rsidR="009B4478">
        <w:rPr>
          <w:rFonts w:ascii="Arial" w:hAnsi="Arial" w:cs="Arial"/>
          <w:lang w:val="es-ES"/>
        </w:rPr>
        <w:t>se divulg</w:t>
      </w:r>
      <w:r w:rsidR="006A6507">
        <w:rPr>
          <w:rFonts w:ascii="Arial" w:hAnsi="Arial" w:cs="Arial"/>
          <w:lang w:val="es-ES"/>
        </w:rPr>
        <w:t xml:space="preserve">ó </w:t>
      </w:r>
      <w:r w:rsidR="009B4478">
        <w:rPr>
          <w:rFonts w:ascii="Arial" w:hAnsi="Arial" w:cs="Arial"/>
          <w:lang w:val="es-ES"/>
        </w:rPr>
        <w:t>la siguiente</w:t>
      </w:r>
      <w:r w:rsidR="006A6507">
        <w:rPr>
          <w:rFonts w:ascii="Arial" w:hAnsi="Arial" w:cs="Arial"/>
          <w:lang w:val="es-ES"/>
        </w:rPr>
        <w:t xml:space="preserve"> información</w:t>
      </w:r>
      <w:r w:rsidR="009B4478">
        <w:rPr>
          <w:rFonts w:ascii="Arial" w:hAnsi="Arial" w:cs="Arial"/>
          <w:lang w:val="es-ES"/>
        </w:rPr>
        <w:t>:</w:t>
      </w:r>
    </w:p>
    <w:p w14:paraId="54AC9020" w14:textId="77777777" w:rsidR="00826060" w:rsidRDefault="00826060" w:rsidP="00796137">
      <w:pPr>
        <w:spacing w:after="0" w:line="240" w:lineRule="auto"/>
        <w:jc w:val="both"/>
        <w:rPr>
          <w:rFonts w:ascii="Arial" w:hAnsi="Arial" w:cs="Arial"/>
          <w:lang w:val="es-ES"/>
        </w:rPr>
      </w:pPr>
    </w:p>
    <w:p w14:paraId="7A11F7B2" w14:textId="201A4C0B" w:rsidR="00826060" w:rsidRDefault="00826060" w:rsidP="00826060">
      <w:pPr>
        <w:spacing w:after="0" w:line="240" w:lineRule="auto"/>
        <w:jc w:val="both"/>
        <w:rPr>
          <w:noProof/>
        </w:rPr>
      </w:pPr>
      <w:r w:rsidRPr="00826060">
        <w:rPr>
          <w:rFonts w:ascii="Arial" w:hAnsi="Arial" w:cs="Arial"/>
          <w:b/>
          <w:bCs/>
          <w:lang w:val="es-ES"/>
        </w:rPr>
        <w:t>Cápsula 1 publicada el 21 de febrero de 2024:</w:t>
      </w:r>
    </w:p>
    <w:p w14:paraId="607F4BA7" w14:textId="6A23CA3A" w:rsidR="00826060" w:rsidRDefault="00826060" w:rsidP="00826060">
      <w:pPr>
        <w:spacing w:after="0" w:line="240" w:lineRule="auto"/>
        <w:jc w:val="center"/>
        <w:rPr>
          <w:rFonts w:ascii="Arial" w:hAnsi="Arial" w:cs="Arial"/>
          <w:lang w:val="es-ES"/>
        </w:rPr>
      </w:pPr>
      <w:r>
        <w:rPr>
          <w:noProof/>
        </w:rPr>
        <w:drawing>
          <wp:inline distT="0" distB="0" distL="0" distR="0" wp14:anchorId="113E9A0B" wp14:editId="643519D7">
            <wp:extent cx="5098648" cy="2867773"/>
            <wp:effectExtent l="0" t="0" r="6985" b="8890"/>
            <wp:docPr id="995046307" name="Imagen 3"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46307" name="Imagen 3" descr="Diagrama&#10;&#10;Descripción generada automáticamente con confianza med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2083" cy="2869705"/>
                    </a:xfrm>
                    <a:prstGeom prst="rect">
                      <a:avLst/>
                    </a:prstGeom>
                    <a:noFill/>
                    <a:ln>
                      <a:noFill/>
                    </a:ln>
                  </pic:spPr>
                </pic:pic>
              </a:graphicData>
            </a:graphic>
          </wp:inline>
        </w:drawing>
      </w:r>
    </w:p>
    <w:p w14:paraId="272A3E71" w14:textId="77777777" w:rsidR="006A6507" w:rsidRDefault="006A6507" w:rsidP="00826060">
      <w:pPr>
        <w:spacing w:after="0" w:line="240" w:lineRule="auto"/>
        <w:jc w:val="both"/>
        <w:rPr>
          <w:rFonts w:ascii="Arial" w:hAnsi="Arial" w:cs="Arial"/>
          <w:b/>
          <w:bCs/>
          <w:lang w:val="es-ES"/>
        </w:rPr>
      </w:pPr>
    </w:p>
    <w:p w14:paraId="796BA7A4" w14:textId="09A557E9" w:rsidR="00826060" w:rsidRPr="00826060" w:rsidRDefault="00826060" w:rsidP="00826060">
      <w:pPr>
        <w:spacing w:after="0" w:line="240" w:lineRule="auto"/>
        <w:jc w:val="both"/>
        <w:rPr>
          <w:rFonts w:ascii="Arial" w:hAnsi="Arial" w:cs="Arial"/>
          <w:b/>
          <w:bCs/>
          <w:lang w:val="es-ES"/>
        </w:rPr>
      </w:pPr>
      <w:r w:rsidRPr="00826060">
        <w:rPr>
          <w:rFonts w:ascii="Arial" w:hAnsi="Arial" w:cs="Arial"/>
          <w:b/>
          <w:bCs/>
          <w:lang w:val="es-ES"/>
        </w:rPr>
        <w:lastRenderedPageBreak/>
        <w:t xml:space="preserve">Cápsula </w:t>
      </w:r>
      <w:r>
        <w:rPr>
          <w:rFonts w:ascii="Arial" w:hAnsi="Arial" w:cs="Arial"/>
          <w:b/>
          <w:bCs/>
          <w:lang w:val="es-ES"/>
        </w:rPr>
        <w:t>2</w:t>
      </w:r>
      <w:r w:rsidRPr="00826060">
        <w:rPr>
          <w:rFonts w:ascii="Arial" w:hAnsi="Arial" w:cs="Arial"/>
          <w:b/>
          <w:bCs/>
          <w:lang w:val="es-ES"/>
        </w:rPr>
        <w:t xml:space="preserve"> publicada el 2</w:t>
      </w:r>
      <w:r>
        <w:rPr>
          <w:rFonts w:ascii="Arial" w:hAnsi="Arial" w:cs="Arial"/>
          <w:b/>
          <w:bCs/>
          <w:lang w:val="es-ES"/>
        </w:rPr>
        <w:t>2</w:t>
      </w:r>
      <w:r w:rsidRPr="00826060">
        <w:rPr>
          <w:rFonts w:ascii="Arial" w:hAnsi="Arial" w:cs="Arial"/>
          <w:b/>
          <w:bCs/>
          <w:lang w:val="es-ES"/>
        </w:rPr>
        <w:t xml:space="preserve"> de febrero de 2024:</w:t>
      </w:r>
    </w:p>
    <w:p w14:paraId="0147FB01" w14:textId="426FC751" w:rsidR="00826060" w:rsidRDefault="00826060" w:rsidP="00826060">
      <w:pPr>
        <w:spacing w:after="0" w:line="240" w:lineRule="auto"/>
        <w:jc w:val="center"/>
        <w:rPr>
          <w:rFonts w:ascii="Arial" w:hAnsi="Arial" w:cs="Arial"/>
          <w:lang w:val="es-ES"/>
        </w:rPr>
      </w:pPr>
      <w:r>
        <w:rPr>
          <w:noProof/>
        </w:rPr>
        <w:drawing>
          <wp:inline distT="0" distB="0" distL="0" distR="0" wp14:anchorId="014C2649" wp14:editId="3D9DA7A4">
            <wp:extent cx="4867154" cy="2737568"/>
            <wp:effectExtent l="0" t="0" r="0" b="5715"/>
            <wp:docPr id="200316246"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6246" name="Imagen 4" descr="Diagrama&#10;&#10;Descripción generada automá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4200" cy="2741531"/>
                    </a:xfrm>
                    <a:prstGeom prst="rect">
                      <a:avLst/>
                    </a:prstGeom>
                    <a:noFill/>
                    <a:ln>
                      <a:noFill/>
                    </a:ln>
                  </pic:spPr>
                </pic:pic>
              </a:graphicData>
            </a:graphic>
          </wp:inline>
        </w:drawing>
      </w:r>
    </w:p>
    <w:p w14:paraId="4B273ADA" w14:textId="77777777" w:rsidR="00826060" w:rsidRDefault="00826060" w:rsidP="00826060">
      <w:pPr>
        <w:spacing w:after="0" w:line="240" w:lineRule="auto"/>
        <w:jc w:val="center"/>
        <w:rPr>
          <w:rFonts w:ascii="Arial" w:hAnsi="Arial" w:cs="Arial"/>
          <w:lang w:val="es-ES"/>
        </w:rPr>
      </w:pPr>
    </w:p>
    <w:p w14:paraId="6C248DD3" w14:textId="3F8EF999" w:rsidR="00826060" w:rsidRPr="00826060" w:rsidRDefault="00826060" w:rsidP="00826060">
      <w:pPr>
        <w:spacing w:after="0" w:line="240" w:lineRule="auto"/>
        <w:jc w:val="both"/>
        <w:rPr>
          <w:rFonts w:ascii="Arial" w:hAnsi="Arial" w:cs="Arial"/>
          <w:b/>
          <w:bCs/>
          <w:lang w:val="es-ES"/>
        </w:rPr>
      </w:pPr>
      <w:r w:rsidRPr="00826060">
        <w:rPr>
          <w:rFonts w:ascii="Arial" w:hAnsi="Arial" w:cs="Arial"/>
          <w:b/>
          <w:bCs/>
          <w:lang w:val="es-ES"/>
        </w:rPr>
        <w:t xml:space="preserve">Cápsula </w:t>
      </w:r>
      <w:r>
        <w:rPr>
          <w:rFonts w:ascii="Arial" w:hAnsi="Arial" w:cs="Arial"/>
          <w:b/>
          <w:bCs/>
          <w:lang w:val="es-ES"/>
        </w:rPr>
        <w:t>3</w:t>
      </w:r>
      <w:r w:rsidRPr="00826060">
        <w:rPr>
          <w:rFonts w:ascii="Arial" w:hAnsi="Arial" w:cs="Arial"/>
          <w:b/>
          <w:bCs/>
          <w:lang w:val="es-ES"/>
        </w:rPr>
        <w:t xml:space="preserve"> publicada el 2</w:t>
      </w:r>
      <w:r>
        <w:rPr>
          <w:rFonts w:ascii="Arial" w:hAnsi="Arial" w:cs="Arial"/>
          <w:b/>
          <w:bCs/>
          <w:lang w:val="es-ES"/>
        </w:rPr>
        <w:t>3</w:t>
      </w:r>
      <w:r w:rsidRPr="00826060">
        <w:rPr>
          <w:rFonts w:ascii="Arial" w:hAnsi="Arial" w:cs="Arial"/>
          <w:b/>
          <w:bCs/>
          <w:lang w:val="es-ES"/>
        </w:rPr>
        <w:t xml:space="preserve"> de febrero de 2024:</w:t>
      </w:r>
    </w:p>
    <w:p w14:paraId="7BC5B0FD" w14:textId="77777777" w:rsidR="00826060" w:rsidRDefault="00826060" w:rsidP="00826060">
      <w:pPr>
        <w:spacing w:after="0" w:line="240" w:lineRule="auto"/>
        <w:jc w:val="center"/>
        <w:rPr>
          <w:rFonts w:ascii="Arial" w:hAnsi="Arial" w:cs="Arial"/>
          <w:lang w:val="es-ES"/>
        </w:rPr>
      </w:pPr>
    </w:p>
    <w:p w14:paraId="62D58A8C" w14:textId="2471B585" w:rsidR="00826060" w:rsidRDefault="00826060" w:rsidP="00826060">
      <w:pPr>
        <w:spacing w:after="0" w:line="240" w:lineRule="auto"/>
        <w:jc w:val="center"/>
        <w:rPr>
          <w:rFonts w:ascii="Arial" w:hAnsi="Arial" w:cs="Arial"/>
          <w:lang w:val="es-ES"/>
        </w:rPr>
      </w:pPr>
      <w:r>
        <w:rPr>
          <w:noProof/>
        </w:rPr>
        <w:drawing>
          <wp:inline distT="0" distB="0" distL="0" distR="0" wp14:anchorId="68D895B9" wp14:editId="036465AF">
            <wp:extent cx="4896091" cy="2753843"/>
            <wp:effectExtent l="0" t="0" r="0" b="8890"/>
            <wp:docPr id="1813136071" name="Imagen 5"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36071" name="Imagen 5" descr="Interfaz de usuario gráfica, Texto&#10;&#10;Descripción generada automátic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06602" cy="2759755"/>
                    </a:xfrm>
                    <a:prstGeom prst="rect">
                      <a:avLst/>
                    </a:prstGeom>
                    <a:noFill/>
                    <a:ln>
                      <a:noFill/>
                    </a:ln>
                  </pic:spPr>
                </pic:pic>
              </a:graphicData>
            </a:graphic>
          </wp:inline>
        </w:drawing>
      </w:r>
    </w:p>
    <w:p w14:paraId="4B6ADE47" w14:textId="77777777" w:rsidR="009B4478" w:rsidRDefault="009B4478" w:rsidP="00796137">
      <w:pPr>
        <w:spacing w:after="0" w:line="240" w:lineRule="auto"/>
        <w:jc w:val="both"/>
        <w:rPr>
          <w:rFonts w:ascii="Arial" w:hAnsi="Arial" w:cs="Arial"/>
          <w:lang w:val="es-ES"/>
        </w:rPr>
      </w:pPr>
    </w:p>
    <w:p w14:paraId="2BED67D7" w14:textId="2C982972" w:rsidR="009B4478" w:rsidRDefault="00826060" w:rsidP="00796137">
      <w:pPr>
        <w:spacing w:after="0" w:line="240" w:lineRule="auto"/>
        <w:jc w:val="both"/>
        <w:rPr>
          <w:rFonts w:ascii="Arial" w:hAnsi="Arial" w:cs="Arial"/>
          <w:lang w:val="es-ES"/>
        </w:rPr>
      </w:pPr>
      <w:r>
        <w:rPr>
          <w:rFonts w:ascii="Arial" w:hAnsi="Arial" w:cs="Arial"/>
          <w:lang w:val="es-ES"/>
        </w:rPr>
        <w:t>Asimismo, la Política fue divulgada a toda la población judicial mediante la Circular 25-2024 de la Secretaría General de la Corte, publicada el 9 de febrero de 2024.</w:t>
      </w:r>
    </w:p>
    <w:p w14:paraId="4AE778F8" w14:textId="77777777" w:rsidR="00E15E29" w:rsidRDefault="00E15E29" w:rsidP="00796137">
      <w:pPr>
        <w:spacing w:after="0" w:line="240" w:lineRule="auto"/>
        <w:jc w:val="both"/>
        <w:rPr>
          <w:rFonts w:ascii="Arial" w:hAnsi="Arial" w:cs="Arial"/>
          <w:lang w:val="es-ES"/>
        </w:rPr>
      </w:pPr>
    </w:p>
    <w:p w14:paraId="74ED82DB" w14:textId="240D77E2" w:rsidR="001343D5" w:rsidRPr="001343D5" w:rsidRDefault="001343D5" w:rsidP="001343D5">
      <w:pPr>
        <w:pStyle w:val="Prrafodelista"/>
        <w:numPr>
          <w:ilvl w:val="0"/>
          <w:numId w:val="25"/>
        </w:numPr>
        <w:rPr>
          <w:rFonts w:ascii="Arial" w:hAnsi="Arial" w:cs="Arial"/>
          <w:b/>
          <w:bCs/>
        </w:rPr>
      </w:pPr>
      <w:r w:rsidRPr="001343D5">
        <w:rPr>
          <w:rFonts w:ascii="Arial" w:hAnsi="Arial" w:cs="Arial"/>
          <w:b/>
          <w:bCs/>
        </w:rPr>
        <w:t>“Informe de Actualización del Análisis de Impacto al Servicio del Poder Judicial”</w:t>
      </w:r>
    </w:p>
    <w:p w14:paraId="188A10AA" w14:textId="77777777" w:rsidR="003B1FBC" w:rsidRDefault="003B1FBC" w:rsidP="00796137">
      <w:pPr>
        <w:widowControl w:val="0"/>
        <w:autoSpaceDE w:val="0"/>
        <w:autoSpaceDN w:val="0"/>
        <w:adjustRightInd w:val="0"/>
        <w:spacing w:after="0" w:line="240" w:lineRule="auto"/>
        <w:ind w:right="142"/>
        <w:jc w:val="both"/>
        <w:rPr>
          <w:rFonts w:ascii="Arial" w:hAnsi="Arial" w:cs="Arial"/>
          <w:lang w:val="es-ES"/>
        </w:rPr>
      </w:pPr>
    </w:p>
    <w:p w14:paraId="7C9120E1" w14:textId="0EDD9CD7" w:rsidR="00826060" w:rsidRDefault="00636623" w:rsidP="00796137">
      <w:pPr>
        <w:widowControl w:val="0"/>
        <w:autoSpaceDE w:val="0"/>
        <w:autoSpaceDN w:val="0"/>
        <w:adjustRightInd w:val="0"/>
        <w:spacing w:after="0" w:line="240" w:lineRule="auto"/>
        <w:ind w:right="142"/>
        <w:jc w:val="both"/>
        <w:rPr>
          <w:rFonts w:ascii="Arial" w:hAnsi="Arial" w:cs="Arial"/>
          <w:lang w:val="es-ES"/>
        </w:rPr>
      </w:pPr>
      <w:r>
        <w:rPr>
          <w:rFonts w:ascii="Arial" w:hAnsi="Arial" w:cs="Arial"/>
          <w:lang w:val="es-ES"/>
        </w:rPr>
        <w:t>Por otra parte, e</w:t>
      </w:r>
      <w:r w:rsidRPr="00636623">
        <w:rPr>
          <w:rFonts w:ascii="Arial" w:hAnsi="Arial" w:cs="Arial"/>
          <w:lang w:val="es-ES"/>
        </w:rPr>
        <w:t xml:space="preserve">n la sesión del Comité Técnico de Continuidad del Servicio del Poder Judicial, número 01-2024, celebrada el 23 de enero del presente año, artículo I, se conoció </w:t>
      </w:r>
      <w:r w:rsidRPr="00636623">
        <w:rPr>
          <w:rFonts w:ascii="Arial" w:hAnsi="Arial" w:cs="Arial"/>
          <w:lang w:val="es-ES"/>
        </w:rPr>
        <w:lastRenderedPageBreak/>
        <w:t xml:space="preserve">y aprobó el </w:t>
      </w:r>
      <w:r w:rsidRPr="006A6507">
        <w:rPr>
          <w:rFonts w:ascii="Arial" w:hAnsi="Arial" w:cs="Arial"/>
          <w:i/>
          <w:iCs/>
          <w:lang w:val="es-ES"/>
        </w:rPr>
        <w:t>“Informe de Actualización del Análisis de Impacto al Servicio del Poder Judicial”.</w:t>
      </w:r>
      <w:r>
        <w:rPr>
          <w:rFonts w:ascii="Arial" w:hAnsi="Arial" w:cs="Arial"/>
          <w:lang w:val="es-ES"/>
        </w:rPr>
        <w:t xml:space="preserve"> A su vez, este fue conocido y aprobado por el Consejo Superior en la sesión </w:t>
      </w:r>
      <w:r w:rsidRPr="00636623">
        <w:rPr>
          <w:rFonts w:ascii="Arial" w:hAnsi="Arial" w:cs="Arial"/>
          <w:lang w:val="es-ES"/>
        </w:rPr>
        <w:t>09-2024 celebrada el 06 de febrero de 2024,</w:t>
      </w:r>
      <w:r>
        <w:rPr>
          <w:rFonts w:ascii="Arial" w:hAnsi="Arial" w:cs="Arial"/>
          <w:lang w:val="es-ES"/>
        </w:rPr>
        <w:t xml:space="preserve"> artículo XV. </w:t>
      </w:r>
    </w:p>
    <w:p w14:paraId="10CFA774" w14:textId="77777777" w:rsidR="006A6507" w:rsidRDefault="006A6507" w:rsidP="00796137">
      <w:pPr>
        <w:widowControl w:val="0"/>
        <w:autoSpaceDE w:val="0"/>
        <w:autoSpaceDN w:val="0"/>
        <w:adjustRightInd w:val="0"/>
        <w:spacing w:after="0" w:line="240" w:lineRule="auto"/>
        <w:ind w:right="142"/>
        <w:jc w:val="both"/>
        <w:rPr>
          <w:rFonts w:ascii="Arial" w:hAnsi="Arial" w:cs="Arial"/>
          <w:lang w:val="es-ES"/>
        </w:rPr>
      </w:pPr>
    </w:p>
    <w:p w14:paraId="09346152" w14:textId="1AAA42C1" w:rsidR="00636623" w:rsidRDefault="00636623" w:rsidP="00796137">
      <w:pPr>
        <w:widowControl w:val="0"/>
        <w:autoSpaceDE w:val="0"/>
        <w:autoSpaceDN w:val="0"/>
        <w:adjustRightInd w:val="0"/>
        <w:spacing w:after="0" w:line="240" w:lineRule="auto"/>
        <w:ind w:right="142"/>
        <w:jc w:val="both"/>
        <w:rPr>
          <w:rFonts w:ascii="Arial" w:hAnsi="Arial" w:cs="Arial"/>
          <w:lang w:val="es-ES"/>
        </w:rPr>
      </w:pPr>
      <w:r>
        <w:rPr>
          <w:rFonts w:ascii="Arial" w:hAnsi="Arial" w:cs="Arial"/>
          <w:lang w:val="es-ES"/>
        </w:rPr>
        <w:t xml:space="preserve">Mediante correo del </w:t>
      </w:r>
      <w:r w:rsidR="009215DA">
        <w:rPr>
          <w:rFonts w:ascii="Arial" w:hAnsi="Arial" w:cs="Arial"/>
          <w:lang w:val="es-ES"/>
        </w:rPr>
        <w:t xml:space="preserve">El </w:t>
      </w:r>
      <w:r w:rsidR="009215DA" w:rsidRPr="00636623">
        <w:rPr>
          <w:rFonts w:ascii="Arial" w:hAnsi="Arial" w:cs="Arial"/>
          <w:lang w:val="es-ES"/>
        </w:rPr>
        <w:t>Departamento de Prensa y Comunicación Organizacional</w:t>
      </w:r>
      <w:r w:rsidR="009215DA">
        <w:rPr>
          <w:rFonts w:ascii="Arial" w:hAnsi="Arial" w:cs="Arial"/>
          <w:lang w:val="es-ES"/>
        </w:rPr>
        <w:t xml:space="preserve"> </w:t>
      </w:r>
      <w:r>
        <w:rPr>
          <w:rFonts w:ascii="Arial" w:hAnsi="Arial" w:cs="Arial"/>
          <w:lang w:val="es-ES"/>
        </w:rPr>
        <w:t>del 20 de febrero de 2024,</w:t>
      </w:r>
      <w:r w:rsidR="00311BA1">
        <w:rPr>
          <w:rFonts w:ascii="Arial" w:hAnsi="Arial" w:cs="Arial"/>
          <w:lang w:val="es-ES"/>
        </w:rPr>
        <w:t xml:space="preserve"> el Subproceso de Gestión de la Continuidad y ese Departamento </w:t>
      </w:r>
      <w:r>
        <w:rPr>
          <w:rFonts w:ascii="Arial" w:hAnsi="Arial" w:cs="Arial"/>
          <w:lang w:val="es-ES"/>
        </w:rPr>
        <w:t>realiz</w:t>
      </w:r>
      <w:r w:rsidR="00311BA1">
        <w:rPr>
          <w:rFonts w:ascii="Arial" w:hAnsi="Arial" w:cs="Arial"/>
          <w:lang w:val="es-ES"/>
        </w:rPr>
        <w:t>aron</w:t>
      </w:r>
      <w:r>
        <w:rPr>
          <w:rFonts w:ascii="Arial" w:hAnsi="Arial" w:cs="Arial"/>
          <w:lang w:val="es-ES"/>
        </w:rPr>
        <w:t xml:space="preserve"> divulgación de este informe, con el siguiente contenido: </w:t>
      </w:r>
    </w:p>
    <w:p w14:paraId="05893FC4" w14:textId="77777777" w:rsidR="00636623" w:rsidRDefault="00636623" w:rsidP="00796137">
      <w:pPr>
        <w:widowControl w:val="0"/>
        <w:autoSpaceDE w:val="0"/>
        <w:autoSpaceDN w:val="0"/>
        <w:adjustRightInd w:val="0"/>
        <w:spacing w:after="0" w:line="240" w:lineRule="auto"/>
        <w:ind w:right="142"/>
        <w:jc w:val="both"/>
        <w:rPr>
          <w:rFonts w:ascii="Arial" w:hAnsi="Arial" w:cs="Arial"/>
          <w:lang w:val="es-ES"/>
        </w:rPr>
      </w:pPr>
    </w:p>
    <w:p w14:paraId="7A3BF78B" w14:textId="278AC49B" w:rsidR="009215DA" w:rsidRDefault="009215DA" w:rsidP="00796137">
      <w:pPr>
        <w:widowControl w:val="0"/>
        <w:autoSpaceDE w:val="0"/>
        <w:autoSpaceDN w:val="0"/>
        <w:adjustRightInd w:val="0"/>
        <w:spacing w:after="0" w:line="240" w:lineRule="auto"/>
        <w:ind w:right="142"/>
        <w:jc w:val="both"/>
        <w:rPr>
          <w:rFonts w:ascii="Arial" w:hAnsi="Arial" w:cs="Arial"/>
          <w:lang w:val="es-ES"/>
        </w:rPr>
      </w:pPr>
      <w:r>
        <w:rPr>
          <w:noProof/>
        </w:rPr>
        <w:drawing>
          <wp:inline distT="0" distB="0" distL="0" distR="0" wp14:anchorId="11A525D5" wp14:editId="2A819A5B">
            <wp:extent cx="5612130" cy="528955"/>
            <wp:effectExtent l="0" t="0" r="7620" b="4445"/>
            <wp:docPr id="1787075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75211" name=""/>
                    <pic:cNvPicPr/>
                  </pic:nvPicPr>
                  <pic:blipFill>
                    <a:blip r:embed="rId23"/>
                    <a:stretch>
                      <a:fillRect/>
                    </a:stretch>
                  </pic:blipFill>
                  <pic:spPr>
                    <a:xfrm>
                      <a:off x="0" y="0"/>
                      <a:ext cx="5612130" cy="528955"/>
                    </a:xfrm>
                    <a:prstGeom prst="rect">
                      <a:avLst/>
                    </a:prstGeom>
                  </pic:spPr>
                </pic:pic>
              </a:graphicData>
            </a:graphic>
          </wp:inline>
        </w:drawing>
      </w:r>
    </w:p>
    <w:p w14:paraId="62AC250C" w14:textId="0A525B9B" w:rsidR="00636623" w:rsidRDefault="00636623" w:rsidP="00636623">
      <w:pPr>
        <w:widowControl w:val="0"/>
        <w:autoSpaceDE w:val="0"/>
        <w:autoSpaceDN w:val="0"/>
        <w:adjustRightInd w:val="0"/>
        <w:spacing w:after="0" w:line="240" w:lineRule="auto"/>
        <w:ind w:right="142"/>
        <w:jc w:val="center"/>
        <w:rPr>
          <w:rFonts w:ascii="Arial" w:hAnsi="Arial" w:cs="Arial"/>
          <w:lang w:val="es-ES"/>
        </w:rPr>
      </w:pPr>
      <w:r>
        <w:rPr>
          <w:rFonts w:ascii="Arial" w:hAnsi="Arial" w:cs="Arial"/>
          <w:noProof/>
          <w:lang w:val="es-ES"/>
        </w:rPr>
        <w:drawing>
          <wp:inline distT="0" distB="0" distL="0" distR="0" wp14:anchorId="23455387" wp14:editId="7B90DC4C">
            <wp:extent cx="3758919" cy="5184476"/>
            <wp:effectExtent l="0" t="0" r="0" b="0"/>
            <wp:docPr id="201122636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2378" cy="5216832"/>
                    </a:xfrm>
                    <a:prstGeom prst="rect">
                      <a:avLst/>
                    </a:prstGeom>
                    <a:noFill/>
                  </pic:spPr>
                </pic:pic>
              </a:graphicData>
            </a:graphic>
          </wp:inline>
        </w:drawing>
      </w:r>
    </w:p>
    <w:p w14:paraId="5103867E" w14:textId="77777777" w:rsidR="00636623" w:rsidRDefault="00636623" w:rsidP="00796137">
      <w:pPr>
        <w:widowControl w:val="0"/>
        <w:autoSpaceDE w:val="0"/>
        <w:autoSpaceDN w:val="0"/>
        <w:adjustRightInd w:val="0"/>
        <w:spacing w:after="0" w:line="240" w:lineRule="auto"/>
        <w:ind w:right="142"/>
        <w:jc w:val="both"/>
        <w:rPr>
          <w:rFonts w:ascii="Arial" w:hAnsi="Arial" w:cs="Arial"/>
          <w:lang w:val="es-ES"/>
        </w:rPr>
      </w:pPr>
    </w:p>
    <w:p w14:paraId="597BD096" w14:textId="33E67E3C" w:rsidR="00636623" w:rsidRDefault="009215DA" w:rsidP="00796137">
      <w:pPr>
        <w:widowControl w:val="0"/>
        <w:autoSpaceDE w:val="0"/>
        <w:autoSpaceDN w:val="0"/>
        <w:adjustRightInd w:val="0"/>
        <w:spacing w:after="0" w:line="240" w:lineRule="auto"/>
        <w:ind w:right="142"/>
        <w:jc w:val="both"/>
        <w:rPr>
          <w:rFonts w:ascii="Arial" w:hAnsi="Arial" w:cs="Arial"/>
          <w:lang w:val="es-ES"/>
        </w:rPr>
      </w:pPr>
      <w:r>
        <w:rPr>
          <w:rFonts w:ascii="Arial" w:hAnsi="Arial" w:cs="Arial"/>
          <w:lang w:val="es-ES"/>
        </w:rPr>
        <w:t xml:space="preserve">Además, </w:t>
      </w:r>
      <w:r w:rsidR="00636623">
        <w:rPr>
          <w:rFonts w:ascii="Arial" w:hAnsi="Arial" w:cs="Arial"/>
          <w:lang w:val="es-ES"/>
        </w:rPr>
        <w:t xml:space="preserve">mediante nota divulgada el 28 de febrero de 2024, </w:t>
      </w:r>
      <w:r>
        <w:rPr>
          <w:rFonts w:ascii="Arial" w:hAnsi="Arial" w:cs="Arial"/>
          <w:lang w:val="es-ES"/>
        </w:rPr>
        <w:t xml:space="preserve">se </w:t>
      </w:r>
      <w:r w:rsidR="00636623">
        <w:rPr>
          <w:rFonts w:ascii="Arial" w:hAnsi="Arial" w:cs="Arial"/>
          <w:lang w:val="es-ES"/>
        </w:rPr>
        <w:t>hizo un comunicado a toda la población judicial en relación con la importan</w:t>
      </w:r>
      <w:r w:rsidR="006A6507">
        <w:rPr>
          <w:rFonts w:ascii="Arial" w:hAnsi="Arial" w:cs="Arial"/>
          <w:lang w:val="es-ES"/>
        </w:rPr>
        <w:t xml:space="preserve">cia </w:t>
      </w:r>
      <w:r w:rsidR="00636623">
        <w:rPr>
          <w:rFonts w:ascii="Arial" w:hAnsi="Arial" w:cs="Arial"/>
          <w:lang w:val="es-ES"/>
        </w:rPr>
        <w:t>de este informe:</w:t>
      </w:r>
    </w:p>
    <w:p w14:paraId="6EF8DCA0" w14:textId="6B89452C" w:rsidR="00636623" w:rsidRDefault="009215DA" w:rsidP="006A6507">
      <w:pPr>
        <w:widowControl w:val="0"/>
        <w:autoSpaceDE w:val="0"/>
        <w:autoSpaceDN w:val="0"/>
        <w:adjustRightInd w:val="0"/>
        <w:spacing w:after="0" w:line="240" w:lineRule="auto"/>
        <w:ind w:right="142"/>
        <w:jc w:val="center"/>
        <w:rPr>
          <w:rFonts w:ascii="Arial" w:hAnsi="Arial" w:cs="Arial"/>
          <w:lang w:val="es-ES"/>
        </w:rPr>
      </w:pPr>
      <w:r>
        <w:rPr>
          <w:noProof/>
        </w:rPr>
        <w:lastRenderedPageBreak/>
        <w:drawing>
          <wp:inline distT="0" distB="0" distL="0" distR="0" wp14:anchorId="0C2F8EE4" wp14:editId="063EE6B7">
            <wp:extent cx="5493715" cy="2873664"/>
            <wp:effectExtent l="0" t="0" r="0" b="3175"/>
            <wp:docPr id="163553994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39941" name="Imagen 1" descr="Texto&#10;&#10;Descripción generada automáticamente"/>
                    <pic:cNvPicPr/>
                  </pic:nvPicPr>
                  <pic:blipFill>
                    <a:blip r:embed="rId25"/>
                    <a:stretch>
                      <a:fillRect/>
                    </a:stretch>
                  </pic:blipFill>
                  <pic:spPr>
                    <a:xfrm>
                      <a:off x="0" y="0"/>
                      <a:ext cx="5498665" cy="2876253"/>
                    </a:xfrm>
                    <a:prstGeom prst="rect">
                      <a:avLst/>
                    </a:prstGeom>
                  </pic:spPr>
                </pic:pic>
              </a:graphicData>
            </a:graphic>
          </wp:inline>
        </w:drawing>
      </w:r>
    </w:p>
    <w:p w14:paraId="69ECF8B6" w14:textId="77777777" w:rsidR="00636623" w:rsidRDefault="00636623" w:rsidP="00796137">
      <w:pPr>
        <w:widowControl w:val="0"/>
        <w:autoSpaceDE w:val="0"/>
        <w:autoSpaceDN w:val="0"/>
        <w:adjustRightInd w:val="0"/>
        <w:spacing w:after="0" w:line="240" w:lineRule="auto"/>
        <w:ind w:right="142"/>
        <w:jc w:val="both"/>
        <w:rPr>
          <w:rFonts w:ascii="Arial" w:hAnsi="Arial" w:cs="Arial"/>
          <w:lang w:val="es-ES"/>
        </w:rPr>
      </w:pPr>
    </w:p>
    <w:p w14:paraId="45187C84" w14:textId="0270DE24" w:rsidR="00636623" w:rsidRPr="001343D5" w:rsidRDefault="001343D5" w:rsidP="001343D5">
      <w:pPr>
        <w:pStyle w:val="Prrafodelista"/>
        <w:numPr>
          <w:ilvl w:val="0"/>
          <w:numId w:val="25"/>
        </w:numPr>
        <w:ind w:right="142"/>
        <w:rPr>
          <w:rFonts w:ascii="Arial" w:hAnsi="Arial" w:cs="Arial"/>
          <w:b/>
          <w:bCs/>
          <w:lang w:val="es-CR"/>
        </w:rPr>
      </w:pPr>
      <w:r w:rsidRPr="001343D5">
        <w:rPr>
          <w:rFonts w:ascii="Arial" w:hAnsi="Arial" w:cs="Arial"/>
          <w:b/>
          <w:bCs/>
          <w:lang w:val="es-CR"/>
        </w:rPr>
        <w:t>“</w:t>
      </w:r>
      <w:r w:rsidR="005A534D" w:rsidRPr="005A534D">
        <w:rPr>
          <w:rFonts w:ascii="Arial" w:hAnsi="Arial" w:cs="Arial"/>
          <w:b/>
          <w:bCs/>
          <w:lang w:val="es-CR"/>
        </w:rPr>
        <w:t>Actualización de Análisis de Riesgos de Continuidad del Servicio del Poder Judicial</w:t>
      </w:r>
      <w:r w:rsidRPr="001343D5">
        <w:rPr>
          <w:rFonts w:ascii="Arial" w:hAnsi="Arial" w:cs="Arial"/>
          <w:b/>
          <w:bCs/>
          <w:lang w:val="es-CR"/>
        </w:rPr>
        <w:t>”</w:t>
      </w:r>
    </w:p>
    <w:p w14:paraId="6BE599FD" w14:textId="77777777" w:rsidR="009215DA" w:rsidRDefault="009215DA" w:rsidP="00796137">
      <w:pPr>
        <w:widowControl w:val="0"/>
        <w:autoSpaceDE w:val="0"/>
        <w:autoSpaceDN w:val="0"/>
        <w:adjustRightInd w:val="0"/>
        <w:spacing w:after="0" w:line="240" w:lineRule="auto"/>
        <w:ind w:right="142"/>
        <w:jc w:val="both"/>
        <w:rPr>
          <w:rFonts w:ascii="Arial" w:hAnsi="Arial" w:cs="Arial"/>
          <w:lang w:val="es-ES"/>
        </w:rPr>
      </w:pPr>
    </w:p>
    <w:p w14:paraId="40823AE7" w14:textId="749DA464" w:rsidR="009215DA" w:rsidRDefault="001343D5" w:rsidP="005A534D">
      <w:pPr>
        <w:widowControl w:val="0"/>
        <w:tabs>
          <w:tab w:val="left" w:pos="8789"/>
        </w:tabs>
        <w:autoSpaceDE w:val="0"/>
        <w:autoSpaceDN w:val="0"/>
        <w:adjustRightInd w:val="0"/>
        <w:spacing w:after="0" w:line="240" w:lineRule="auto"/>
        <w:ind w:right="49"/>
        <w:jc w:val="both"/>
        <w:rPr>
          <w:rFonts w:ascii="Arial" w:hAnsi="Arial" w:cs="Arial"/>
          <w:lang w:val="es-ES"/>
        </w:rPr>
      </w:pPr>
      <w:r>
        <w:rPr>
          <w:rFonts w:ascii="Arial" w:hAnsi="Arial" w:cs="Arial"/>
          <w:lang w:val="es-ES"/>
        </w:rPr>
        <w:t xml:space="preserve">Este informe fue aprobado por el Consejo Superior en la sesión 09-2024 celebrada el 6 de febrero de 2024, artículo XVIII. </w:t>
      </w:r>
    </w:p>
    <w:p w14:paraId="6945A675" w14:textId="77777777" w:rsidR="001343D5" w:rsidRDefault="001343D5" w:rsidP="005A534D">
      <w:pPr>
        <w:widowControl w:val="0"/>
        <w:tabs>
          <w:tab w:val="left" w:pos="8789"/>
        </w:tabs>
        <w:autoSpaceDE w:val="0"/>
        <w:autoSpaceDN w:val="0"/>
        <w:adjustRightInd w:val="0"/>
        <w:spacing w:after="0" w:line="240" w:lineRule="auto"/>
        <w:ind w:right="49"/>
        <w:jc w:val="both"/>
        <w:rPr>
          <w:rFonts w:ascii="Arial" w:hAnsi="Arial" w:cs="Arial"/>
          <w:lang w:val="es-ES"/>
        </w:rPr>
      </w:pPr>
    </w:p>
    <w:p w14:paraId="6AE34CF7" w14:textId="52BD46F7" w:rsidR="001343D5" w:rsidRDefault="001343D5" w:rsidP="005A534D">
      <w:pPr>
        <w:widowControl w:val="0"/>
        <w:tabs>
          <w:tab w:val="left" w:pos="8789"/>
        </w:tabs>
        <w:autoSpaceDE w:val="0"/>
        <w:autoSpaceDN w:val="0"/>
        <w:adjustRightInd w:val="0"/>
        <w:spacing w:after="0" w:line="240" w:lineRule="auto"/>
        <w:ind w:right="49"/>
        <w:jc w:val="both"/>
        <w:rPr>
          <w:rFonts w:ascii="Arial" w:hAnsi="Arial" w:cs="Arial"/>
          <w:lang w:val="es-ES"/>
        </w:rPr>
      </w:pPr>
      <w:r>
        <w:rPr>
          <w:rFonts w:ascii="Arial" w:hAnsi="Arial" w:cs="Arial"/>
          <w:lang w:val="es-ES"/>
        </w:rPr>
        <w:t>Mediante la Circular 34-2024 de la Secretaría General de la Corte, publicada el 19 de febrero de 2024, se comunicó a todo el personal judicial como una a</w:t>
      </w:r>
      <w:r w:rsidRPr="001343D5">
        <w:rPr>
          <w:rFonts w:ascii="Arial" w:hAnsi="Arial" w:cs="Arial"/>
          <w:lang w:val="es-ES"/>
        </w:rPr>
        <w:t>dición a la Circular N°264-2023 “Portafolio y Estructura de Riesgos Institucional, versión 2023”</w:t>
      </w:r>
      <w:r>
        <w:rPr>
          <w:rFonts w:ascii="Arial" w:hAnsi="Arial" w:cs="Arial"/>
          <w:lang w:val="es-ES"/>
        </w:rPr>
        <w:t xml:space="preserve">, dando énfasis a que </w:t>
      </w:r>
      <w:r w:rsidRPr="001343D5">
        <w:rPr>
          <w:rFonts w:ascii="Arial" w:hAnsi="Arial" w:cs="Arial"/>
          <w:i/>
          <w:iCs/>
          <w:lang w:val="es-ES"/>
        </w:rPr>
        <w:t>“Deberán todas las oficinas y despachos judiciales, especialmente los encargados de proceso o servicio críticos, incorporar dentro de su revisión periódica del SEVRI-PJ el análisis de los factores y fuentes de riesgo contemplados en el informe, además de cualquier otro que sea particular a la oficina o despacho o que surjan como nuevas amenazas.”</w:t>
      </w:r>
    </w:p>
    <w:p w14:paraId="2DCB644F" w14:textId="77777777" w:rsidR="001343D5" w:rsidRDefault="001343D5" w:rsidP="005A534D">
      <w:pPr>
        <w:widowControl w:val="0"/>
        <w:tabs>
          <w:tab w:val="left" w:pos="8789"/>
        </w:tabs>
        <w:autoSpaceDE w:val="0"/>
        <w:autoSpaceDN w:val="0"/>
        <w:adjustRightInd w:val="0"/>
        <w:spacing w:after="0" w:line="240" w:lineRule="auto"/>
        <w:ind w:right="49"/>
        <w:jc w:val="both"/>
        <w:rPr>
          <w:rFonts w:ascii="Arial" w:hAnsi="Arial" w:cs="Arial"/>
          <w:lang w:val="es-ES"/>
        </w:rPr>
      </w:pPr>
    </w:p>
    <w:p w14:paraId="533210DC" w14:textId="48281F75" w:rsidR="001343D5" w:rsidRDefault="001343D5" w:rsidP="005A534D">
      <w:pPr>
        <w:widowControl w:val="0"/>
        <w:tabs>
          <w:tab w:val="left" w:pos="8789"/>
        </w:tabs>
        <w:autoSpaceDE w:val="0"/>
        <w:autoSpaceDN w:val="0"/>
        <w:adjustRightInd w:val="0"/>
        <w:spacing w:after="0" w:line="240" w:lineRule="auto"/>
        <w:ind w:right="49"/>
        <w:jc w:val="both"/>
        <w:rPr>
          <w:rFonts w:ascii="Arial" w:hAnsi="Arial" w:cs="Arial"/>
          <w:lang w:val="es-ES"/>
        </w:rPr>
      </w:pPr>
      <w:r>
        <w:rPr>
          <w:rFonts w:ascii="Arial" w:hAnsi="Arial" w:cs="Arial"/>
          <w:lang w:val="es-ES"/>
        </w:rPr>
        <w:t>De manera complementaria, mediante la Circular 15-2024 de la Dirección Ejecutiva, publicada el 23 de febrero del 2024, se complementó la Circular 34-2024 de la Secretaría para dar acceso a todo el personal judicial al enlace donde pueden consultar el informe de manera integral.</w:t>
      </w:r>
    </w:p>
    <w:p w14:paraId="03FE58F5" w14:textId="77777777" w:rsidR="001343D5" w:rsidRPr="006958DD" w:rsidRDefault="001343D5" w:rsidP="00796137">
      <w:pPr>
        <w:widowControl w:val="0"/>
        <w:autoSpaceDE w:val="0"/>
        <w:autoSpaceDN w:val="0"/>
        <w:adjustRightInd w:val="0"/>
        <w:spacing w:after="0" w:line="240" w:lineRule="auto"/>
        <w:ind w:right="142"/>
        <w:jc w:val="both"/>
        <w:rPr>
          <w:rFonts w:ascii="Arial" w:hAnsi="Arial" w:cs="Arial"/>
          <w:lang w:val="es-ES"/>
        </w:rPr>
      </w:pPr>
    </w:p>
    <w:p w14:paraId="03ADFD3D" w14:textId="54A69FC3" w:rsidR="003B1FBC" w:rsidRPr="00FC6373" w:rsidRDefault="003B1FBC" w:rsidP="00796137">
      <w:pPr>
        <w:spacing w:after="0" w:line="240" w:lineRule="auto"/>
        <w:jc w:val="both"/>
        <w:rPr>
          <w:rFonts w:ascii="Arial" w:hAnsi="Arial" w:cs="Arial"/>
          <w:lang w:val="es-ES"/>
        </w:rPr>
      </w:pPr>
      <w:r w:rsidRPr="00FC6373">
        <w:rPr>
          <w:rFonts w:ascii="Arial" w:eastAsia="Times New Roman" w:hAnsi="Arial" w:cs="Arial"/>
          <w:b/>
          <w:bCs/>
          <w:lang w:eastAsia="es-ES"/>
        </w:rPr>
        <w:t>Se acuerda:</w:t>
      </w:r>
      <w:r w:rsidRPr="00FC6373">
        <w:rPr>
          <w:rFonts w:ascii="Arial" w:eastAsia="Times New Roman" w:hAnsi="Arial" w:cs="Arial"/>
          <w:lang w:eastAsia="es-ES"/>
        </w:rPr>
        <w:t xml:space="preserve"> </w:t>
      </w:r>
      <w:r w:rsidRPr="00FC6373">
        <w:rPr>
          <w:rFonts w:ascii="Arial" w:eastAsia="Times New Roman" w:hAnsi="Arial" w:cs="Arial"/>
          <w:b/>
          <w:bCs/>
          <w:lang w:eastAsia="es-ES"/>
        </w:rPr>
        <w:t>1)</w:t>
      </w:r>
      <w:r w:rsidRPr="00FC6373">
        <w:rPr>
          <w:rFonts w:ascii="Arial" w:eastAsia="Times New Roman" w:hAnsi="Arial" w:cs="Arial"/>
          <w:lang w:eastAsia="es-ES"/>
        </w:rPr>
        <w:t xml:space="preserve"> </w:t>
      </w:r>
      <w:r w:rsidR="00696D85">
        <w:rPr>
          <w:rFonts w:ascii="Arial" w:eastAsia="Times New Roman" w:hAnsi="Arial" w:cs="Arial"/>
          <w:lang w:eastAsia="es-ES"/>
        </w:rPr>
        <w:t>Tomar nota de las divulgaciones realizadas por e</w:t>
      </w:r>
      <w:r w:rsidRPr="00FC6373">
        <w:rPr>
          <w:rFonts w:ascii="Arial" w:eastAsia="Times New Roman" w:hAnsi="Arial" w:cs="Arial"/>
          <w:lang w:eastAsia="es-ES"/>
        </w:rPr>
        <w:t xml:space="preserve">l </w:t>
      </w:r>
      <w:r w:rsidR="00696D85">
        <w:rPr>
          <w:rFonts w:ascii="Arial" w:eastAsia="Times New Roman" w:hAnsi="Arial" w:cs="Arial"/>
          <w:lang w:eastAsia="es-ES"/>
        </w:rPr>
        <w:t xml:space="preserve">Departamento de Prensa y Comunicación Organizacional y el </w:t>
      </w:r>
      <w:r w:rsidRPr="00FC6373">
        <w:rPr>
          <w:rFonts w:ascii="Arial" w:eastAsia="Times New Roman" w:hAnsi="Arial" w:cs="Arial"/>
          <w:lang w:eastAsia="es-ES"/>
        </w:rPr>
        <w:t>Subproceso de Gestión de la Continuidad del Servicio</w:t>
      </w:r>
      <w:r w:rsidR="00696D85">
        <w:rPr>
          <w:rFonts w:ascii="Arial" w:eastAsia="Times New Roman" w:hAnsi="Arial" w:cs="Arial"/>
          <w:lang w:eastAsia="es-ES"/>
        </w:rPr>
        <w:t xml:space="preserve"> en relación con la “</w:t>
      </w:r>
      <w:r w:rsidR="00696D85" w:rsidRPr="00696D85">
        <w:rPr>
          <w:rFonts w:ascii="Arial" w:eastAsia="Times New Roman" w:hAnsi="Arial" w:cs="Arial"/>
          <w:lang w:eastAsia="es-ES"/>
        </w:rPr>
        <w:t>Política de Gestión de la Continuidad del Servicio</w:t>
      </w:r>
      <w:r w:rsidR="00696D85">
        <w:rPr>
          <w:rFonts w:ascii="Arial" w:eastAsia="Times New Roman" w:hAnsi="Arial" w:cs="Arial"/>
          <w:lang w:eastAsia="es-ES"/>
        </w:rPr>
        <w:t>”</w:t>
      </w:r>
      <w:r w:rsidR="00696D85" w:rsidRPr="00696D85">
        <w:rPr>
          <w:rFonts w:ascii="Arial" w:eastAsia="Times New Roman" w:hAnsi="Arial" w:cs="Arial"/>
          <w:lang w:eastAsia="es-ES"/>
        </w:rPr>
        <w:t xml:space="preserve">, </w:t>
      </w:r>
      <w:r w:rsidR="00696D85">
        <w:rPr>
          <w:rFonts w:ascii="Arial" w:eastAsia="Times New Roman" w:hAnsi="Arial" w:cs="Arial"/>
          <w:lang w:eastAsia="es-ES"/>
        </w:rPr>
        <w:t>el “</w:t>
      </w:r>
      <w:r w:rsidR="00696D85" w:rsidRPr="00696D85">
        <w:rPr>
          <w:rFonts w:ascii="Arial" w:eastAsia="Times New Roman" w:hAnsi="Arial" w:cs="Arial"/>
          <w:lang w:eastAsia="es-ES"/>
        </w:rPr>
        <w:t>Informe de Actualización del Análisis de Impacto al Servicio del Poder Judicial</w:t>
      </w:r>
      <w:r w:rsidR="00696D85">
        <w:rPr>
          <w:rFonts w:ascii="Arial" w:eastAsia="Times New Roman" w:hAnsi="Arial" w:cs="Arial"/>
          <w:lang w:eastAsia="es-ES"/>
        </w:rPr>
        <w:t>”</w:t>
      </w:r>
      <w:r w:rsidR="00696D85" w:rsidRPr="00696D85">
        <w:rPr>
          <w:rFonts w:ascii="Arial" w:eastAsia="Times New Roman" w:hAnsi="Arial" w:cs="Arial"/>
          <w:lang w:eastAsia="es-ES"/>
        </w:rPr>
        <w:t xml:space="preserve"> y </w:t>
      </w:r>
      <w:r w:rsidR="00696D85">
        <w:rPr>
          <w:rFonts w:ascii="Arial" w:eastAsia="Times New Roman" w:hAnsi="Arial" w:cs="Arial"/>
          <w:lang w:eastAsia="es-ES"/>
        </w:rPr>
        <w:t>e</w:t>
      </w:r>
      <w:r w:rsidR="005A534D">
        <w:rPr>
          <w:rFonts w:ascii="Arial" w:eastAsia="Times New Roman" w:hAnsi="Arial" w:cs="Arial"/>
          <w:lang w:eastAsia="es-ES"/>
        </w:rPr>
        <w:t>l informe de</w:t>
      </w:r>
      <w:r w:rsidR="00696D85">
        <w:rPr>
          <w:rFonts w:ascii="Arial" w:eastAsia="Times New Roman" w:hAnsi="Arial" w:cs="Arial"/>
          <w:lang w:eastAsia="es-ES"/>
        </w:rPr>
        <w:t xml:space="preserve"> “</w:t>
      </w:r>
      <w:r w:rsidR="005A534D" w:rsidRPr="005A534D">
        <w:rPr>
          <w:rFonts w:ascii="Arial" w:eastAsia="Times New Roman" w:hAnsi="Arial" w:cs="Arial"/>
          <w:lang w:eastAsia="es-ES"/>
        </w:rPr>
        <w:t>Actualización de Análisis de Riesgos de Continuidad del Servicio del Poder Judicial</w:t>
      </w:r>
      <w:r w:rsidR="00696D85">
        <w:rPr>
          <w:rFonts w:ascii="Arial" w:eastAsia="Times New Roman" w:hAnsi="Arial" w:cs="Arial"/>
          <w:lang w:eastAsia="es-ES"/>
        </w:rPr>
        <w:t>”</w:t>
      </w:r>
      <w:r w:rsidRPr="00FC6373">
        <w:rPr>
          <w:rFonts w:ascii="Arial" w:eastAsia="Times New Roman" w:hAnsi="Arial" w:cs="Arial"/>
          <w:lang w:eastAsia="es-ES"/>
        </w:rPr>
        <w:t xml:space="preserve">. </w:t>
      </w:r>
      <w:r w:rsidRPr="00FC6373">
        <w:rPr>
          <w:rFonts w:ascii="Arial" w:eastAsia="Times New Roman" w:hAnsi="Arial" w:cs="Arial"/>
          <w:b/>
          <w:bCs/>
          <w:lang w:eastAsia="es-ES"/>
        </w:rPr>
        <w:t>ACUERDO FIRME.</w:t>
      </w:r>
    </w:p>
    <w:p w14:paraId="60838B2C" w14:textId="77777777" w:rsidR="007B4509" w:rsidRDefault="007B4509" w:rsidP="00796137">
      <w:pPr>
        <w:spacing w:after="0" w:line="240" w:lineRule="auto"/>
        <w:jc w:val="both"/>
        <w:rPr>
          <w:rFonts w:ascii="Arial" w:hAnsi="Arial" w:cs="Arial"/>
          <w:b/>
          <w:bCs/>
          <w:lang w:eastAsia="es-ES"/>
        </w:rPr>
      </w:pPr>
    </w:p>
    <w:p w14:paraId="47C2D998" w14:textId="3625BAFF" w:rsidR="00251002" w:rsidRPr="004C3CB2" w:rsidRDefault="001B0E11" w:rsidP="00796137">
      <w:pPr>
        <w:spacing w:after="0" w:line="240" w:lineRule="auto"/>
        <w:jc w:val="both"/>
        <w:rPr>
          <w:rFonts w:ascii="Arial" w:hAnsi="Arial" w:cs="Arial"/>
          <w:b/>
          <w:bCs/>
          <w:lang w:eastAsia="es-ES"/>
        </w:rPr>
      </w:pPr>
      <w:r w:rsidRPr="00490240">
        <w:rPr>
          <w:rFonts w:ascii="Arial" w:hAnsi="Arial" w:cs="Arial"/>
          <w:b/>
          <w:bCs/>
          <w:lang w:eastAsia="es-ES"/>
        </w:rPr>
        <w:t>Finaliza la sesión a las</w:t>
      </w:r>
      <w:r w:rsidR="00286833" w:rsidRPr="00490240">
        <w:rPr>
          <w:rFonts w:ascii="Arial" w:hAnsi="Arial" w:cs="Arial"/>
          <w:b/>
          <w:bCs/>
          <w:lang w:eastAsia="es-ES"/>
        </w:rPr>
        <w:t xml:space="preserve"> </w:t>
      </w:r>
      <w:r w:rsidR="006B2928" w:rsidRPr="00F43826">
        <w:rPr>
          <w:rFonts w:ascii="Arial" w:hAnsi="Arial" w:cs="Arial"/>
          <w:b/>
          <w:bCs/>
          <w:lang w:eastAsia="es-ES"/>
        </w:rPr>
        <w:t>1</w:t>
      </w:r>
      <w:r w:rsidR="00F43826" w:rsidRPr="00F43826">
        <w:rPr>
          <w:rFonts w:ascii="Arial" w:hAnsi="Arial" w:cs="Arial"/>
          <w:b/>
          <w:bCs/>
          <w:lang w:eastAsia="es-ES"/>
        </w:rPr>
        <w:t>4</w:t>
      </w:r>
      <w:r w:rsidR="006B2928" w:rsidRPr="00F43826">
        <w:rPr>
          <w:rFonts w:ascii="Arial" w:hAnsi="Arial" w:cs="Arial"/>
          <w:b/>
          <w:bCs/>
          <w:lang w:eastAsia="es-ES"/>
        </w:rPr>
        <w:t xml:space="preserve"> </w:t>
      </w:r>
      <w:r w:rsidR="00286833" w:rsidRPr="00F43826">
        <w:rPr>
          <w:rFonts w:ascii="Arial" w:hAnsi="Arial" w:cs="Arial"/>
          <w:b/>
          <w:bCs/>
          <w:lang w:eastAsia="es-ES"/>
        </w:rPr>
        <w:t xml:space="preserve">horas con </w:t>
      </w:r>
      <w:r w:rsidR="00F43826" w:rsidRPr="00F43826">
        <w:rPr>
          <w:rFonts w:ascii="Arial" w:hAnsi="Arial" w:cs="Arial"/>
          <w:b/>
          <w:bCs/>
          <w:lang w:eastAsia="es-ES"/>
        </w:rPr>
        <w:t>5</w:t>
      </w:r>
      <w:r w:rsidR="00FC6373" w:rsidRPr="00F43826">
        <w:rPr>
          <w:rFonts w:ascii="Arial" w:hAnsi="Arial" w:cs="Arial"/>
          <w:b/>
          <w:bCs/>
          <w:lang w:eastAsia="es-ES"/>
        </w:rPr>
        <w:t>1</w:t>
      </w:r>
      <w:r w:rsidR="00AA6F53" w:rsidRPr="00F43826">
        <w:rPr>
          <w:rFonts w:ascii="Arial" w:hAnsi="Arial" w:cs="Arial"/>
          <w:b/>
          <w:bCs/>
          <w:lang w:eastAsia="es-ES"/>
        </w:rPr>
        <w:t xml:space="preserve"> </w:t>
      </w:r>
      <w:r w:rsidR="006771C2" w:rsidRPr="00F43826">
        <w:rPr>
          <w:rFonts w:ascii="Arial" w:hAnsi="Arial" w:cs="Arial"/>
          <w:b/>
          <w:bCs/>
          <w:lang w:eastAsia="es-ES"/>
        </w:rPr>
        <w:t>minutos</w:t>
      </w:r>
      <w:r w:rsidR="00F67BFA" w:rsidRPr="00F43826">
        <w:rPr>
          <w:rFonts w:ascii="Arial" w:hAnsi="Arial" w:cs="Arial"/>
          <w:b/>
          <w:bCs/>
          <w:lang w:eastAsia="es-ES"/>
        </w:rPr>
        <w:t>.</w:t>
      </w:r>
    </w:p>
    <w:sectPr w:rsidR="00251002" w:rsidRPr="004C3CB2" w:rsidSect="005A1B51">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F803B" w14:textId="77777777" w:rsidR="005A1B51" w:rsidRDefault="005A1B51" w:rsidP="00BE2826">
      <w:pPr>
        <w:spacing w:after="0" w:line="240" w:lineRule="auto"/>
      </w:pPr>
      <w:r>
        <w:separator/>
      </w:r>
    </w:p>
  </w:endnote>
  <w:endnote w:type="continuationSeparator" w:id="0">
    <w:p w14:paraId="501D1D14" w14:textId="77777777" w:rsidR="005A1B51" w:rsidRDefault="005A1B51"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9941" w14:textId="77777777" w:rsidR="00C277F9" w:rsidRDefault="00CF38DB">
    <w:pPr>
      <w:pStyle w:val="Piedepgina"/>
      <w:jc w:val="center"/>
    </w:pPr>
    <w:r>
      <w:fldChar w:fldCharType="begin"/>
    </w:r>
    <w:r w:rsidR="00C277F9">
      <w:instrText>PAGE   \* MERGEFORMAT</w:instrText>
    </w:r>
    <w:r>
      <w:fldChar w:fldCharType="separate"/>
    </w:r>
    <w:r w:rsidR="00C7435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50EEF" w14:textId="77777777" w:rsidR="005A1B51" w:rsidRDefault="005A1B51" w:rsidP="00BE2826">
      <w:pPr>
        <w:spacing w:after="0" w:line="240" w:lineRule="auto"/>
      </w:pPr>
      <w:r>
        <w:separator/>
      </w:r>
    </w:p>
  </w:footnote>
  <w:footnote w:type="continuationSeparator" w:id="0">
    <w:p w14:paraId="099FA7D4" w14:textId="77777777" w:rsidR="005A1B51" w:rsidRDefault="005A1B51"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9048" w14:textId="77777777" w:rsidR="00734FFE" w:rsidRPr="0034095B" w:rsidRDefault="00650770" w:rsidP="00F4405D">
    <w:pPr>
      <w:spacing w:line="240" w:lineRule="auto"/>
      <w:jc w:val="center"/>
      <w:rPr>
        <w:rFonts w:ascii="Arial" w:hAnsi="Arial" w:cs="Arial"/>
        <w:b/>
        <w:color w:val="1F3864"/>
        <w:sz w:val="24"/>
        <w:szCs w:val="24"/>
      </w:rPr>
    </w:pPr>
    <w:r w:rsidRPr="0034095B">
      <w:rPr>
        <w:noProof/>
        <w:color w:val="1F3864"/>
        <w:lang w:val="es-ES" w:eastAsia="es-ES"/>
      </w:rPr>
      <w:drawing>
        <wp:anchor distT="0" distB="0" distL="114300" distR="114300" simplePos="0" relativeHeight="251657728" behindDoc="1" locked="0" layoutInCell="1" allowOverlap="1" wp14:anchorId="44AE8C38" wp14:editId="77460AF8">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anchor>
      </w:drawing>
    </w:r>
    <w:r w:rsidR="00734FFE" w:rsidRPr="0034095B">
      <w:rPr>
        <w:rFonts w:ascii="Arial" w:hAnsi="Arial" w:cs="Arial"/>
        <w:b/>
        <w:color w:val="1F3864"/>
        <w:sz w:val="24"/>
        <w:szCs w:val="24"/>
      </w:rPr>
      <w:t>PODER JUDICIAL</w:t>
    </w:r>
  </w:p>
  <w:p w14:paraId="49D2FBCA"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3E1241DC"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5D7567B7" w14:textId="0199367B"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7567D6">
      <w:rPr>
        <w:rFonts w:ascii="Arial" w:hAnsi="Arial" w:cs="Arial"/>
        <w:b/>
        <w:color w:val="000000"/>
        <w:sz w:val="24"/>
        <w:szCs w:val="24"/>
      </w:rPr>
      <w:t>2</w:t>
    </w:r>
    <w:r w:rsidRPr="00654FA5">
      <w:rPr>
        <w:rFonts w:ascii="Arial" w:hAnsi="Arial" w:cs="Arial"/>
        <w:b/>
        <w:color w:val="000000"/>
        <w:sz w:val="24"/>
        <w:szCs w:val="24"/>
      </w:rPr>
      <w:t>-202</w:t>
    </w:r>
    <w:r w:rsidR="00627E79">
      <w:rPr>
        <w:rFonts w:ascii="Arial" w:hAnsi="Arial" w:cs="Arial"/>
        <w:b/>
        <w:color w:val="000000"/>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FD14CE"/>
    <w:multiLevelType w:val="multilevel"/>
    <w:tmpl w:val="6554B990"/>
    <w:lvl w:ilvl="0">
      <w:start w:val="1"/>
      <w:numFmt w:val="decimal"/>
      <w:lvlText w:val="%1."/>
      <w:lvlJc w:val="left"/>
      <w:pPr>
        <w:ind w:left="1080" w:hanging="720"/>
      </w:pPr>
      <w:rPr>
        <w:rFont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07770D9A"/>
    <w:multiLevelType w:val="multilevel"/>
    <w:tmpl w:val="6B1C759C"/>
    <w:lvl w:ilvl="0">
      <w:start w:val="1"/>
      <w:numFmt w:val="upperRoman"/>
      <w:lvlText w:val="%1."/>
      <w:lvlJc w:val="left"/>
      <w:pPr>
        <w:ind w:left="1080" w:hanging="720"/>
      </w:pPr>
      <w:rPr>
        <w:rFonts w:hint="default"/>
      </w:rPr>
    </w:lvl>
    <w:lvl w:ilvl="1">
      <w:start w:val="26"/>
      <w:numFmt w:val="decimal"/>
      <w:isLgl/>
      <w:lvlText w:val="%1.%2."/>
      <w:lvlJc w:val="left"/>
      <w:pPr>
        <w:ind w:left="1287" w:hanging="720"/>
      </w:pPr>
      <w:rPr>
        <w:rFonts w:hint="default"/>
        <w:b/>
        <w:bCs/>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93B4C"/>
    <w:multiLevelType w:val="hybridMultilevel"/>
    <w:tmpl w:val="1B18B09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E95247C"/>
    <w:multiLevelType w:val="hybridMultilevel"/>
    <w:tmpl w:val="AED256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1AB7DCD"/>
    <w:multiLevelType w:val="hybridMultilevel"/>
    <w:tmpl w:val="CE4CC4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7222D2D"/>
    <w:multiLevelType w:val="hybridMultilevel"/>
    <w:tmpl w:val="38184E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A502CBB"/>
    <w:multiLevelType w:val="hybridMultilevel"/>
    <w:tmpl w:val="4748E80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CFA5A94"/>
    <w:multiLevelType w:val="multilevel"/>
    <w:tmpl w:val="8A3E04BA"/>
    <w:lvl w:ilvl="0">
      <w:start w:val="1"/>
      <w:numFmt w:val="bullet"/>
      <w:lvlText w:val=""/>
      <w:lvlJc w:val="left"/>
      <w:pPr>
        <w:ind w:left="1080" w:hanging="720"/>
      </w:pPr>
      <w:rPr>
        <w:rFonts w:ascii="Wingdings" w:hAnsi="Wingding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1D8D6F02"/>
    <w:multiLevelType w:val="hybridMultilevel"/>
    <w:tmpl w:val="644E60A4"/>
    <w:lvl w:ilvl="0" w:tplc="0DF2589E">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A2639CB"/>
    <w:multiLevelType w:val="multilevel"/>
    <w:tmpl w:val="0F7A3ECA"/>
    <w:lvl w:ilvl="0">
      <w:start w:val="1"/>
      <w:numFmt w:val="bullet"/>
      <w:lvlText w:val=""/>
      <w:lvlJc w:val="left"/>
      <w:pPr>
        <w:ind w:left="1080" w:hanging="720"/>
      </w:pPr>
      <w:rPr>
        <w:rFonts w:ascii="Symbol" w:hAnsi="Symbol"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2D293F08"/>
    <w:multiLevelType w:val="hybridMultilevel"/>
    <w:tmpl w:val="B776B9D8"/>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4" w15:restartNumberingAfterBreak="0">
    <w:nsid w:val="33AD41A5"/>
    <w:multiLevelType w:val="hybridMultilevel"/>
    <w:tmpl w:val="52A2A4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58B47AB"/>
    <w:multiLevelType w:val="multilevel"/>
    <w:tmpl w:val="87FE9D88"/>
    <w:lvl w:ilvl="0">
      <w:start w:val="1"/>
      <w:numFmt w:val="bullet"/>
      <w:lvlText w:val=""/>
      <w:lvlJc w:val="left"/>
      <w:pPr>
        <w:ind w:left="1080" w:hanging="720"/>
      </w:pPr>
      <w:rPr>
        <w:rFonts w:ascii="Wingdings" w:hAnsi="Wingding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6"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17" w15:restartNumberingAfterBreak="0">
    <w:nsid w:val="465624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8826BC8"/>
    <w:multiLevelType w:val="hybridMultilevel"/>
    <w:tmpl w:val="974E2796"/>
    <w:lvl w:ilvl="0" w:tplc="1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C2645E"/>
    <w:multiLevelType w:val="hybridMultilevel"/>
    <w:tmpl w:val="556ED48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0" w15:restartNumberingAfterBreak="0">
    <w:nsid w:val="5C892FEA"/>
    <w:multiLevelType w:val="multilevel"/>
    <w:tmpl w:val="6554B990"/>
    <w:lvl w:ilvl="0">
      <w:start w:val="1"/>
      <w:numFmt w:val="decimal"/>
      <w:lvlText w:val="%1."/>
      <w:lvlJc w:val="left"/>
      <w:pPr>
        <w:ind w:left="1080" w:hanging="720"/>
      </w:pPr>
      <w:rPr>
        <w:rFont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680B36B7"/>
    <w:multiLevelType w:val="hybridMultilevel"/>
    <w:tmpl w:val="84CAD55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76EC1584"/>
    <w:multiLevelType w:val="hybridMultilevel"/>
    <w:tmpl w:val="2CE4A1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7C49489B"/>
    <w:multiLevelType w:val="hybridMultilevel"/>
    <w:tmpl w:val="4FBEC4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F105094"/>
    <w:multiLevelType w:val="hybridMultilevel"/>
    <w:tmpl w:val="F9E0BAA8"/>
    <w:lvl w:ilvl="0" w:tplc="DBA4E4F0">
      <w:start w:val="1"/>
      <w:numFmt w:val="bullet"/>
      <w:lvlText w:val="-"/>
      <w:lvlJc w:val="left"/>
      <w:pPr>
        <w:ind w:left="1068" w:hanging="360"/>
      </w:pPr>
      <w:rPr>
        <w:rFonts w:ascii="Arial" w:eastAsia="Times New Roman" w:hAnsi="Arial" w:cs="Arial"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5" w15:restartNumberingAfterBreak="0">
    <w:nsid w:val="7F497302"/>
    <w:multiLevelType w:val="hybridMultilevel"/>
    <w:tmpl w:val="CABE7E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338925709">
    <w:abstractNumId w:val="0"/>
  </w:num>
  <w:num w:numId="2" w16cid:durableId="166479736">
    <w:abstractNumId w:val="16"/>
  </w:num>
  <w:num w:numId="3" w16cid:durableId="614365087">
    <w:abstractNumId w:val="4"/>
  </w:num>
  <w:num w:numId="4" w16cid:durableId="1319261115">
    <w:abstractNumId w:val="22"/>
  </w:num>
  <w:num w:numId="5" w16cid:durableId="810291075">
    <w:abstractNumId w:val="11"/>
  </w:num>
  <w:num w:numId="6" w16cid:durableId="239216822">
    <w:abstractNumId w:val="17"/>
  </w:num>
  <w:num w:numId="7" w16cid:durableId="207033534">
    <w:abstractNumId w:val="24"/>
  </w:num>
  <w:num w:numId="8" w16cid:durableId="685521203">
    <w:abstractNumId w:val="6"/>
  </w:num>
  <w:num w:numId="9" w16cid:durableId="1876193207">
    <w:abstractNumId w:val="13"/>
  </w:num>
  <w:num w:numId="10" w16cid:durableId="1815365484">
    <w:abstractNumId w:val="20"/>
  </w:num>
  <w:num w:numId="11" w16cid:durableId="1372615277">
    <w:abstractNumId w:val="25"/>
  </w:num>
  <w:num w:numId="12" w16cid:durableId="273025012">
    <w:abstractNumId w:val="5"/>
  </w:num>
  <w:num w:numId="13" w16cid:durableId="1245459909">
    <w:abstractNumId w:val="2"/>
  </w:num>
  <w:num w:numId="14" w16cid:durableId="1782800687">
    <w:abstractNumId w:val="12"/>
  </w:num>
  <w:num w:numId="15" w16cid:durableId="1826627706">
    <w:abstractNumId w:val="19"/>
  </w:num>
  <w:num w:numId="16" w16cid:durableId="293213941">
    <w:abstractNumId w:val="3"/>
  </w:num>
  <w:num w:numId="17" w16cid:durableId="636491541">
    <w:abstractNumId w:val="15"/>
  </w:num>
  <w:num w:numId="18" w16cid:durableId="774405663">
    <w:abstractNumId w:val="10"/>
  </w:num>
  <w:num w:numId="19" w16cid:durableId="883254999">
    <w:abstractNumId w:val="8"/>
  </w:num>
  <w:num w:numId="20" w16cid:durableId="1359697403">
    <w:abstractNumId w:val="14"/>
  </w:num>
  <w:num w:numId="21" w16cid:durableId="1506625420">
    <w:abstractNumId w:val="23"/>
  </w:num>
  <w:num w:numId="22" w16cid:durableId="1345549606">
    <w:abstractNumId w:val="7"/>
  </w:num>
  <w:num w:numId="23" w16cid:durableId="510950433">
    <w:abstractNumId w:val="18"/>
  </w:num>
  <w:num w:numId="24" w16cid:durableId="1814370604">
    <w:abstractNumId w:val="21"/>
  </w:num>
  <w:num w:numId="25" w16cid:durableId="161913897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3DF2"/>
    <w:rsid w:val="00004209"/>
    <w:rsid w:val="000061FB"/>
    <w:rsid w:val="00015CD1"/>
    <w:rsid w:val="00016A51"/>
    <w:rsid w:val="00016D50"/>
    <w:rsid w:val="00021602"/>
    <w:rsid w:val="00024254"/>
    <w:rsid w:val="0002758F"/>
    <w:rsid w:val="00027FE4"/>
    <w:rsid w:val="00031275"/>
    <w:rsid w:val="00032205"/>
    <w:rsid w:val="000331B3"/>
    <w:rsid w:val="00033915"/>
    <w:rsid w:val="00033B43"/>
    <w:rsid w:val="000347F0"/>
    <w:rsid w:val="00034969"/>
    <w:rsid w:val="0004012D"/>
    <w:rsid w:val="0004358D"/>
    <w:rsid w:val="0004370E"/>
    <w:rsid w:val="00046E9C"/>
    <w:rsid w:val="000473BB"/>
    <w:rsid w:val="00051A6B"/>
    <w:rsid w:val="00053220"/>
    <w:rsid w:val="0005411F"/>
    <w:rsid w:val="00057598"/>
    <w:rsid w:val="000578B3"/>
    <w:rsid w:val="00060ECA"/>
    <w:rsid w:val="000612E7"/>
    <w:rsid w:val="00064484"/>
    <w:rsid w:val="00064F25"/>
    <w:rsid w:val="000655C0"/>
    <w:rsid w:val="0006644E"/>
    <w:rsid w:val="00067082"/>
    <w:rsid w:val="000670A2"/>
    <w:rsid w:val="00075EFF"/>
    <w:rsid w:val="000760B6"/>
    <w:rsid w:val="0008137A"/>
    <w:rsid w:val="000828CE"/>
    <w:rsid w:val="00082F32"/>
    <w:rsid w:val="00083E9C"/>
    <w:rsid w:val="0008581D"/>
    <w:rsid w:val="000861D5"/>
    <w:rsid w:val="00086B55"/>
    <w:rsid w:val="00091AFD"/>
    <w:rsid w:val="00092D08"/>
    <w:rsid w:val="00093ABD"/>
    <w:rsid w:val="00094097"/>
    <w:rsid w:val="000948D8"/>
    <w:rsid w:val="0009612A"/>
    <w:rsid w:val="000A2E63"/>
    <w:rsid w:val="000A38D7"/>
    <w:rsid w:val="000A3BC1"/>
    <w:rsid w:val="000A4531"/>
    <w:rsid w:val="000A4B72"/>
    <w:rsid w:val="000A50F9"/>
    <w:rsid w:val="000A6B79"/>
    <w:rsid w:val="000B25A3"/>
    <w:rsid w:val="000B43F8"/>
    <w:rsid w:val="000B45D7"/>
    <w:rsid w:val="000B4E3C"/>
    <w:rsid w:val="000B56C6"/>
    <w:rsid w:val="000B68C1"/>
    <w:rsid w:val="000B784A"/>
    <w:rsid w:val="000B7869"/>
    <w:rsid w:val="000C0505"/>
    <w:rsid w:val="000C36C5"/>
    <w:rsid w:val="000C693A"/>
    <w:rsid w:val="000C6AF6"/>
    <w:rsid w:val="000D1904"/>
    <w:rsid w:val="000D2770"/>
    <w:rsid w:val="000D4EEB"/>
    <w:rsid w:val="000D530C"/>
    <w:rsid w:val="000D5A37"/>
    <w:rsid w:val="000D6542"/>
    <w:rsid w:val="000E158D"/>
    <w:rsid w:val="000E1818"/>
    <w:rsid w:val="000E1A83"/>
    <w:rsid w:val="000E4F0A"/>
    <w:rsid w:val="000E5436"/>
    <w:rsid w:val="000E6CD4"/>
    <w:rsid w:val="000F12AB"/>
    <w:rsid w:val="000F17FD"/>
    <w:rsid w:val="000F366E"/>
    <w:rsid w:val="000F3979"/>
    <w:rsid w:val="001001F2"/>
    <w:rsid w:val="0010109A"/>
    <w:rsid w:val="00101C22"/>
    <w:rsid w:val="0010265C"/>
    <w:rsid w:val="00103A1E"/>
    <w:rsid w:val="00105A13"/>
    <w:rsid w:val="00106388"/>
    <w:rsid w:val="00111E90"/>
    <w:rsid w:val="00114C26"/>
    <w:rsid w:val="00114C6E"/>
    <w:rsid w:val="00115A9B"/>
    <w:rsid w:val="00115CAF"/>
    <w:rsid w:val="0011705D"/>
    <w:rsid w:val="00120BAF"/>
    <w:rsid w:val="0012335F"/>
    <w:rsid w:val="00123569"/>
    <w:rsid w:val="00123DD6"/>
    <w:rsid w:val="00123E7A"/>
    <w:rsid w:val="001309A4"/>
    <w:rsid w:val="00131B45"/>
    <w:rsid w:val="00133FB5"/>
    <w:rsid w:val="001343D5"/>
    <w:rsid w:val="001357AC"/>
    <w:rsid w:val="0013585A"/>
    <w:rsid w:val="00141B44"/>
    <w:rsid w:val="00143C2B"/>
    <w:rsid w:val="00144C83"/>
    <w:rsid w:val="0014684A"/>
    <w:rsid w:val="00147AF1"/>
    <w:rsid w:val="00147EB9"/>
    <w:rsid w:val="00151F6B"/>
    <w:rsid w:val="00152240"/>
    <w:rsid w:val="00155D63"/>
    <w:rsid w:val="0016019A"/>
    <w:rsid w:val="0016193D"/>
    <w:rsid w:val="0016338E"/>
    <w:rsid w:val="0016765C"/>
    <w:rsid w:val="00170D56"/>
    <w:rsid w:val="00175D7B"/>
    <w:rsid w:val="00190E53"/>
    <w:rsid w:val="00192D49"/>
    <w:rsid w:val="00192D8E"/>
    <w:rsid w:val="001940EB"/>
    <w:rsid w:val="001A030F"/>
    <w:rsid w:val="001A29FE"/>
    <w:rsid w:val="001A34E1"/>
    <w:rsid w:val="001A3899"/>
    <w:rsid w:val="001A5586"/>
    <w:rsid w:val="001A6731"/>
    <w:rsid w:val="001A6F21"/>
    <w:rsid w:val="001B0E11"/>
    <w:rsid w:val="001B2C43"/>
    <w:rsid w:val="001B4712"/>
    <w:rsid w:val="001B4E9B"/>
    <w:rsid w:val="001B7815"/>
    <w:rsid w:val="001C1770"/>
    <w:rsid w:val="001C2813"/>
    <w:rsid w:val="001C5531"/>
    <w:rsid w:val="001C5FDB"/>
    <w:rsid w:val="001C688B"/>
    <w:rsid w:val="001C7628"/>
    <w:rsid w:val="001D3E59"/>
    <w:rsid w:val="001D678C"/>
    <w:rsid w:val="001D6E74"/>
    <w:rsid w:val="001D7DDA"/>
    <w:rsid w:val="001E0EDB"/>
    <w:rsid w:val="001E1CF6"/>
    <w:rsid w:val="001E5C4E"/>
    <w:rsid w:val="001E5FD7"/>
    <w:rsid w:val="001E6A27"/>
    <w:rsid w:val="001E74BB"/>
    <w:rsid w:val="001F03B5"/>
    <w:rsid w:val="001F252F"/>
    <w:rsid w:val="001F27A5"/>
    <w:rsid w:val="001F2D50"/>
    <w:rsid w:val="001F2EF1"/>
    <w:rsid w:val="001F61F0"/>
    <w:rsid w:val="001F7CE8"/>
    <w:rsid w:val="002017E0"/>
    <w:rsid w:val="00202C8B"/>
    <w:rsid w:val="00203D94"/>
    <w:rsid w:val="002046D3"/>
    <w:rsid w:val="00205674"/>
    <w:rsid w:val="002058A4"/>
    <w:rsid w:val="00206526"/>
    <w:rsid w:val="0020707F"/>
    <w:rsid w:val="002070FF"/>
    <w:rsid w:val="002108B1"/>
    <w:rsid w:val="0021203E"/>
    <w:rsid w:val="00214613"/>
    <w:rsid w:val="0021480C"/>
    <w:rsid w:val="00214CFB"/>
    <w:rsid w:val="00216991"/>
    <w:rsid w:val="002234B5"/>
    <w:rsid w:val="002244EF"/>
    <w:rsid w:val="002248E5"/>
    <w:rsid w:val="00225231"/>
    <w:rsid w:val="00225664"/>
    <w:rsid w:val="00225F6B"/>
    <w:rsid w:val="00226CB6"/>
    <w:rsid w:val="00227DDF"/>
    <w:rsid w:val="00230128"/>
    <w:rsid w:val="00231080"/>
    <w:rsid w:val="002316E6"/>
    <w:rsid w:val="00231D7A"/>
    <w:rsid w:val="00232F42"/>
    <w:rsid w:val="00234BD8"/>
    <w:rsid w:val="002362CD"/>
    <w:rsid w:val="00237297"/>
    <w:rsid w:val="00240083"/>
    <w:rsid w:val="002428BC"/>
    <w:rsid w:val="002433FF"/>
    <w:rsid w:val="00247A6C"/>
    <w:rsid w:val="00250065"/>
    <w:rsid w:val="002502C3"/>
    <w:rsid w:val="00250C3B"/>
    <w:rsid w:val="00250D20"/>
    <w:rsid w:val="00251002"/>
    <w:rsid w:val="00255618"/>
    <w:rsid w:val="0025657A"/>
    <w:rsid w:val="002575A9"/>
    <w:rsid w:val="00260BA3"/>
    <w:rsid w:val="00260FE0"/>
    <w:rsid w:val="00263A7F"/>
    <w:rsid w:val="00265BAC"/>
    <w:rsid w:val="00266CA4"/>
    <w:rsid w:val="00267E0D"/>
    <w:rsid w:val="002711AA"/>
    <w:rsid w:val="00271401"/>
    <w:rsid w:val="002735EB"/>
    <w:rsid w:val="00274E3D"/>
    <w:rsid w:val="002761A0"/>
    <w:rsid w:val="0027674D"/>
    <w:rsid w:val="00276BB8"/>
    <w:rsid w:val="002814E8"/>
    <w:rsid w:val="00281C6B"/>
    <w:rsid w:val="00281C94"/>
    <w:rsid w:val="00283A13"/>
    <w:rsid w:val="00286833"/>
    <w:rsid w:val="00286961"/>
    <w:rsid w:val="002904B4"/>
    <w:rsid w:val="00290570"/>
    <w:rsid w:val="00291B11"/>
    <w:rsid w:val="00294FCE"/>
    <w:rsid w:val="0029789B"/>
    <w:rsid w:val="00297D20"/>
    <w:rsid w:val="00297F49"/>
    <w:rsid w:val="002A0D14"/>
    <w:rsid w:val="002A1C97"/>
    <w:rsid w:val="002A1CD5"/>
    <w:rsid w:val="002A47B3"/>
    <w:rsid w:val="002A5C85"/>
    <w:rsid w:val="002A5FEB"/>
    <w:rsid w:val="002A70D9"/>
    <w:rsid w:val="002A7367"/>
    <w:rsid w:val="002B0B7D"/>
    <w:rsid w:val="002B0D3F"/>
    <w:rsid w:val="002B2E31"/>
    <w:rsid w:val="002B3473"/>
    <w:rsid w:val="002B4F8A"/>
    <w:rsid w:val="002B5968"/>
    <w:rsid w:val="002B5CA1"/>
    <w:rsid w:val="002B78C3"/>
    <w:rsid w:val="002B7AA4"/>
    <w:rsid w:val="002C2534"/>
    <w:rsid w:val="002C2D17"/>
    <w:rsid w:val="002D0D86"/>
    <w:rsid w:val="002D13A4"/>
    <w:rsid w:val="002D14EF"/>
    <w:rsid w:val="002D569D"/>
    <w:rsid w:val="002D6861"/>
    <w:rsid w:val="002D69CC"/>
    <w:rsid w:val="002D785E"/>
    <w:rsid w:val="002E27EA"/>
    <w:rsid w:val="002E3CEE"/>
    <w:rsid w:val="002E52C1"/>
    <w:rsid w:val="002F0B1E"/>
    <w:rsid w:val="002F1BFA"/>
    <w:rsid w:val="002F3DC4"/>
    <w:rsid w:val="002F3F9F"/>
    <w:rsid w:val="002F652E"/>
    <w:rsid w:val="002F6717"/>
    <w:rsid w:val="002F690D"/>
    <w:rsid w:val="002F6AAA"/>
    <w:rsid w:val="00305001"/>
    <w:rsid w:val="0030659C"/>
    <w:rsid w:val="00307988"/>
    <w:rsid w:val="00310216"/>
    <w:rsid w:val="00310C29"/>
    <w:rsid w:val="00311BA1"/>
    <w:rsid w:val="00311CB9"/>
    <w:rsid w:val="003140CB"/>
    <w:rsid w:val="00315288"/>
    <w:rsid w:val="003163BF"/>
    <w:rsid w:val="00316749"/>
    <w:rsid w:val="0031757E"/>
    <w:rsid w:val="00317C42"/>
    <w:rsid w:val="00323988"/>
    <w:rsid w:val="00323991"/>
    <w:rsid w:val="0032542B"/>
    <w:rsid w:val="003257E3"/>
    <w:rsid w:val="00330184"/>
    <w:rsid w:val="00330E9D"/>
    <w:rsid w:val="00331422"/>
    <w:rsid w:val="003326D9"/>
    <w:rsid w:val="00333477"/>
    <w:rsid w:val="003344EF"/>
    <w:rsid w:val="003354A8"/>
    <w:rsid w:val="0033591E"/>
    <w:rsid w:val="0034095B"/>
    <w:rsid w:val="00341A15"/>
    <w:rsid w:val="00343417"/>
    <w:rsid w:val="00343CDD"/>
    <w:rsid w:val="00344EE9"/>
    <w:rsid w:val="00353077"/>
    <w:rsid w:val="00354142"/>
    <w:rsid w:val="00354262"/>
    <w:rsid w:val="00356B1E"/>
    <w:rsid w:val="0035744E"/>
    <w:rsid w:val="00360078"/>
    <w:rsid w:val="003614B2"/>
    <w:rsid w:val="00361FFA"/>
    <w:rsid w:val="003637EE"/>
    <w:rsid w:val="00367311"/>
    <w:rsid w:val="003677A4"/>
    <w:rsid w:val="00367CA0"/>
    <w:rsid w:val="00367E80"/>
    <w:rsid w:val="0037036B"/>
    <w:rsid w:val="00371354"/>
    <w:rsid w:val="003726ED"/>
    <w:rsid w:val="00375D3D"/>
    <w:rsid w:val="00381599"/>
    <w:rsid w:val="00381AAD"/>
    <w:rsid w:val="00384B91"/>
    <w:rsid w:val="00385977"/>
    <w:rsid w:val="00387A3F"/>
    <w:rsid w:val="00387A7E"/>
    <w:rsid w:val="00390965"/>
    <w:rsid w:val="00391068"/>
    <w:rsid w:val="00391D53"/>
    <w:rsid w:val="0039251D"/>
    <w:rsid w:val="00392A56"/>
    <w:rsid w:val="00393B9E"/>
    <w:rsid w:val="003952FB"/>
    <w:rsid w:val="00396AD1"/>
    <w:rsid w:val="0039731D"/>
    <w:rsid w:val="003A1459"/>
    <w:rsid w:val="003A2CF9"/>
    <w:rsid w:val="003A65AE"/>
    <w:rsid w:val="003A70F7"/>
    <w:rsid w:val="003B1BF5"/>
    <w:rsid w:val="003B1FBC"/>
    <w:rsid w:val="003B2FE7"/>
    <w:rsid w:val="003B4058"/>
    <w:rsid w:val="003B4655"/>
    <w:rsid w:val="003B5F5E"/>
    <w:rsid w:val="003C190D"/>
    <w:rsid w:val="003C1FB3"/>
    <w:rsid w:val="003C25B7"/>
    <w:rsid w:val="003C3292"/>
    <w:rsid w:val="003C5A82"/>
    <w:rsid w:val="003C64C3"/>
    <w:rsid w:val="003C683E"/>
    <w:rsid w:val="003C6866"/>
    <w:rsid w:val="003C7064"/>
    <w:rsid w:val="003C79B5"/>
    <w:rsid w:val="003D13CA"/>
    <w:rsid w:val="003D1579"/>
    <w:rsid w:val="003E5216"/>
    <w:rsid w:val="003F291D"/>
    <w:rsid w:val="003F6325"/>
    <w:rsid w:val="003F6A17"/>
    <w:rsid w:val="00400AF6"/>
    <w:rsid w:val="00400D8A"/>
    <w:rsid w:val="00401125"/>
    <w:rsid w:val="00404BA3"/>
    <w:rsid w:val="00410A9B"/>
    <w:rsid w:val="00412F5A"/>
    <w:rsid w:val="0041385B"/>
    <w:rsid w:val="00413BB4"/>
    <w:rsid w:val="004141D1"/>
    <w:rsid w:val="00414CD4"/>
    <w:rsid w:val="00414D84"/>
    <w:rsid w:val="00417163"/>
    <w:rsid w:val="00417EC1"/>
    <w:rsid w:val="00417F9A"/>
    <w:rsid w:val="0042139A"/>
    <w:rsid w:val="004213A8"/>
    <w:rsid w:val="0042153F"/>
    <w:rsid w:val="00421C6D"/>
    <w:rsid w:val="00425230"/>
    <w:rsid w:val="0042529A"/>
    <w:rsid w:val="00431622"/>
    <w:rsid w:val="0043472F"/>
    <w:rsid w:val="00435655"/>
    <w:rsid w:val="00436DBB"/>
    <w:rsid w:val="00437054"/>
    <w:rsid w:val="0043729E"/>
    <w:rsid w:val="00440AA6"/>
    <w:rsid w:val="00441DF0"/>
    <w:rsid w:val="00441E2F"/>
    <w:rsid w:val="004429BB"/>
    <w:rsid w:val="00442EA7"/>
    <w:rsid w:val="00442F75"/>
    <w:rsid w:val="00443431"/>
    <w:rsid w:val="0044463F"/>
    <w:rsid w:val="00446DE6"/>
    <w:rsid w:val="0045022C"/>
    <w:rsid w:val="00451165"/>
    <w:rsid w:val="004514FE"/>
    <w:rsid w:val="00453C2B"/>
    <w:rsid w:val="00453E46"/>
    <w:rsid w:val="00453EEF"/>
    <w:rsid w:val="00454BA3"/>
    <w:rsid w:val="00455B0C"/>
    <w:rsid w:val="004563A1"/>
    <w:rsid w:val="00456BB3"/>
    <w:rsid w:val="004579A0"/>
    <w:rsid w:val="00460347"/>
    <w:rsid w:val="0046628E"/>
    <w:rsid w:val="0046734D"/>
    <w:rsid w:val="004674F3"/>
    <w:rsid w:val="00470618"/>
    <w:rsid w:val="004718D5"/>
    <w:rsid w:val="00472047"/>
    <w:rsid w:val="0047232D"/>
    <w:rsid w:val="0047336E"/>
    <w:rsid w:val="00474374"/>
    <w:rsid w:val="00474C79"/>
    <w:rsid w:val="00475261"/>
    <w:rsid w:val="00475267"/>
    <w:rsid w:val="00476861"/>
    <w:rsid w:val="00477CC0"/>
    <w:rsid w:val="004815D3"/>
    <w:rsid w:val="00482FAF"/>
    <w:rsid w:val="00484018"/>
    <w:rsid w:val="0048437A"/>
    <w:rsid w:val="00485B3A"/>
    <w:rsid w:val="00490240"/>
    <w:rsid w:val="00492504"/>
    <w:rsid w:val="00492C67"/>
    <w:rsid w:val="0049456D"/>
    <w:rsid w:val="004948D9"/>
    <w:rsid w:val="004964DA"/>
    <w:rsid w:val="004A202A"/>
    <w:rsid w:val="004A3A0E"/>
    <w:rsid w:val="004A45DA"/>
    <w:rsid w:val="004B016F"/>
    <w:rsid w:val="004B1AA2"/>
    <w:rsid w:val="004B2859"/>
    <w:rsid w:val="004B4F39"/>
    <w:rsid w:val="004B54E9"/>
    <w:rsid w:val="004B636B"/>
    <w:rsid w:val="004B6B40"/>
    <w:rsid w:val="004C3CB2"/>
    <w:rsid w:val="004C429C"/>
    <w:rsid w:val="004D007F"/>
    <w:rsid w:val="004D091F"/>
    <w:rsid w:val="004D1A3A"/>
    <w:rsid w:val="004D2C35"/>
    <w:rsid w:val="004D39D5"/>
    <w:rsid w:val="004D6569"/>
    <w:rsid w:val="004E02C8"/>
    <w:rsid w:val="004E4936"/>
    <w:rsid w:val="004E5E48"/>
    <w:rsid w:val="004E6351"/>
    <w:rsid w:val="004E7B27"/>
    <w:rsid w:val="004F011F"/>
    <w:rsid w:val="004F109E"/>
    <w:rsid w:val="004F307F"/>
    <w:rsid w:val="004F3CD4"/>
    <w:rsid w:val="004F3FB5"/>
    <w:rsid w:val="004F4B08"/>
    <w:rsid w:val="004F56C8"/>
    <w:rsid w:val="004F6872"/>
    <w:rsid w:val="004F7DA3"/>
    <w:rsid w:val="0050119F"/>
    <w:rsid w:val="005028A1"/>
    <w:rsid w:val="00503402"/>
    <w:rsid w:val="00507C98"/>
    <w:rsid w:val="00510E8C"/>
    <w:rsid w:val="005110A1"/>
    <w:rsid w:val="00511BC1"/>
    <w:rsid w:val="00516133"/>
    <w:rsid w:val="00516472"/>
    <w:rsid w:val="00517456"/>
    <w:rsid w:val="00520139"/>
    <w:rsid w:val="00520E6E"/>
    <w:rsid w:val="00521404"/>
    <w:rsid w:val="0052265E"/>
    <w:rsid w:val="00522A49"/>
    <w:rsid w:val="00523CF5"/>
    <w:rsid w:val="00525BD0"/>
    <w:rsid w:val="00525F08"/>
    <w:rsid w:val="005316D2"/>
    <w:rsid w:val="00531BD7"/>
    <w:rsid w:val="0053340A"/>
    <w:rsid w:val="00533F97"/>
    <w:rsid w:val="005341D7"/>
    <w:rsid w:val="00534932"/>
    <w:rsid w:val="00536B7B"/>
    <w:rsid w:val="00540E0A"/>
    <w:rsid w:val="00545AA2"/>
    <w:rsid w:val="00546F76"/>
    <w:rsid w:val="00551F71"/>
    <w:rsid w:val="00553C98"/>
    <w:rsid w:val="00555846"/>
    <w:rsid w:val="005565B7"/>
    <w:rsid w:val="00556727"/>
    <w:rsid w:val="00562BA7"/>
    <w:rsid w:val="0056518B"/>
    <w:rsid w:val="00565FCC"/>
    <w:rsid w:val="00567E17"/>
    <w:rsid w:val="00571F0F"/>
    <w:rsid w:val="00573EF6"/>
    <w:rsid w:val="0057450A"/>
    <w:rsid w:val="00575D93"/>
    <w:rsid w:val="005776E8"/>
    <w:rsid w:val="00581A95"/>
    <w:rsid w:val="00582881"/>
    <w:rsid w:val="00582FA4"/>
    <w:rsid w:val="00583355"/>
    <w:rsid w:val="00584012"/>
    <w:rsid w:val="0059173F"/>
    <w:rsid w:val="00591FF9"/>
    <w:rsid w:val="00594C76"/>
    <w:rsid w:val="00595329"/>
    <w:rsid w:val="00597682"/>
    <w:rsid w:val="005A07B6"/>
    <w:rsid w:val="005A1B51"/>
    <w:rsid w:val="005A311A"/>
    <w:rsid w:val="005A3F39"/>
    <w:rsid w:val="005A534D"/>
    <w:rsid w:val="005A6403"/>
    <w:rsid w:val="005B3F67"/>
    <w:rsid w:val="005B5B3E"/>
    <w:rsid w:val="005B5F8D"/>
    <w:rsid w:val="005B79CB"/>
    <w:rsid w:val="005B7E20"/>
    <w:rsid w:val="005C110B"/>
    <w:rsid w:val="005C25BF"/>
    <w:rsid w:val="005C44F5"/>
    <w:rsid w:val="005D031E"/>
    <w:rsid w:val="005D0CFB"/>
    <w:rsid w:val="005D12E7"/>
    <w:rsid w:val="005D1EE7"/>
    <w:rsid w:val="005D2469"/>
    <w:rsid w:val="005D335C"/>
    <w:rsid w:val="005D68C2"/>
    <w:rsid w:val="005E0996"/>
    <w:rsid w:val="005E1EF4"/>
    <w:rsid w:val="005E2E8E"/>
    <w:rsid w:val="005E3029"/>
    <w:rsid w:val="005E3581"/>
    <w:rsid w:val="005E3605"/>
    <w:rsid w:val="005E5EB5"/>
    <w:rsid w:val="005E680A"/>
    <w:rsid w:val="005E6C07"/>
    <w:rsid w:val="005F2CB1"/>
    <w:rsid w:val="005F36B1"/>
    <w:rsid w:val="005F3ED5"/>
    <w:rsid w:val="005F736B"/>
    <w:rsid w:val="005F7837"/>
    <w:rsid w:val="005F7C74"/>
    <w:rsid w:val="00601CE1"/>
    <w:rsid w:val="00602784"/>
    <w:rsid w:val="0060450D"/>
    <w:rsid w:val="00605073"/>
    <w:rsid w:val="006064DE"/>
    <w:rsid w:val="006070FF"/>
    <w:rsid w:val="006125FF"/>
    <w:rsid w:val="006127DE"/>
    <w:rsid w:val="006130FB"/>
    <w:rsid w:val="00613E95"/>
    <w:rsid w:val="00614491"/>
    <w:rsid w:val="00615F6C"/>
    <w:rsid w:val="006161C9"/>
    <w:rsid w:val="006168FD"/>
    <w:rsid w:val="00617113"/>
    <w:rsid w:val="0062397B"/>
    <w:rsid w:val="0062461E"/>
    <w:rsid w:val="00624883"/>
    <w:rsid w:val="00627E79"/>
    <w:rsid w:val="00631608"/>
    <w:rsid w:val="00636623"/>
    <w:rsid w:val="006370AA"/>
    <w:rsid w:val="00637E68"/>
    <w:rsid w:val="006405B4"/>
    <w:rsid w:val="006425DC"/>
    <w:rsid w:val="00642B10"/>
    <w:rsid w:val="00642C81"/>
    <w:rsid w:val="006437AB"/>
    <w:rsid w:val="00644822"/>
    <w:rsid w:val="00645BDA"/>
    <w:rsid w:val="00645FDD"/>
    <w:rsid w:val="006465ED"/>
    <w:rsid w:val="00650770"/>
    <w:rsid w:val="00651AC8"/>
    <w:rsid w:val="00652FE5"/>
    <w:rsid w:val="00653166"/>
    <w:rsid w:val="006533B6"/>
    <w:rsid w:val="00654FA5"/>
    <w:rsid w:val="0065630C"/>
    <w:rsid w:val="00656F11"/>
    <w:rsid w:val="006607FB"/>
    <w:rsid w:val="00662A85"/>
    <w:rsid w:val="00662BC7"/>
    <w:rsid w:val="0066399B"/>
    <w:rsid w:val="00664991"/>
    <w:rsid w:val="00664BC5"/>
    <w:rsid w:val="006667A5"/>
    <w:rsid w:val="00666C4D"/>
    <w:rsid w:val="006672DB"/>
    <w:rsid w:val="00667E87"/>
    <w:rsid w:val="00672108"/>
    <w:rsid w:val="006727A8"/>
    <w:rsid w:val="00674E96"/>
    <w:rsid w:val="0067685D"/>
    <w:rsid w:val="006771C2"/>
    <w:rsid w:val="0068037F"/>
    <w:rsid w:val="006827BB"/>
    <w:rsid w:val="006831E1"/>
    <w:rsid w:val="00683B0C"/>
    <w:rsid w:val="00684680"/>
    <w:rsid w:val="006849F0"/>
    <w:rsid w:val="0069407B"/>
    <w:rsid w:val="00694E9A"/>
    <w:rsid w:val="006958DD"/>
    <w:rsid w:val="0069685B"/>
    <w:rsid w:val="00696D85"/>
    <w:rsid w:val="0069776A"/>
    <w:rsid w:val="006A1EAC"/>
    <w:rsid w:val="006A25DB"/>
    <w:rsid w:val="006A3600"/>
    <w:rsid w:val="006A3C00"/>
    <w:rsid w:val="006A56B8"/>
    <w:rsid w:val="006A6507"/>
    <w:rsid w:val="006B0A06"/>
    <w:rsid w:val="006B2928"/>
    <w:rsid w:val="006B5FCB"/>
    <w:rsid w:val="006C04AC"/>
    <w:rsid w:val="006C1155"/>
    <w:rsid w:val="006C44AB"/>
    <w:rsid w:val="006C6077"/>
    <w:rsid w:val="006C6C33"/>
    <w:rsid w:val="006C7165"/>
    <w:rsid w:val="006D2955"/>
    <w:rsid w:val="006D3401"/>
    <w:rsid w:val="006D49BC"/>
    <w:rsid w:val="006D4A56"/>
    <w:rsid w:val="006D4D56"/>
    <w:rsid w:val="006D670E"/>
    <w:rsid w:val="006D6AA3"/>
    <w:rsid w:val="006D7456"/>
    <w:rsid w:val="006D7A8B"/>
    <w:rsid w:val="006E22A7"/>
    <w:rsid w:val="006E2856"/>
    <w:rsid w:val="006E4714"/>
    <w:rsid w:val="006E6CA2"/>
    <w:rsid w:val="006E6FFC"/>
    <w:rsid w:val="006F0232"/>
    <w:rsid w:val="006F0333"/>
    <w:rsid w:val="006F0A5B"/>
    <w:rsid w:val="006F290A"/>
    <w:rsid w:val="006F5DD2"/>
    <w:rsid w:val="007036C9"/>
    <w:rsid w:val="00703BA6"/>
    <w:rsid w:val="00704103"/>
    <w:rsid w:val="00704309"/>
    <w:rsid w:val="007053DA"/>
    <w:rsid w:val="00705E8D"/>
    <w:rsid w:val="00706004"/>
    <w:rsid w:val="00706493"/>
    <w:rsid w:val="00711B38"/>
    <w:rsid w:val="007179A2"/>
    <w:rsid w:val="00720329"/>
    <w:rsid w:val="007205B0"/>
    <w:rsid w:val="00720D0A"/>
    <w:rsid w:val="00720F39"/>
    <w:rsid w:val="007213F6"/>
    <w:rsid w:val="00721EAD"/>
    <w:rsid w:val="00723FD3"/>
    <w:rsid w:val="00727716"/>
    <w:rsid w:val="0073193C"/>
    <w:rsid w:val="007331CF"/>
    <w:rsid w:val="0073342B"/>
    <w:rsid w:val="007337A6"/>
    <w:rsid w:val="00733B09"/>
    <w:rsid w:val="00734D1B"/>
    <w:rsid w:val="00734D22"/>
    <w:rsid w:val="00734FFE"/>
    <w:rsid w:val="00735186"/>
    <w:rsid w:val="00736C27"/>
    <w:rsid w:val="00741B09"/>
    <w:rsid w:val="007438BD"/>
    <w:rsid w:val="007463FF"/>
    <w:rsid w:val="007466B1"/>
    <w:rsid w:val="0074793A"/>
    <w:rsid w:val="007511BD"/>
    <w:rsid w:val="007527E0"/>
    <w:rsid w:val="0075443A"/>
    <w:rsid w:val="00754730"/>
    <w:rsid w:val="00754945"/>
    <w:rsid w:val="00755CF9"/>
    <w:rsid w:val="0075609B"/>
    <w:rsid w:val="007567D6"/>
    <w:rsid w:val="00763B77"/>
    <w:rsid w:val="007647B9"/>
    <w:rsid w:val="00764EDF"/>
    <w:rsid w:val="0076577F"/>
    <w:rsid w:val="00766920"/>
    <w:rsid w:val="0077171C"/>
    <w:rsid w:val="00771951"/>
    <w:rsid w:val="00777110"/>
    <w:rsid w:val="00777394"/>
    <w:rsid w:val="007803D6"/>
    <w:rsid w:val="007870A9"/>
    <w:rsid w:val="00787FAC"/>
    <w:rsid w:val="0079061A"/>
    <w:rsid w:val="00793C68"/>
    <w:rsid w:val="00794341"/>
    <w:rsid w:val="00794820"/>
    <w:rsid w:val="007948EB"/>
    <w:rsid w:val="0079543F"/>
    <w:rsid w:val="00796137"/>
    <w:rsid w:val="0079676E"/>
    <w:rsid w:val="0079772F"/>
    <w:rsid w:val="007A08B3"/>
    <w:rsid w:val="007A164C"/>
    <w:rsid w:val="007A6867"/>
    <w:rsid w:val="007B1392"/>
    <w:rsid w:val="007B143C"/>
    <w:rsid w:val="007B33F7"/>
    <w:rsid w:val="007B42A3"/>
    <w:rsid w:val="007B4509"/>
    <w:rsid w:val="007B6E07"/>
    <w:rsid w:val="007C122E"/>
    <w:rsid w:val="007C1532"/>
    <w:rsid w:val="007C1969"/>
    <w:rsid w:val="007C26B7"/>
    <w:rsid w:val="007C4DE1"/>
    <w:rsid w:val="007C674F"/>
    <w:rsid w:val="007C6F1C"/>
    <w:rsid w:val="007C70E4"/>
    <w:rsid w:val="007D012C"/>
    <w:rsid w:val="007D63E6"/>
    <w:rsid w:val="007D650F"/>
    <w:rsid w:val="007E1B10"/>
    <w:rsid w:val="007E2695"/>
    <w:rsid w:val="007E2F6B"/>
    <w:rsid w:val="007E4C93"/>
    <w:rsid w:val="007E6D20"/>
    <w:rsid w:val="007F5E54"/>
    <w:rsid w:val="007F626B"/>
    <w:rsid w:val="007F6E1D"/>
    <w:rsid w:val="007F6EEE"/>
    <w:rsid w:val="007F7D33"/>
    <w:rsid w:val="00803906"/>
    <w:rsid w:val="00803D49"/>
    <w:rsid w:val="00804214"/>
    <w:rsid w:val="00806302"/>
    <w:rsid w:val="00806854"/>
    <w:rsid w:val="0080698F"/>
    <w:rsid w:val="0080709B"/>
    <w:rsid w:val="00807B9D"/>
    <w:rsid w:val="00810E52"/>
    <w:rsid w:val="008134BE"/>
    <w:rsid w:val="00813B82"/>
    <w:rsid w:val="00816DA2"/>
    <w:rsid w:val="0081767F"/>
    <w:rsid w:val="00820970"/>
    <w:rsid w:val="00820D32"/>
    <w:rsid w:val="00823260"/>
    <w:rsid w:val="00824F02"/>
    <w:rsid w:val="00826060"/>
    <w:rsid w:val="00826169"/>
    <w:rsid w:val="00830110"/>
    <w:rsid w:val="008301CD"/>
    <w:rsid w:val="00834886"/>
    <w:rsid w:val="00834C8F"/>
    <w:rsid w:val="0083526C"/>
    <w:rsid w:val="008358F1"/>
    <w:rsid w:val="00835F82"/>
    <w:rsid w:val="008373FD"/>
    <w:rsid w:val="00837658"/>
    <w:rsid w:val="008460F7"/>
    <w:rsid w:val="00850573"/>
    <w:rsid w:val="00850D13"/>
    <w:rsid w:val="00851133"/>
    <w:rsid w:val="00851585"/>
    <w:rsid w:val="00853A39"/>
    <w:rsid w:val="008562D1"/>
    <w:rsid w:val="00862926"/>
    <w:rsid w:val="00863BB0"/>
    <w:rsid w:val="00866B0A"/>
    <w:rsid w:val="008671FA"/>
    <w:rsid w:val="0087265A"/>
    <w:rsid w:val="008726A8"/>
    <w:rsid w:val="008739A7"/>
    <w:rsid w:val="008739D5"/>
    <w:rsid w:val="00876323"/>
    <w:rsid w:val="00877115"/>
    <w:rsid w:val="00883B8C"/>
    <w:rsid w:val="008842AF"/>
    <w:rsid w:val="008845FF"/>
    <w:rsid w:val="008862AA"/>
    <w:rsid w:val="00887A4A"/>
    <w:rsid w:val="0089029A"/>
    <w:rsid w:val="00894C35"/>
    <w:rsid w:val="008955C8"/>
    <w:rsid w:val="00897944"/>
    <w:rsid w:val="008A02B2"/>
    <w:rsid w:val="008A584A"/>
    <w:rsid w:val="008B0051"/>
    <w:rsid w:val="008B16FF"/>
    <w:rsid w:val="008C038A"/>
    <w:rsid w:val="008C1693"/>
    <w:rsid w:val="008C3494"/>
    <w:rsid w:val="008C6C19"/>
    <w:rsid w:val="008D22AE"/>
    <w:rsid w:val="008D315C"/>
    <w:rsid w:val="008D429F"/>
    <w:rsid w:val="008E2202"/>
    <w:rsid w:val="008E3E1D"/>
    <w:rsid w:val="008E4FAE"/>
    <w:rsid w:val="008E6CEA"/>
    <w:rsid w:val="008E7AC6"/>
    <w:rsid w:val="008E7C29"/>
    <w:rsid w:val="008E7C9C"/>
    <w:rsid w:val="008F0FDE"/>
    <w:rsid w:val="008F1C15"/>
    <w:rsid w:val="008F3B04"/>
    <w:rsid w:val="008F6140"/>
    <w:rsid w:val="008F77DA"/>
    <w:rsid w:val="008F7A29"/>
    <w:rsid w:val="0090684F"/>
    <w:rsid w:val="00910142"/>
    <w:rsid w:val="00911311"/>
    <w:rsid w:val="00911426"/>
    <w:rsid w:val="009125BD"/>
    <w:rsid w:val="0091299B"/>
    <w:rsid w:val="00915C58"/>
    <w:rsid w:val="009178AD"/>
    <w:rsid w:val="009205D7"/>
    <w:rsid w:val="009209E3"/>
    <w:rsid w:val="00920B3E"/>
    <w:rsid w:val="00920F75"/>
    <w:rsid w:val="009215DA"/>
    <w:rsid w:val="009236FE"/>
    <w:rsid w:val="00925BB3"/>
    <w:rsid w:val="00925F87"/>
    <w:rsid w:val="00926E05"/>
    <w:rsid w:val="00932001"/>
    <w:rsid w:val="00932673"/>
    <w:rsid w:val="009336EA"/>
    <w:rsid w:val="009338D4"/>
    <w:rsid w:val="009339F2"/>
    <w:rsid w:val="00933FC4"/>
    <w:rsid w:val="009349EE"/>
    <w:rsid w:val="00934C8B"/>
    <w:rsid w:val="00934DC1"/>
    <w:rsid w:val="0093508F"/>
    <w:rsid w:val="00935C73"/>
    <w:rsid w:val="009360EF"/>
    <w:rsid w:val="0093728A"/>
    <w:rsid w:val="0094186F"/>
    <w:rsid w:val="00942085"/>
    <w:rsid w:val="00942737"/>
    <w:rsid w:val="00942B71"/>
    <w:rsid w:val="00942FEC"/>
    <w:rsid w:val="00944A0F"/>
    <w:rsid w:val="00945228"/>
    <w:rsid w:val="00951995"/>
    <w:rsid w:val="009527D7"/>
    <w:rsid w:val="00953C0C"/>
    <w:rsid w:val="009568D5"/>
    <w:rsid w:val="00957092"/>
    <w:rsid w:val="00962132"/>
    <w:rsid w:val="00964607"/>
    <w:rsid w:val="00966DB3"/>
    <w:rsid w:val="00972A98"/>
    <w:rsid w:val="00975069"/>
    <w:rsid w:val="00976C38"/>
    <w:rsid w:val="00977412"/>
    <w:rsid w:val="009822B5"/>
    <w:rsid w:val="009865C7"/>
    <w:rsid w:val="00986825"/>
    <w:rsid w:val="00995831"/>
    <w:rsid w:val="009A3A1D"/>
    <w:rsid w:val="009A45DF"/>
    <w:rsid w:val="009A4B61"/>
    <w:rsid w:val="009A7058"/>
    <w:rsid w:val="009B1FAF"/>
    <w:rsid w:val="009B2FBC"/>
    <w:rsid w:val="009B4478"/>
    <w:rsid w:val="009B6201"/>
    <w:rsid w:val="009C1169"/>
    <w:rsid w:val="009C4F3F"/>
    <w:rsid w:val="009C50DB"/>
    <w:rsid w:val="009C6DD1"/>
    <w:rsid w:val="009D03A6"/>
    <w:rsid w:val="009D061F"/>
    <w:rsid w:val="009D0C50"/>
    <w:rsid w:val="009D1B86"/>
    <w:rsid w:val="009D2FAF"/>
    <w:rsid w:val="009D3977"/>
    <w:rsid w:val="009D458B"/>
    <w:rsid w:val="009D4FFB"/>
    <w:rsid w:val="009D50BE"/>
    <w:rsid w:val="009D7E3C"/>
    <w:rsid w:val="009E01B7"/>
    <w:rsid w:val="009E7348"/>
    <w:rsid w:val="009F0A3B"/>
    <w:rsid w:val="009F2E50"/>
    <w:rsid w:val="009F3649"/>
    <w:rsid w:val="009F5484"/>
    <w:rsid w:val="00A001B8"/>
    <w:rsid w:val="00A0050A"/>
    <w:rsid w:val="00A00C92"/>
    <w:rsid w:val="00A00DBD"/>
    <w:rsid w:val="00A03D88"/>
    <w:rsid w:val="00A04256"/>
    <w:rsid w:val="00A05BF4"/>
    <w:rsid w:val="00A076A7"/>
    <w:rsid w:val="00A10815"/>
    <w:rsid w:val="00A10B39"/>
    <w:rsid w:val="00A111A4"/>
    <w:rsid w:val="00A11AD1"/>
    <w:rsid w:val="00A124E7"/>
    <w:rsid w:val="00A12535"/>
    <w:rsid w:val="00A137C0"/>
    <w:rsid w:val="00A1408A"/>
    <w:rsid w:val="00A14557"/>
    <w:rsid w:val="00A15F19"/>
    <w:rsid w:val="00A20A40"/>
    <w:rsid w:val="00A20A8F"/>
    <w:rsid w:val="00A21EC3"/>
    <w:rsid w:val="00A23439"/>
    <w:rsid w:val="00A23EFA"/>
    <w:rsid w:val="00A25ECE"/>
    <w:rsid w:val="00A26013"/>
    <w:rsid w:val="00A26307"/>
    <w:rsid w:val="00A26A41"/>
    <w:rsid w:val="00A320D9"/>
    <w:rsid w:val="00A35121"/>
    <w:rsid w:val="00A36187"/>
    <w:rsid w:val="00A40734"/>
    <w:rsid w:val="00A421E0"/>
    <w:rsid w:val="00A42621"/>
    <w:rsid w:val="00A430F8"/>
    <w:rsid w:val="00A43404"/>
    <w:rsid w:val="00A43D90"/>
    <w:rsid w:val="00A4530B"/>
    <w:rsid w:val="00A46223"/>
    <w:rsid w:val="00A50C03"/>
    <w:rsid w:val="00A5165F"/>
    <w:rsid w:val="00A521E2"/>
    <w:rsid w:val="00A54A6D"/>
    <w:rsid w:val="00A564A0"/>
    <w:rsid w:val="00A56C6A"/>
    <w:rsid w:val="00A60A01"/>
    <w:rsid w:val="00A62919"/>
    <w:rsid w:val="00A63555"/>
    <w:rsid w:val="00A63BA7"/>
    <w:rsid w:val="00A6448B"/>
    <w:rsid w:val="00A64D5A"/>
    <w:rsid w:val="00A6572E"/>
    <w:rsid w:val="00A7181F"/>
    <w:rsid w:val="00A720BC"/>
    <w:rsid w:val="00A7484F"/>
    <w:rsid w:val="00A755DC"/>
    <w:rsid w:val="00A77D02"/>
    <w:rsid w:val="00A816EE"/>
    <w:rsid w:val="00A86CC9"/>
    <w:rsid w:val="00A86EF2"/>
    <w:rsid w:val="00A91034"/>
    <w:rsid w:val="00A91227"/>
    <w:rsid w:val="00A92AA4"/>
    <w:rsid w:val="00A951C0"/>
    <w:rsid w:val="00A96B16"/>
    <w:rsid w:val="00A96E9E"/>
    <w:rsid w:val="00A97365"/>
    <w:rsid w:val="00A9749E"/>
    <w:rsid w:val="00AA235F"/>
    <w:rsid w:val="00AA3113"/>
    <w:rsid w:val="00AA487D"/>
    <w:rsid w:val="00AA5902"/>
    <w:rsid w:val="00AA61E6"/>
    <w:rsid w:val="00AA6F53"/>
    <w:rsid w:val="00AB00AD"/>
    <w:rsid w:val="00AB019A"/>
    <w:rsid w:val="00AB2347"/>
    <w:rsid w:val="00AB2B1A"/>
    <w:rsid w:val="00AB2DA2"/>
    <w:rsid w:val="00AB2EED"/>
    <w:rsid w:val="00AB3069"/>
    <w:rsid w:val="00AB49B1"/>
    <w:rsid w:val="00AB7A9E"/>
    <w:rsid w:val="00AC2A1D"/>
    <w:rsid w:val="00AC35AF"/>
    <w:rsid w:val="00AC4120"/>
    <w:rsid w:val="00AC4816"/>
    <w:rsid w:val="00AC651E"/>
    <w:rsid w:val="00AC6BBB"/>
    <w:rsid w:val="00AD0EAE"/>
    <w:rsid w:val="00AD1428"/>
    <w:rsid w:val="00AD18B9"/>
    <w:rsid w:val="00AD347E"/>
    <w:rsid w:val="00AD3B1D"/>
    <w:rsid w:val="00AD49E0"/>
    <w:rsid w:val="00AD6B58"/>
    <w:rsid w:val="00AE0FA4"/>
    <w:rsid w:val="00AE3744"/>
    <w:rsid w:val="00AE4383"/>
    <w:rsid w:val="00AE46B1"/>
    <w:rsid w:val="00AE56A8"/>
    <w:rsid w:val="00AE7C42"/>
    <w:rsid w:val="00AF1BF1"/>
    <w:rsid w:val="00AF2806"/>
    <w:rsid w:val="00AF2B80"/>
    <w:rsid w:val="00AF2FC6"/>
    <w:rsid w:val="00AF73EC"/>
    <w:rsid w:val="00B010E6"/>
    <w:rsid w:val="00B05735"/>
    <w:rsid w:val="00B07D02"/>
    <w:rsid w:val="00B12D5C"/>
    <w:rsid w:val="00B13CD4"/>
    <w:rsid w:val="00B151E5"/>
    <w:rsid w:val="00B154A3"/>
    <w:rsid w:val="00B16DC3"/>
    <w:rsid w:val="00B21F93"/>
    <w:rsid w:val="00B2551E"/>
    <w:rsid w:val="00B265B0"/>
    <w:rsid w:val="00B30491"/>
    <w:rsid w:val="00B33586"/>
    <w:rsid w:val="00B33C30"/>
    <w:rsid w:val="00B33E8F"/>
    <w:rsid w:val="00B33E9A"/>
    <w:rsid w:val="00B4176A"/>
    <w:rsid w:val="00B423C6"/>
    <w:rsid w:val="00B42F67"/>
    <w:rsid w:val="00B468F0"/>
    <w:rsid w:val="00B51452"/>
    <w:rsid w:val="00B5256B"/>
    <w:rsid w:val="00B52DAF"/>
    <w:rsid w:val="00B55BA3"/>
    <w:rsid w:val="00B5616C"/>
    <w:rsid w:val="00B60DBC"/>
    <w:rsid w:val="00B63145"/>
    <w:rsid w:val="00B6374A"/>
    <w:rsid w:val="00B64D1C"/>
    <w:rsid w:val="00B65DC6"/>
    <w:rsid w:val="00B66001"/>
    <w:rsid w:val="00B6627F"/>
    <w:rsid w:val="00B705FC"/>
    <w:rsid w:val="00B710A5"/>
    <w:rsid w:val="00B74764"/>
    <w:rsid w:val="00B77765"/>
    <w:rsid w:val="00B77CE4"/>
    <w:rsid w:val="00B81F5F"/>
    <w:rsid w:val="00B81F7F"/>
    <w:rsid w:val="00B82391"/>
    <w:rsid w:val="00B82604"/>
    <w:rsid w:val="00B82A8E"/>
    <w:rsid w:val="00B863DD"/>
    <w:rsid w:val="00B877EE"/>
    <w:rsid w:val="00B87CBE"/>
    <w:rsid w:val="00B91070"/>
    <w:rsid w:val="00B93162"/>
    <w:rsid w:val="00B94D32"/>
    <w:rsid w:val="00B96188"/>
    <w:rsid w:val="00B97EE3"/>
    <w:rsid w:val="00BA2652"/>
    <w:rsid w:val="00BA5A4B"/>
    <w:rsid w:val="00BA7064"/>
    <w:rsid w:val="00BA76A9"/>
    <w:rsid w:val="00BB0356"/>
    <w:rsid w:val="00BB0D80"/>
    <w:rsid w:val="00BB1E41"/>
    <w:rsid w:val="00BB2C14"/>
    <w:rsid w:val="00BB3BB4"/>
    <w:rsid w:val="00BB4D51"/>
    <w:rsid w:val="00BB5784"/>
    <w:rsid w:val="00BB7E8C"/>
    <w:rsid w:val="00BC0820"/>
    <w:rsid w:val="00BC382C"/>
    <w:rsid w:val="00BC4288"/>
    <w:rsid w:val="00BC4BE4"/>
    <w:rsid w:val="00BC78DD"/>
    <w:rsid w:val="00BD09D9"/>
    <w:rsid w:val="00BD3526"/>
    <w:rsid w:val="00BD7DD0"/>
    <w:rsid w:val="00BE0C95"/>
    <w:rsid w:val="00BE2826"/>
    <w:rsid w:val="00BE29B4"/>
    <w:rsid w:val="00BE3220"/>
    <w:rsid w:val="00BE7E61"/>
    <w:rsid w:val="00BF0589"/>
    <w:rsid w:val="00BF11C0"/>
    <w:rsid w:val="00BF17A7"/>
    <w:rsid w:val="00BF2076"/>
    <w:rsid w:val="00BF207A"/>
    <w:rsid w:val="00BF24C2"/>
    <w:rsid w:val="00BF4D64"/>
    <w:rsid w:val="00C10978"/>
    <w:rsid w:val="00C125A6"/>
    <w:rsid w:val="00C133C2"/>
    <w:rsid w:val="00C134EE"/>
    <w:rsid w:val="00C14012"/>
    <w:rsid w:val="00C14AB9"/>
    <w:rsid w:val="00C1505E"/>
    <w:rsid w:val="00C15722"/>
    <w:rsid w:val="00C159BD"/>
    <w:rsid w:val="00C16268"/>
    <w:rsid w:val="00C167B6"/>
    <w:rsid w:val="00C171DA"/>
    <w:rsid w:val="00C21369"/>
    <w:rsid w:val="00C23337"/>
    <w:rsid w:val="00C242BD"/>
    <w:rsid w:val="00C24465"/>
    <w:rsid w:val="00C26317"/>
    <w:rsid w:val="00C26701"/>
    <w:rsid w:val="00C274C5"/>
    <w:rsid w:val="00C277F9"/>
    <w:rsid w:val="00C30339"/>
    <w:rsid w:val="00C3100F"/>
    <w:rsid w:val="00C32D92"/>
    <w:rsid w:val="00C33959"/>
    <w:rsid w:val="00C340CA"/>
    <w:rsid w:val="00C34C04"/>
    <w:rsid w:val="00C3603E"/>
    <w:rsid w:val="00C36F40"/>
    <w:rsid w:val="00C37EF8"/>
    <w:rsid w:val="00C4065C"/>
    <w:rsid w:val="00C41583"/>
    <w:rsid w:val="00C42A89"/>
    <w:rsid w:val="00C434CF"/>
    <w:rsid w:val="00C4380A"/>
    <w:rsid w:val="00C43875"/>
    <w:rsid w:val="00C438CA"/>
    <w:rsid w:val="00C45628"/>
    <w:rsid w:val="00C47014"/>
    <w:rsid w:val="00C477CA"/>
    <w:rsid w:val="00C47BC4"/>
    <w:rsid w:val="00C47D1C"/>
    <w:rsid w:val="00C47FE5"/>
    <w:rsid w:val="00C5362E"/>
    <w:rsid w:val="00C552C9"/>
    <w:rsid w:val="00C61A26"/>
    <w:rsid w:val="00C61DED"/>
    <w:rsid w:val="00C6219A"/>
    <w:rsid w:val="00C64E91"/>
    <w:rsid w:val="00C72B38"/>
    <w:rsid w:val="00C72E0C"/>
    <w:rsid w:val="00C74136"/>
    <w:rsid w:val="00C74359"/>
    <w:rsid w:val="00C767B1"/>
    <w:rsid w:val="00C77653"/>
    <w:rsid w:val="00C77EE9"/>
    <w:rsid w:val="00C801D9"/>
    <w:rsid w:val="00C828C3"/>
    <w:rsid w:val="00C86B33"/>
    <w:rsid w:val="00C86E34"/>
    <w:rsid w:val="00C90A85"/>
    <w:rsid w:val="00C9213A"/>
    <w:rsid w:val="00C92784"/>
    <w:rsid w:val="00C93055"/>
    <w:rsid w:val="00C93DBA"/>
    <w:rsid w:val="00C93FB8"/>
    <w:rsid w:val="00C94D7D"/>
    <w:rsid w:val="00C969E2"/>
    <w:rsid w:val="00C976B4"/>
    <w:rsid w:val="00CA2BF4"/>
    <w:rsid w:val="00CA54C7"/>
    <w:rsid w:val="00CA5B2C"/>
    <w:rsid w:val="00CA5E6A"/>
    <w:rsid w:val="00CB0B0B"/>
    <w:rsid w:val="00CB1C8C"/>
    <w:rsid w:val="00CB30A1"/>
    <w:rsid w:val="00CB3F10"/>
    <w:rsid w:val="00CB49EB"/>
    <w:rsid w:val="00CB562C"/>
    <w:rsid w:val="00CC067C"/>
    <w:rsid w:val="00CC0957"/>
    <w:rsid w:val="00CC0E2B"/>
    <w:rsid w:val="00CC168B"/>
    <w:rsid w:val="00CC3920"/>
    <w:rsid w:val="00CC4C6E"/>
    <w:rsid w:val="00CC715A"/>
    <w:rsid w:val="00CC7F90"/>
    <w:rsid w:val="00CD0B2F"/>
    <w:rsid w:val="00CD2217"/>
    <w:rsid w:val="00CD23F8"/>
    <w:rsid w:val="00CD39D7"/>
    <w:rsid w:val="00CD6BDA"/>
    <w:rsid w:val="00CE18F3"/>
    <w:rsid w:val="00CE1A47"/>
    <w:rsid w:val="00CE2A86"/>
    <w:rsid w:val="00CE437C"/>
    <w:rsid w:val="00CE4DFF"/>
    <w:rsid w:val="00CE6C66"/>
    <w:rsid w:val="00CE7D11"/>
    <w:rsid w:val="00CE7FC4"/>
    <w:rsid w:val="00CF0038"/>
    <w:rsid w:val="00CF2A76"/>
    <w:rsid w:val="00CF2A9A"/>
    <w:rsid w:val="00CF2C5A"/>
    <w:rsid w:val="00CF2CBE"/>
    <w:rsid w:val="00CF3844"/>
    <w:rsid w:val="00CF38DB"/>
    <w:rsid w:val="00CF6620"/>
    <w:rsid w:val="00CF6E69"/>
    <w:rsid w:val="00CF7EFF"/>
    <w:rsid w:val="00CF7F9F"/>
    <w:rsid w:val="00D00045"/>
    <w:rsid w:val="00D021C8"/>
    <w:rsid w:val="00D02BD7"/>
    <w:rsid w:val="00D0347F"/>
    <w:rsid w:val="00D066B4"/>
    <w:rsid w:val="00D07958"/>
    <w:rsid w:val="00D1170C"/>
    <w:rsid w:val="00D12908"/>
    <w:rsid w:val="00D15300"/>
    <w:rsid w:val="00D16FCD"/>
    <w:rsid w:val="00D2393B"/>
    <w:rsid w:val="00D243DC"/>
    <w:rsid w:val="00D3486F"/>
    <w:rsid w:val="00D37019"/>
    <w:rsid w:val="00D379BA"/>
    <w:rsid w:val="00D401BC"/>
    <w:rsid w:val="00D40B6C"/>
    <w:rsid w:val="00D40BE8"/>
    <w:rsid w:val="00D41901"/>
    <w:rsid w:val="00D45E66"/>
    <w:rsid w:val="00D461F3"/>
    <w:rsid w:val="00D46487"/>
    <w:rsid w:val="00D468AB"/>
    <w:rsid w:val="00D46A56"/>
    <w:rsid w:val="00D50311"/>
    <w:rsid w:val="00D51017"/>
    <w:rsid w:val="00D51DE3"/>
    <w:rsid w:val="00D52A5F"/>
    <w:rsid w:val="00D53BCF"/>
    <w:rsid w:val="00D56649"/>
    <w:rsid w:val="00D576FF"/>
    <w:rsid w:val="00D60DE7"/>
    <w:rsid w:val="00D621D8"/>
    <w:rsid w:val="00D628E2"/>
    <w:rsid w:val="00D63C88"/>
    <w:rsid w:val="00D65835"/>
    <w:rsid w:val="00D70C0C"/>
    <w:rsid w:val="00D71766"/>
    <w:rsid w:val="00D71ADA"/>
    <w:rsid w:val="00D720C2"/>
    <w:rsid w:val="00D723F6"/>
    <w:rsid w:val="00D72CD0"/>
    <w:rsid w:val="00D75273"/>
    <w:rsid w:val="00D75CFD"/>
    <w:rsid w:val="00D8050B"/>
    <w:rsid w:val="00D808C5"/>
    <w:rsid w:val="00D821F5"/>
    <w:rsid w:val="00D84E2A"/>
    <w:rsid w:val="00D84F07"/>
    <w:rsid w:val="00D8565A"/>
    <w:rsid w:val="00D85847"/>
    <w:rsid w:val="00D8624B"/>
    <w:rsid w:val="00D878F7"/>
    <w:rsid w:val="00D878FD"/>
    <w:rsid w:val="00D87D33"/>
    <w:rsid w:val="00D901EB"/>
    <w:rsid w:val="00D917D6"/>
    <w:rsid w:val="00D931F0"/>
    <w:rsid w:val="00D94107"/>
    <w:rsid w:val="00DA3944"/>
    <w:rsid w:val="00DA3AF4"/>
    <w:rsid w:val="00DA7716"/>
    <w:rsid w:val="00DA775B"/>
    <w:rsid w:val="00DA7B17"/>
    <w:rsid w:val="00DA7E08"/>
    <w:rsid w:val="00DC10F6"/>
    <w:rsid w:val="00DC2805"/>
    <w:rsid w:val="00DC2E90"/>
    <w:rsid w:val="00DC429C"/>
    <w:rsid w:val="00DC4F9B"/>
    <w:rsid w:val="00DC672B"/>
    <w:rsid w:val="00DC6CEC"/>
    <w:rsid w:val="00DC7695"/>
    <w:rsid w:val="00DC7839"/>
    <w:rsid w:val="00DD07FC"/>
    <w:rsid w:val="00DD0817"/>
    <w:rsid w:val="00DD20AF"/>
    <w:rsid w:val="00DD28FA"/>
    <w:rsid w:val="00DD515B"/>
    <w:rsid w:val="00DD56C8"/>
    <w:rsid w:val="00DD6007"/>
    <w:rsid w:val="00DD67BE"/>
    <w:rsid w:val="00DE011B"/>
    <w:rsid w:val="00DE0A55"/>
    <w:rsid w:val="00DE5B50"/>
    <w:rsid w:val="00DE60FC"/>
    <w:rsid w:val="00DE76B4"/>
    <w:rsid w:val="00DE77C8"/>
    <w:rsid w:val="00DF00A7"/>
    <w:rsid w:val="00DF5E79"/>
    <w:rsid w:val="00E04EF6"/>
    <w:rsid w:val="00E05860"/>
    <w:rsid w:val="00E05DA8"/>
    <w:rsid w:val="00E068E6"/>
    <w:rsid w:val="00E072CF"/>
    <w:rsid w:val="00E10A53"/>
    <w:rsid w:val="00E14EB4"/>
    <w:rsid w:val="00E1529E"/>
    <w:rsid w:val="00E15E29"/>
    <w:rsid w:val="00E17727"/>
    <w:rsid w:val="00E17938"/>
    <w:rsid w:val="00E200B8"/>
    <w:rsid w:val="00E20D13"/>
    <w:rsid w:val="00E24370"/>
    <w:rsid w:val="00E2516A"/>
    <w:rsid w:val="00E25341"/>
    <w:rsid w:val="00E26B71"/>
    <w:rsid w:val="00E33514"/>
    <w:rsid w:val="00E348E1"/>
    <w:rsid w:val="00E40064"/>
    <w:rsid w:val="00E40780"/>
    <w:rsid w:val="00E42952"/>
    <w:rsid w:val="00E42F37"/>
    <w:rsid w:val="00E4463F"/>
    <w:rsid w:val="00E509E3"/>
    <w:rsid w:val="00E51C31"/>
    <w:rsid w:val="00E52636"/>
    <w:rsid w:val="00E52815"/>
    <w:rsid w:val="00E53F7C"/>
    <w:rsid w:val="00E549B2"/>
    <w:rsid w:val="00E559F4"/>
    <w:rsid w:val="00E55E8C"/>
    <w:rsid w:val="00E62219"/>
    <w:rsid w:val="00E628C1"/>
    <w:rsid w:val="00E647F6"/>
    <w:rsid w:val="00E6548C"/>
    <w:rsid w:val="00E65495"/>
    <w:rsid w:val="00E6766E"/>
    <w:rsid w:val="00E70918"/>
    <w:rsid w:val="00E72C21"/>
    <w:rsid w:val="00E72DE5"/>
    <w:rsid w:val="00E73091"/>
    <w:rsid w:val="00E7406D"/>
    <w:rsid w:val="00E743F6"/>
    <w:rsid w:val="00E7491B"/>
    <w:rsid w:val="00E77EC0"/>
    <w:rsid w:val="00E81128"/>
    <w:rsid w:val="00E81945"/>
    <w:rsid w:val="00E85BF2"/>
    <w:rsid w:val="00E903F6"/>
    <w:rsid w:val="00E92266"/>
    <w:rsid w:val="00E93114"/>
    <w:rsid w:val="00E93FB1"/>
    <w:rsid w:val="00E94C60"/>
    <w:rsid w:val="00E953D3"/>
    <w:rsid w:val="00E96E6A"/>
    <w:rsid w:val="00EA4A29"/>
    <w:rsid w:val="00EA5343"/>
    <w:rsid w:val="00EA6F0D"/>
    <w:rsid w:val="00EA733C"/>
    <w:rsid w:val="00EB0DB8"/>
    <w:rsid w:val="00EB0E6E"/>
    <w:rsid w:val="00EB32C0"/>
    <w:rsid w:val="00EB4CAB"/>
    <w:rsid w:val="00EB5325"/>
    <w:rsid w:val="00EB63D5"/>
    <w:rsid w:val="00EB79DD"/>
    <w:rsid w:val="00EB7B36"/>
    <w:rsid w:val="00EC0583"/>
    <w:rsid w:val="00EC47ED"/>
    <w:rsid w:val="00EC71D0"/>
    <w:rsid w:val="00EC79ED"/>
    <w:rsid w:val="00ED07E2"/>
    <w:rsid w:val="00ED2AA9"/>
    <w:rsid w:val="00ED3833"/>
    <w:rsid w:val="00ED4DE6"/>
    <w:rsid w:val="00ED5652"/>
    <w:rsid w:val="00ED7444"/>
    <w:rsid w:val="00EE1703"/>
    <w:rsid w:val="00EE3434"/>
    <w:rsid w:val="00EE3DCF"/>
    <w:rsid w:val="00EE52D3"/>
    <w:rsid w:val="00EE7DE5"/>
    <w:rsid w:val="00EF0F83"/>
    <w:rsid w:val="00EF1581"/>
    <w:rsid w:val="00EF2348"/>
    <w:rsid w:val="00EF350E"/>
    <w:rsid w:val="00EF41FF"/>
    <w:rsid w:val="00EF49FB"/>
    <w:rsid w:val="00EF5605"/>
    <w:rsid w:val="00EF6454"/>
    <w:rsid w:val="00EF7594"/>
    <w:rsid w:val="00EF7819"/>
    <w:rsid w:val="00F008AE"/>
    <w:rsid w:val="00F008DD"/>
    <w:rsid w:val="00F00C91"/>
    <w:rsid w:val="00F01E10"/>
    <w:rsid w:val="00F07DFC"/>
    <w:rsid w:val="00F10A4E"/>
    <w:rsid w:val="00F11098"/>
    <w:rsid w:val="00F110D3"/>
    <w:rsid w:val="00F141F0"/>
    <w:rsid w:val="00F15160"/>
    <w:rsid w:val="00F169EE"/>
    <w:rsid w:val="00F16B23"/>
    <w:rsid w:val="00F16BD2"/>
    <w:rsid w:val="00F16CA9"/>
    <w:rsid w:val="00F2086E"/>
    <w:rsid w:val="00F22109"/>
    <w:rsid w:val="00F25DCD"/>
    <w:rsid w:val="00F261D7"/>
    <w:rsid w:val="00F271F9"/>
    <w:rsid w:val="00F30516"/>
    <w:rsid w:val="00F34A90"/>
    <w:rsid w:val="00F35E40"/>
    <w:rsid w:val="00F3618E"/>
    <w:rsid w:val="00F36C94"/>
    <w:rsid w:val="00F3728B"/>
    <w:rsid w:val="00F37743"/>
    <w:rsid w:val="00F41560"/>
    <w:rsid w:val="00F42911"/>
    <w:rsid w:val="00F43826"/>
    <w:rsid w:val="00F4405D"/>
    <w:rsid w:val="00F4547F"/>
    <w:rsid w:val="00F46B18"/>
    <w:rsid w:val="00F5049E"/>
    <w:rsid w:val="00F50D85"/>
    <w:rsid w:val="00F51862"/>
    <w:rsid w:val="00F52C50"/>
    <w:rsid w:val="00F5372E"/>
    <w:rsid w:val="00F54C7E"/>
    <w:rsid w:val="00F54DA9"/>
    <w:rsid w:val="00F55457"/>
    <w:rsid w:val="00F55D44"/>
    <w:rsid w:val="00F60154"/>
    <w:rsid w:val="00F614A3"/>
    <w:rsid w:val="00F646D3"/>
    <w:rsid w:val="00F651D0"/>
    <w:rsid w:val="00F677A0"/>
    <w:rsid w:val="00F67BFA"/>
    <w:rsid w:val="00F729AE"/>
    <w:rsid w:val="00F72ABA"/>
    <w:rsid w:val="00F75D89"/>
    <w:rsid w:val="00F805EE"/>
    <w:rsid w:val="00F806B6"/>
    <w:rsid w:val="00F81AED"/>
    <w:rsid w:val="00F8400A"/>
    <w:rsid w:val="00F85D06"/>
    <w:rsid w:val="00F87542"/>
    <w:rsid w:val="00F911E9"/>
    <w:rsid w:val="00F927E2"/>
    <w:rsid w:val="00F92A2C"/>
    <w:rsid w:val="00F9610B"/>
    <w:rsid w:val="00F96C44"/>
    <w:rsid w:val="00F9702C"/>
    <w:rsid w:val="00FA5270"/>
    <w:rsid w:val="00FA5579"/>
    <w:rsid w:val="00FA6094"/>
    <w:rsid w:val="00FA63E8"/>
    <w:rsid w:val="00FA645A"/>
    <w:rsid w:val="00FB2913"/>
    <w:rsid w:val="00FB508D"/>
    <w:rsid w:val="00FB66BE"/>
    <w:rsid w:val="00FC1C84"/>
    <w:rsid w:val="00FC2449"/>
    <w:rsid w:val="00FC51BC"/>
    <w:rsid w:val="00FC5642"/>
    <w:rsid w:val="00FC5A62"/>
    <w:rsid w:val="00FC6373"/>
    <w:rsid w:val="00FC6A8C"/>
    <w:rsid w:val="00FC7B66"/>
    <w:rsid w:val="00FD2BC2"/>
    <w:rsid w:val="00FD36A2"/>
    <w:rsid w:val="00FD38E0"/>
    <w:rsid w:val="00FD3AA7"/>
    <w:rsid w:val="00FD3E2E"/>
    <w:rsid w:val="00FD48C7"/>
    <w:rsid w:val="00FD4D55"/>
    <w:rsid w:val="00FD54D2"/>
    <w:rsid w:val="00FD5B2C"/>
    <w:rsid w:val="00FD65AA"/>
    <w:rsid w:val="00FD6BD8"/>
    <w:rsid w:val="00FD728B"/>
    <w:rsid w:val="00FE0A32"/>
    <w:rsid w:val="00FE1956"/>
    <w:rsid w:val="00FE1C8B"/>
    <w:rsid w:val="00FE28A1"/>
    <w:rsid w:val="00FE29F4"/>
    <w:rsid w:val="00FF3576"/>
    <w:rsid w:val="00FF3A12"/>
    <w:rsid w:val="00FF44FC"/>
    <w:rsid w:val="00FF5554"/>
    <w:rsid w:val="00FF5870"/>
    <w:rsid w:val="00FF5CF7"/>
    <w:rsid w:val="00FF6289"/>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D70C"/>
  <w15:docId w15:val="{7FCA2323-3043-49E9-90B5-3C9B60AF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8DB"/>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3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uiPriority w:val="34"/>
    <w:qFormat/>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2">
    <w:name w:val="Car2"/>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 w:type="character" w:customStyle="1" w:styleId="normaltextrun">
    <w:name w:val="normaltextrun"/>
    <w:basedOn w:val="Fuentedeprrafopredeter"/>
    <w:rsid w:val="00A00C92"/>
  </w:style>
  <w:style w:type="character" w:customStyle="1" w:styleId="ui-provider">
    <w:name w:val="ui-provider"/>
    <w:basedOn w:val="Fuentedeprrafopredeter"/>
    <w:rsid w:val="00D75CFD"/>
  </w:style>
  <w:style w:type="paragraph" w:styleId="Ttulo">
    <w:name w:val="Title"/>
    <w:basedOn w:val="Normal"/>
    <w:next w:val="Normal"/>
    <w:link w:val="TtuloCar"/>
    <w:uiPriority w:val="10"/>
    <w:qFormat/>
    <w:rsid w:val="000D53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530C"/>
    <w:rPr>
      <w:rFonts w:asciiTheme="majorHAnsi" w:eastAsiaTheme="majorEastAsia" w:hAnsiTheme="majorHAnsi" w:cstheme="majorBidi"/>
      <w:spacing w:val="-10"/>
      <w:kern w:val="28"/>
      <w:sz w:val="56"/>
      <w:szCs w:val="56"/>
      <w:lang w:eastAsia="en-US"/>
    </w:rPr>
  </w:style>
  <w:style w:type="paragraph" w:styleId="Sangradetextonormal">
    <w:name w:val="Body Text Indent"/>
    <w:basedOn w:val="Normal"/>
    <w:link w:val="SangradetextonormalCar"/>
    <w:uiPriority w:val="99"/>
    <w:unhideWhenUsed/>
    <w:rsid w:val="000D530C"/>
    <w:pPr>
      <w:spacing w:after="120"/>
      <w:ind w:left="283"/>
    </w:pPr>
  </w:style>
  <w:style w:type="character" w:customStyle="1" w:styleId="SangradetextonormalCar">
    <w:name w:val="Sangría de texto normal Car"/>
    <w:basedOn w:val="Fuentedeprrafopredeter"/>
    <w:link w:val="Sangradetextonormal"/>
    <w:uiPriority w:val="99"/>
    <w:rsid w:val="000D530C"/>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0D530C"/>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D530C"/>
    <w:rPr>
      <w:sz w:val="22"/>
      <w:szCs w:val="22"/>
      <w:lang w:eastAsia="en-US"/>
    </w:rPr>
  </w:style>
  <w:style w:type="paragraph" w:styleId="Revisin">
    <w:name w:val="Revision"/>
    <w:hidden/>
    <w:uiPriority w:val="99"/>
    <w:semiHidden/>
    <w:rsid w:val="002362CD"/>
    <w:rPr>
      <w:sz w:val="22"/>
      <w:szCs w:val="22"/>
      <w:lang w:eastAsia="en-US"/>
    </w:rPr>
  </w:style>
  <w:style w:type="character" w:styleId="Mencinsinresolver">
    <w:name w:val="Unresolved Mention"/>
    <w:basedOn w:val="Fuentedeprrafopredeter"/>
    <w:uiPriority w:val="99"/>
    <w:semiHidden/>
    <w:unhideWhenUsed/>
    <w:rsid w:val="009D7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086">
      <w:bodyDiv w:val="1"/>
      <w:marLeft w:val="0"/>
      <w:marRight w:val="0"/>
      <w:marTop w:val="0"/>
      <w:marBottom w:val="0"/>
      <w:divBdr>
        <w:top w:val="none" w:sz="0" w:space="0" w:color="auto"/>
        <w:left w:val="none" w:sz="0" w:space="0" w:color="auto"/>
        <w:bottom w:val="none" w:sz="0" w:space="0" w:color="auto"/>
        <w:right w:val="none" w:sz="0" w:space="0" w:color="auto"/>
      </w:divBdr>
      <w:divsChild>
        <w:div w:id="1177764879">
          <w:marLeft w:val="446"/>
          <w:marRight w:val="0"/>
          <w:marTop w:val="0"/>
          <w:marBottom w:val="0"/>
          <w:divBdr>
            <w:top w:val="none" w:sz="0" w:space="0" w:color="auto"/>
            <w:left w:val="none" w:sz="0" w:space="0" w:color="auto"/>
            <w:bottom w:val="none" w:sz="0" w:space="0" w:color="auto"/>
            <w:right w:val="none" w:sz="0" w:space="0" w:color="auto"/>
          </w:divBdr>
        </w:div>
      </w:divsChild>
    </w:div>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74271437">
      <w:marLeft w:val="0"/>
      <w:marRight w:val="0"/>
      <w:marTop w:val="0"/>
      <w:marBottom w:val="0"/>
      <w:divBdr>
        <w:top w:val="none" w:sz="0" w:space="0" w:color="auto"/>
        <w:left w:val="none" w:sz="0" w:space="0" w:color="auto"/>
        <w:bottom w:val="none" w:sz="0" w:space="0" w:color="auto"/>
        <w:right w:val="none" w:sz="0" w:space="0" w:color="auto"/>
      </w:divBdr>
      <w:divsChild>
        <w:div w:id="982003145">
          <w:marLeft w:val="0"/>
          <w:marRight w:val="0"/>
          <w:marTop w:val="0"/>
          <w:marBottom w:val="0"/>
          <w:divBdr>
            <w:top w:val="none" w:sz="0" w:space="0" w:color="auto"/>
            <w:left w:val="none" w:sz="0" w:space="0" w:color="auto"/>
            <w:bottom w:val="none" w:sz="0" w:space="0" w:color="auto"/>
            <w:right w:val="none" w:sz="0" w:space="0" w:color="auto"/>
          </w:divBdr>
        </w:div>
      </w:divsChild>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196702975">
      <w:bodyDiv w:val="1"/>
      <w:marLeft w:val="0"/>
      <w:marRight w:val="0"/>
      <w:marTop w:val="0"/>
      <w:marBottom w:val="0"/>
      <w:divBdr>
        <w:top w:val="none" w:sz="0" w:space="0" w:color="auto"/>
        <w:left w:val="none" w:sz="0" w:space="0" w:color="auto"/>
        <w:bottom w:val="none" w:sz="0" w:space="0" w:color="auto"/>
        <w:right w:val="none" w:sz="0" w:space="0" w:color="auto"/>
      </w:divBdr>
    </w:div>
    <w:div w:id="20306125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290478995">
      <w:marLeft w:val="0"/>
      <w:marRight w:val="0"/>
      <w:marTop w:val="0"/>
      <w:marBottom w:val="0"/>
      <w:divBdr>
        <w:top w:val="none" w:sz="0" w:space="0" w:color="auto"/>
        <w:left w:val="none" w:sz="0" w:space="0" w:color="auto"/>
        <w:bottom w:val="none" w:sz="0" w:space="0" w:color="auto"/>
        <w:right w:val="none" w:sz="0" w:space="0" w:color="auto"/>
      </w:divBdr>
      <w:divsChild>
        <w:div w:id="1469855428">
          <w:marLeft w:val="0"/>
          <w:marRight w:val="0"/>
          <w:marTop w:val="0"/>
          <w:marBottom w:val="0"/>
          <w:divBdr>
            <w:top w:val="none" w:sz="0" w:space="0" w:color="auto"/>
            <w:left w:val="none" w:sz="0" w:space="0" w:color="auto"/>
            <w:bottom w:val="none" w:sz="0" w:space="0" w:color="auto"/>
            <w:right w:val="none" w:sz="0" w:space="0" w:color="auto"/>
          </w:divBdr>
        </w:div>
      </w:divsChild>
    </w:div>
    <w:div w:id="319434124">
      <w:marLeft w:val="0"/>
      <w:marRight w:val="0"/>
      <w:marTop w:val="0"/>
      <w:marBottom w:val="0"/>
      <w:divBdr>
        <w:top w:val="none" w:sz="0" w:space="0" w:color="auto"/>
        <w:left w:val="none" w:sz="0" w:space="0" w:color="auto"/>
        <w:bottom w:val="none" w:sz="0" w:space="0" w:color="auto"/>
        <w:right w:val="none" w:sz="0" w:space="0" w:color="auto"/>
      </w:divBdr>
      <w:divsChild>
        <w:div w:id="1686638794">
          <w:marLeft w:val="0"/>
          <w:marRight w:val="0"/>
          <w:marTop w:val="0"/>
          <w:marBottom w:val="0"/>
          <w:divBdr>
            <w:top w:val="none" w:sz="0" w:space="0" w:color="auto"/>
            <w:left w:val="none" w:sz="0" w:space="0" w:color="auto"/>
            <w:bottom w:val="none" w:sz="0" w:space="0" w:color="auto"/>
            <w:right w:val="none" w:sz="0" w:space="0" w:color="auto"/>
          </w:divBdr>
        </w:div>
      </w:divsChild>
    </w:div>
    <w:div w:id="320429154">
      <w:marLeft w:val="0"/>
      <w:marRight w:val="0"/>
      <w:marTop w:val="0"/>
      <w:marBottom w:val="0"/>
      <w:divBdr>
        <w:top w:val="none" w:sz="0" w:space="0" w:color="auto"/>
        <w:left w:val="none" w:sz="0" w:space="0" w:color="auto"/>
        <w:bottom w:val="none" w:sz="0" w:space="0" w:color="auto"/>
        <w:right w:val="none" w:sz="0" w:space="0" w:color="auto"/>
      </w:divBdr>
      <w:divsChild>
        <w:div w:id="730422883">
          <w:marLeft w:val="0"/>
          <w:marRight w:val="0"/>
          <w:marTop w:val="0"/>
          <w:marBottom w:val="0"/>
          <w:divBdr>
            <w:top w:val="none" w:sz="0" w:space="0" w:color="auto"/>
            <w:left w:val="none" w:sz="0" w:space="0" w:color="auto"/>
            <w:bottom w:val="none" w:sz="0" w:space="0" w:color="auto"/>
            <w:right w:val="none" w:sz="0" w:space="0" w:color="auto"/>
          </w:divBdr>
        </w:div>
      </w:divsChild>
    </w:div>
    <w:div w:id="343556929">
      <w:marLeft w:val="0"/>
      <w:marRight w:val="0"/>
      <w:marTop w:val="0"/>
      <w:marBottom w:val="0"/>
      <w:divBdr>
        <w:top w:val="none" w:sz="0" w:space="0" w:color="auto"/>
        <w:left w:val="none" w:sz="0" w:space="0" w:color="auto"/>
        <w:bottom w:val="none" w:sz="0" w:space="0" w:color="auto"/>
        <w:right w:val="none" w:sz="0" w:space="0" w:color="auto"/>
      </w:divBdr>
      <w:divsChild>
        <w:div w:id="1116631542">
          <w:marLeft w:val="0"/>
          <w:marRight w:val="0"/>
          <w:marTop w:val="0"/>
          <w:marBottom w:val="0"/>
          <w:divBdr>
            <w:top w:val="none" w:sz="0" w:space="0" w:color="auto"/>
            <w:left w:val="none" w:sz="0" w:space="0" w:color="auto"/>
            <w:bottom w:val="none" w:sz="0" w:space="0" w:color="auto"/>
            <w:right w:val="none" w:sz="0" w:space="0" w:color="auto"/>
          </w:divBdr>
        </w:div>
      </w:divsChild>
    </w:div>
    <w:div w:id="351566811">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494419524">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16848466">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57908773">
      <w:marLeft w:val="0"/>
      <w:marRight w:val="0"/>
      <w:marTop w:val="0"/>
      <w:marBottom w:val="0"/>
      <w:divBdr>
        <w:top w:val="none" w:sz="0" w:space="0" w:color="auto"/>
        <w:left w:val="none" w:sz="0" w:space="0" w:color="auto"/>
        <w:bottom w:val="none" w:sz="0" w:space="0" w:color="auto"/>
        <w:right w:val="none" w:sz="0" w:space="0" w:color="auto"/>
      </w:divBdr>
      <w:divsChild>
        <w:div w:id="305745529">
          <w:marLeft w:val="0"/>
          <w:marRight w:val="0"/>
          <w:marTop w:val="0"/>
          <w:marBottom w:val="0"/>
          <w:divBdr>
            <w:top w:val="none" w:sz="0" w:space="0" w:color="auto"/>
            <w:left w:val="none" w:sz="0" w:space="0" w:color="auto"/>
            <w:bottom w:val="none" w:sz="0" w:space="0" w:color="auto"/>
            <w:right w:val="none" w:sz="0" w:space="0" w:color="auto"/>
          </w:divBdr>
        </w:div>
      </w:divsChild>
    </w:div>
    <w:div w:id="561644258">
      <w:marLeft w:val="0"/>
      <w:marRight w:val="0"/>
      <w:marTop w:val="0"/>
      <w:marBottom w:val="0"/>
      <w:divBdr>
        <w:top w:val="none" w:sz="0" w:space="0" w:color="auto"/>
        <w:left w:val="none" w:sz="0" w:space="0" w:color="auto"/>
        <w:bottom w:val="none" w:sz="0" w:space="0" w:color="auto"/>
        <w:right w:val="none" w:sz="0" w:space="0" w:color="auto"/>
      </w:divBdr>
      <w:divsChild>
        <w:div w:id="1572278337">
          <w:marLeft w:val="0"/>
          <w:marRight w:val="0"/>
          <w:marTop w:val="0"/>
          <w:marBottom w:val="0"/>
          <w:divBdr>
            <w:top w:val="none" w:sz="0" w:space="0" w:color="auto"/>
            <w:left w:val="none" w:sz="0" w:space="0" w:color="auto"/>
            <w:bottom w:val="none" w:sz="0" w:space="0" w:color="auto"/>
            <w:right w:val="none" w:sz="0" w:space="0" w:color="auto"/>
          </w:divBdr>
        </w:div>
      </w:divsChild>
    </w:div>
    <w:div w:id="588781492">
      <w:marLeft w:val="0"/>
      <w:marRight w:val="0"/>
      <w:marTop w:val="0"/>
      <w:marBottom w:val="0"/>
      <w:divBdr>
        <w:top w:val="none" w:sz="0" w:space="0" w:color="auto"/>
        <w:left w:val="none" w:sz="0" w:space="0" w:color="auto"/>
        <w:bottom w:val="none" w:sz="0" w:space="0" w:color="auto"/>
        <w:right w:val="none" w:sz="0" w:space="0" w:color="auto"/>
      </w:divBdr>
      <w:divsChild>
        <w:div w:id="1593051841">
          <w:marLeft w:val="0"/>
          <w:marRight w:val="0"/>
          <w:marTop w:val="0"/>
          <w:marBottom w:val="0"/>
          <w:divBdr>
            <w:top w:val="none" w:sz="0" w:space="0" w:color="auto"/>
            <w:left w:val="none" w:sz="0" w:space="0" w:color="auto"/>
            <w:bottom w:val="none" w:sz="0" w:space="0" w:color="auto"/>
            <w:right w:val="none" w:sz="0" w:space="0" w:color="auto"/>
          </w:divBdr>
        </w:div>
      </w:divsChild>
    </w:div>
    <w:div w:id="589044446">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02421949">
      <w:marLeft w:val="0"/>
      <w:marRight w:val="0"/>
      <w:marTop w:val="0"/>
      <w:marBottom w:val="0"/>
      <w:divBdr>
        <w:top w:val="none" w:sz="0" w:space="0" w:color="auto"/>
        <w:left w:val="none" w:sz="0" w:space="0" w:color="auto"/>
        <w:bottom w:val="none" w:sz="0" w:space="0" w:color="auto"/>
        <w:right w:val="none" w:sz="0" w:space="0" w:color="auto"/>
      </w:divBdr>
      <w:divsChild>
        <w:div w:id="1696807978">
          <w:marLeft w:val="0"/>
          <w:marRight w:val="0"/>
          <w:marTop w:val="0"/>
          <w:marBottom w:val="0"/>
          <w:divBdr>
            <w:top w:val="none" w:sz="0" w:space="0" w:color="auto"/>
            <w:left w:val="none" w:sz="0" w:space="0" w:color="auto"/>
            <w:bottom w:val="none" w:sz="0" w:space="0" w:color="auto"/>
            <w:right w:val="none" w:sz="0" w:space="0" w:color="auto"/>
          </w:divBdr>
        </w:div>
      </w:divsChild>
    </w:div>
    <w:div w:id="611131043">
      <w:marLeft w:val="0"/>
      <w:marRight w:val="0"/>
      <w:marTop w:val="0"/>
      <w:marBottom w:val="0"/>
      <w:divBdr>
        <w:top w:val="none" w:sz="0" w:space="0" w:color="auto"/>
        <w:left w:val="none" w:sz="0" w:space="0" w:color="auto"/>
        <w:bottom w:val="none" w:sz="0" w:space="0" w:color="auto"/>
        <w:right w:val="none" w:sz="0" w:space="0" w:color="auto"/>
      </w:divBdr>
      <w:divsChild>
        <w:div w:id="296423182">
          <w:marLeft w:val="0"/>
          <w:marRight w:val="0"/>
          <w:marTop w:val="0"/>
          <w:marBottom w:val="0"/>
          <w:divBdr>
            <w:top w:val="none" w:sz="0" w:space="0" w:color="auto"/>
            <w:left w:val="none" w:sz="0" w:space="0" w:color="auto"/>
            <w:bottom w:val="none" w:sz="0" w:space="0" w:color="auto"/>
            <w:right w:val="none" w:sz="0" w:space="0" w:color="auto"/>
          </w:divBdr>
        </w:div>
      </w:divsChild>
    </w:div>
    <w:div w:id="642197937">
      <w:bodyDiv w:val="1"/>
      <w:marLeft w:val="0"/>
      <w:marRight w:val="0"/>
      <w:marTop w:val="0"/>
      <w:marBottom w:val="0"/>
      <w:divBdr>
        <w:top w:val="none" w:sz="0" w:space="0" w:color="auto"/>
        <w:left w:val="none" w:sz="0" w:space="0" w:color="auto"/>
        <w:bottom w:val="none" w:sz="0" w:space="0" w:color="auto"/>
        <w:right w:val="none" w:sz="0" w:space="0" w:color="auto"/>
      </w:divBdr>
    </w:div>
    <w:div w:id="649796506">
      <w:marLeft w:val="0"/>
      <w:marRight w:val="0"/>
      <w:marTop w:val="0"/>
      <w:marBottom w:val="0"/>
      <w:divBdr>
        <w:top w:val="none" w:sz="0" w:space="0" w:color="auto"/>
        <w:left w:val="none" w:sz="0" w:space="0" w:color="auto"/>
        <w:bottom w:val="none" w:sz="0" w:space="0" w:color="auto"/>
        <w:right w:val="none" w:sz="0" w:space="0" w:color="auto"/>
      </w:divBdr>
      <w:divsChild>
        <w:div w:id="540552413">
          <w:marLeft w:val="0"/>
          <w:marRight w:val="0"/>
          <w:marTop w:val="0"/>
          <w:marBottom w:val="0"/>
          <w:divBdr>
            <w:top w:val="none" w:sz="0" w:space="0" w:color="auto"/>
            <w:left w:val="none" w:sz="0" w:space="0" w:color="auto"/>
            <w:bottom w:val="none" w:sz="0" w:space="0" w:color="auto"/>
            <w:right w:val="none" w:sz="0" w:space="0" w:color="auto"/>
          </w:divBdr>
        </w:div>
      </w:divsChild>
    </w:div>
    <w:div w:id="679477854">
      <w:marLeft w:val="0"/>
      <w:marRight w:val="0"/>
      <w:marTop w:val="0"/>
      <w:marBottom w:val="0"/>
      <w:divBdr>
        <w:top w:val="none" w:sz="0" w:space="0" w:color="auto"/>
        <w:left w:val="none" w:sz="0" w:space="0" w:color="auto"/>
        <w:bottom w:val="none" w:sz="0" w:space="0" w:color="auto"/>
        <w:right w:val="none" w:sz="0" w:space="0" w:color="auto"/>
      </w:divBdr>
      <w:divsChild>
        <w:div w:id="918558666">
          <w:marLeft w:val="0"/>
          <w:marRight w:val="0"/>
          <w:marTop w:val="0"/>
          <w:marBottom w:val="0"/>
          <w:divBdr>
            <w:top w:val="none" w:sz="0" w:space="0" w:color="auto"/>
            <w:left w:val="none" w:sz="0" w:space="0" w:color="auto"/>
            <w:bottom w:val="none" w:sz="0" w:space="0" w:color="auto"/>
            <w:right w:val="none" w:sz="0" w:space="0" w:color="auto"/>
          </w:divBdr>
        </w:div>
      </w:divsChild>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695036211">
      <w:bodyDiv w:val="1"/>
      <w:marLeft w:val="0"/>
      <w:marRight w:val="0"/>
      <w:marTop w:val="0"/>
      <w:marBottom w:val="0"/>
      <w:divBdr>
        <w:top w:val="none" w:sz="0" w:space="0" w:color="auto"/>
        <w:left w:val="none" w:sz="0" w:space="0" w:color="auto"/>
        <w:bottom w:val="none" w:sz="0" w:space="0" w:color="auto"/>
        <w:right w:val="none" w:sz="0" w:space="0" w:color="auto"/>
      </w:divBdr>
    </w:div>
    <w:div w:id="727070665">
      <w:marLeft w:val="0"/>
      <w:marRight w:val="0"/>
      <w:marTop w:val="0"/>
      <w:marBottom w:val="0"/>
      <w:divBdr>
        <w:top w:val="none" w:sz="0" w:space="0" w:color="auto"/>
        <w:left w:val="none" w:sz="0" w:space="0" w:color="auto"/>
        <w:bottom w:val="none" w:sz="0" w:space="0" w:color="auto"/>
        <w:right w:val="none" w:sz="0" w:space="0" w:color="auto"/>
      </w:divBdr>
      <w:divsChild>
        <w:div w:id="794719488">
          <w:marLeft w:val="0"/>
          <w:marRight w:val="0"/>
          <w:marTop w:val="0"/>
          <w:marBottom w:val="0"/>
          <w:divBdr>
            <w:top w:val="none" w:sz="0" w:space="0" w:color="auto"/>
            <w:left w:val="none" w:sz="0" w:space="0" w:color="auto"/>
            <w:bottom w:val="none" w:sz="0" w:space="0" w:color="auto"/>
            <w:right w:val="none" w:sz="0" w:space="0" w:color="auto"/>
          </w:divBdr>
        </w:div>
      </w:divsChild>
    </w:div>
    <w:div w:id="772942596">
      <w:bodyDiv w:val="1"/>
      <w:marLeft w:val="0"/>
      <w:marRight w:val="0"/>
      <w:marTop w:val="0"/>
      <w:marBottom w:val="0"/>
      <w:divBdr>
        <w:top w:val="none" w:sz="0" w:space="0" w:color="auto"/>
        <w:left w:val="none" w:sz="0" w:space="0" w:color="auto"/>
        <w:bottom w:val="none" w:sz="0" w:space="0" w:color="auto"/>
        <w:right w:val="none" w:sz="0" w:space="0" w:color="auto"/>
      </w:divBdr>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40660652">
      <w:marLeft w:val="0"/>
      <w:marRight w:val="0"/>
      <w:marTop w:val="0"/>
      <w:marBottom w:val="0"/>
      <w:divBdr>
        <w:top w:val="none" w:sz="0" w:space="0" w:color="auto"/>
        <w:left w:val="none" w:sz="0" w:space="0" w:color="auto"/>
        <w:bottom w:val="none" w:sz="0" w:space="0" w:color="auto"/>
        <w:right w:val="none" w:sz="0" w:space="0" w:color="auto"/>
      </w:divBdr>
      <w:divsChild>
        <w:div w:id="1918242511">
          <w:marLeft w:val="0"/>
          <w:marRight w:val="0"/>
          <w:marTop w:val="0"/>
          <w:marBottom w:val="0"/>
          <w:divBdr>
            <w:top w:val="none" w:sz="0" w:space="0" w:color="auto"/>
            <w:left w:val="none" w:sz="0" w:space="0" w:color="auto"/>
            <w:bottom w:val="none" w:sz="0" w:space="0" w:color="auto"/>
            <w:right w:val="none" w:sz="0" w:space="0" w:color="auto"/>
          </w:divBdr>
        </w:div>
      </w:divsChild>
    </w:div>
    <w:div w:id="841822341">
      <w:bodyDiv w:val="1"/>
      <w:marLeft w:val="0"/>
      <w:marRight w:val="0"/>
      <w:marTop w:val="0"/>
      <w:marBottom w:val="0"/>
      <w:divBdr>
        <w:top w:val="none" w:sz="0" w:space="0" w:color="auto"/>
        <w:left w:val="none" w:sz="0" w:space="0" w:color="auto"/>
        <w:bottom w:val="none" w:sz="0" w:space="0" w:color="auto"/>
        <w:right w:val="none" w:sz="0" w:space="0" w:color="auto"/>
      </w:divBdr>
    </w:div>
    <w:div w:id="848711555">
      <w:bodyDiv w:val="1"/>
      <w:marLeft w:val="0"/>
      <w:marRight w:val="0"/>
      <w:marTop w:val="0"/>
      <w:marBottom w:val="0"/>
      <w:divBdr>
        <w:top w:val="none" w:sz="0" w:space="0" w:color="auto"/>
        <w:left w:val="none" w:sz="0" w:space="0" w:color="auto"/>
        <w:bottom w:val="none" w:sz="0" w:space="0" w:color="auto"/>
        <w:right w:val="none" w:sz="0" w:space="0" w:color="auto"/>
      </w:divBdr>
    </w:div>
    <w:div w:id="852765729">
      <w:marLeft w:val="0"/>
      <w:marRight w:val="0"/>
      <w:marTop w:val="0"/>
      <w:marBottom w:val="0"/>
      <w:divBdr>
        <w:top w:val="none" w:sz="0" w:space="0" w:color="auto"/>
        <w:left w:val="none" w:sz="0" w:space="0" w:color="auto"/>
        <w:bottom w:val="none" w:sz="0" w:space="0" w:color="auto"/>
        <w:right w:val="none" w:sz="0" w:space="0" w:color="auto"/>
      </w:divBdr>
      <w:divsChild>
        <w:div w:id="1848326266">
          <w:marLeft w:val="0"/>
          <w:marRight w:val="0"/>
          <w:marTop w:val="0"/>
          <w:marBottom w:val="0"/>
          <w:divBdr>
            <w:top w:val="none" w:sz="0" w:space="0" w:color="auto"/>
            <w:left w:val="none" w:sz="0" w:space="0" w:color="auto"/>
            <w:bottom w:val="none" w:sz="0" w:space="0" w:color="auto"/>
            <w:right w:val="none" w:sz="0" w:space="0" w:color="auto"/>
          </w:divBdr>
        </w:div>
      </w:divsChild>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891115577">
      <w:bodyDiv w:val="1"/>
      <w:marLeft w:val="0"/>
      <w:marRight w:val="0"/>
      <w:marTop w:val="0"/>
      <w:marBottom w:val="0"/>
      <w:divBdr>
        <w:top w:val="none" w:sz="0" w:space="0" w:color="auto"/>
        <w:left w:val="none" w:sz="0" w:space="0" w:color="auto"/>
        <w:bottom w:val="none" w:sz="0" w:space="0" w:color="auto"/>
        <w:right w:val="none" w:sz="0" w:space="0" w:color="auto"/>
      </w:divBdr>
    </w:div>
    <w:div w:id="904148305">
      <w:marLeft w:val="0"/>
      <w:marRight w:val="0"/>
      <w:marTop w:val="0"/>
      <w:marBottom w:val="0"/>
      <w:divBdr>
        <w:top w:val="none" w:sz="0" w:space="0" w:color="auto"/>
        <w:left w:val="none" w:sz="0" w:space="0" w:color="auto"/>
        <w:bottom w:val="none" w:sz="0" w:space="0" w:color="auto"/>
        <w:right w:val="none" w:sz="0" w:space="0" w:color="auto"/>
      </w:divBdr>
      <w:divsChild>
        <w:div w:id="500245568">
          <w:marLeft w:val="0"/>
          <w:marRight w:val="0"/>
          <w:marTop w:val="0"/>
          <w:marBottom w:val="0"/>
          <w:divBdr>
            <w:top w:val="none" w:sz="0" w:space="0" w:color="auto"/>
            <w:left w:val="none" w:sz="0" w:space="0" w:color="auto"/>
            <w:bottom w:val="none" w:sz="0" w:space="0" w:color="auto"/>
            <w:right w:val="none" w:sz="0" w:space="0" w:color="auto"/>
          </w:divBdr>
        </w:div>
      </w:divsChild>
    </w:div>
    <w:div w:id="906260013">
      <w:marLeft w:val="0"/>
      <w:marRight w:val="0"/>
      <w:marTop w:val="0"/>
      <w:marBottom w:val="0"/>
      <w:divBdr>
        <w:top w:val="none" w:sz="0" w:space="0" w:color="auto"/>
        <w:left w:val="none" w:sz="0" w:space="0" w:color="auto"/>
        <w:bottom w:val="none" w:sz="0" w:space="0" w:color="auto"/>
        <w:right w:val="none" w:sz="0" w:space="0" w:color="auto"/>
      </w:divBdr>
      <w:divsChild>
        <w:div w:id="540480154">
          <w:marLeft w:val="0"/>
          <w:marRight w:val="0"/>
          <w:marTop w:val="0"/>
          <w:marBottom w:val="0"/>
          <w:divBdr>
            <w:top w:val="none" w:sz="0" w:space="0" w:color="auto"/>
            <w:left w:val="none" w:sz="0" w:space="0" w:color="auto"/>
            <w:bottom w:val="none" w:sz="0" w:space="0" w:color="auto"/>
            <w:right w:val="none" w:sz="0" w:space="0" w:color="auto"/>
          </w:divBdr>
        </w:div>
      </w:divsChild>
    </w:div>
    <w:div w:id="964775661">
      <w:bodyDiv w:val="1"/>
      <w:marLeft w:val="0"/>
      <w:marRight w:val="0"/>
      <w:marTop w:val="0"/>
      <w:marBottom w:val="0"/>
      <w:divBdr>
        <w:top w:val="none" w:sz="0" w:space="0" w:color="auto"/>
        <w:left w:val="none" w:sz="0" w:space="0" w:color="auto"/>
        <w:bottom w:val="none" w:sz="0" w:space="0" w:color="auto"/>
        <w:right w:val="none" w:sz="0" w:space="0" w:color="auto"/>
      </w:divBdr>
    </w:div>
    <w:div w:id="977078230">
      <w:marLeft w:val="0"/>
      <w:marRight w:val="0"/>
      <w:marTop w:val="0"/>
      <w:marBottom w:val="0"/>
      <w:divBdr>
        <w:top w:val="none" w:sz="0" w:space="0" w:color="auto"/>
        <w:left w:val="none" w:sz="0" w:space="0" w:color="auto"/>
        <w:bottom w:val="none" w:sz="0" w:space="0" w:color="auto"/>
        <w:right w:val="none" w:sz="0" w:space="0" w:color="auto"/>
      </w:divBdr>
      <w:divsChild>
        <w:div w:id="611477699">
          <w:marLeft w:val="0"/>
          <w:marRight w:val="0"/>
          <w:marTop w:val="0"/>
          <w:marBottom w:val="0"/>
          <w:divBdr>
            <w:top w:val="none" w:sz="0" w:space="0" w:color="auto"/>
            <w:left w:val="none" w:sz="0" w:space="0" w:color="auto"/>
            <w:bottom w:val="none" w:sz="0" w:space="0" w:color="auto"/>
            <w:right w:val="none" w:sz="0" w:space="0" w:color="auto"/>
          </w:divBdr>
        </w:div>
      </w:divsChild>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072772966">
      <w:marLeft w:val="0"/>
      <w:marRight w:val="0"/>
      <w:marTop w:val="0"/>
      <w:marBottom w:val="0"/>
      <w:divBdr>
        <w:top w:val="none" w:sz="0" w:space="0" w:color="auto"/>
        <w:left w:val="none" w:sz="0" w:space="0" w:color="auto"/>
        <w:bottom w:val="none" w:sz="0" w:space="0" w:color="auto"/>
        <w:right w:val="none" w:sz="0" w:space="0" w:color="auto"/>
      </w:divBdr>
      <w:divsChild>
        <w:div w:id="26567825">
          <w:marLeft w:val="0"/>
          <w:marRight w:val="0"/>
          <w:marTop w:val="0"/>
          <w:marBottom w:val="0"/>
          <w:divBdr>
            <w:top w:val="none" w:sz="0" w:space="0" w:color="auto"/>
            <w:left w:val="none" w:sz="0" w:space="0" w:color="auto"/>
            <w:bottom w:val="none" w:sz="0" w:space="0" w:color="auto"/>
            <w:right w:val="none" w:sz="0" w:space="0" w:color="auto"/>
          </w:divBdr>
        </w:div>
      </w:divsChild>
    </w:div>
    <w:div w:id="1110468349">
      <w:bodyDiv w:val="1"/>
      <w:marLeft w:val="0"/>
      <w:marRight w:val="0"/>
      <w:marTop w:val="0"/>
      <w:marBottom w:val="0"/>
      <w:divBdr>
        <w:top w:val="none" w:sz="0" w:space="0" w:color="auto"/>
        <w:left w:val="none" w:sz="0" w:space="0" w:color="auto"/>
        <w:bottom w:val="none" w:sz="0" w:space="0" w:color="auto"/>
        <w:right w:val="none" w:sz="0" w:space="0" w:color="auto"/>
      </w:divBdr>
    </w:div>
    <w:div w:id="1110507971">
      <w:marLeft w:val="0"/>
      <w:marRight w:val="0"/>
      <w:marTop w:val="0"/>
      <w:marBottom w:val="0"/>
      <w:divBdr>
        <w:top w:val="none" w:sz="0" w:space="0" w:color="auto"/>
        <w:left w:val="none" w:sz="0" w:space="0" w:color="auto"/>
        <w:bottom w:val="none" w:sz="0" w:space="0" w:color="auto"/>
        <w:right w:val="none" w:sz="0" w:space="0" w:color="auto"/>
      </w:divBdr>
      <w:divsChild>
        <w:div w:id="1760372844">
          <w:marLeft w:val="0"/>
          <w:marRight w:val="0"/>
          <w:marTop w:val="0"/>
          <w:marBottom w:val="0"/>
          <w:divBdr>
            <w:top w:val="none" w:sz="0" w:space="0" w:color="auto"/>
            <w:left w:val="none" w:sz="0" w:space="0" w:color="auto"/>
            <w:bottom w:val="none" w:sz="0" w:space="0" w:color="auto"/>
            <w:right w:val="none" w:sz="0" w:space="0" w:color="auto"/>
          </w:divBdr>
        </w:div>
      </w:divsChild>
    </w:div>
    <w:div w:id="1142696090">
      <w:marLeft w:val="0"/>
      <w:marRight w:val="0"/>
      <w:marTop w:val="0"/>
      <w:marBottom w:val="0"/>
      <w:divBdr>
        <w:top w:val="none" w:sz="0" w:space="0" w:color="auto"/>
        <w:left w:val="none" w:sz="0" w:space="0" w:color="auto"/>
        <w:bottom w:val="none" w:sz="0" w:space="0" w:color="auto"/>
        <w:right w:val="none" w:sz="0" w:space="0" w:color="auto"/>
      </w:divBdr>
      <w:divsChild>
        <w:div w:id="387534258">
          <w:marLeft w:val="0"/>
          <w:marRight w:val="0"/>
          <w:marTop w:val="0"/>
          <w:marBottom w:val="0"/>
          <w:divBdr>
            <w:top w:val="none" w:sz="0" w:space="0" w:color="auto"/>
            <w:left w:val="none" w:sz="0" w:space="0" w:color="auto"/>
            <w:bottom w:val="none" w:sz="0" w:space="0" w:color="auto"/>
            <w:right w:val="none" w:sz="0" w:space="0" w:color="auto"/>
          </w:divBdr>
        </w:div>
      </w:divsChild>
    </w:div>
    <w:div w:id="1180777215">
      <w:bodyDiv w:val="1"/>
      <w:marLeft w:val="0"/>
      <w:marRight w:val="0"/>
      <w:marTop w:val="0"/>
      <w:marBottom w:val="0"/>
      <w:divBdr>
        <w:top w:val="none" w:sz="0" w:space="0" w:color="auto"/>
        <w:left w:val="none" w:sz="0" w:space="0" w:color="auto"/>
        <w:bottom w:val="none" w:sz="0" w:space="0" w:color="auto"/>
        <w:right w:val="none" w:sz="0" w:space="0" w:color="auto"/>
      </w:divBdr>
    </w:div>
    <w:div w:id="1235775206">
      <w:marLeft w:val="0"/>
      <w:marRight w:val="0"/>
      <w:marTop w:val="0"/>
      <w:marBottom w:val="0"/>
      <w:divBdr>
        <w:top w:val="none" w:sz="0" w:space="0" w:color="auto"/>
        <w:left w:val="none" w:sz="0" w:space="0" w:color="auto"/>
        <w:bottom w:val="none" w:sz="0" w:space="0" w:color="auto"/>
        <w:right w:val="none" w:sz="0" w:space="0" w:color="auto"/>
      </w:divBdr>
      <w:divsChild>
        <w:div w:id="533621562">
          <w:marLeft w:val="0"/>
          <w:marRight w:val="0"/>
          <w:marTop w:val="0"/>
          <w:marBottom w:val="0"/>
          <w:divBdr>
            <w:top w:val="none" w:sz="0" w:space="0" w:color="auto"/>
            <w:left w:val="none" w:sz="0" w:space="0" w:color="auto"/>
            <w:bottom w:val="none" w:sz="0" w:space="0" w:color="auto"/>
            <w:right w:val="none" w:sz="0" w:space="0" w:color="auto"/>
          </w:divBdr>
        </w:div>
      </w:divsChild>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264999870">
      <w:bodyDiv w:val="1"/>
      <w:marLeft w:val="0"/>
      <w:marRight w:val="0"/>
      <w:marTop w:val="0"/>
      <w:marBottom w:val="0"/>
      <w:divBdr>
        <w:top w:val="none" w:sz="0" w:space="0" w:color="auto"/>
        <w:left w:val="none" w:sz="0" w:space="0" w:color="auto"/>
        <w:bottom w:val="none" w:sz="0" w:space="0" w:color="auto"/>
        <w:right w:val="none" w:sz="0" w:space="0" w:color="auto"/>
      </w:divBdr>
      <w:divsChild>
        <w:div w:id="433793616">
          <w:marLeft w:val="0"/>
          <w:marRight w:val="0"/>
          <w:marTop w:val="0"/>
          <w:marBottom w:val="0"/>
          <w:divBdr>
            <w:top w:val="none" w:sz="0" w:space="0" w:color="auto"/>
            <w:left w:val="none" w:sz="0" w:space="0" w:color="auto"/>
            <w:bottom w:val="none" w:sz="0" w:space="0" w:color="auto"/>
            <w:right w:val="none" w:sz="0" w:space="0" w:color="auto"/>
          </w:divBdr>
          <w:divsChild>
            <w:div w:id="15126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3410">
      <w:marLeft w:val="0"/>
      <w:marRight w:val="0"/>
      <w:marTop w:val="0"/>
      <w:marBottom w:val="0"/>
      <w:divBdr>
        <w:top w:val="none" w:sz="0" w:space="0" w:color="auto"/>
        <w:left w:val="none" w:sz="0" w:space="0" w:color="auto"/>
        <w:bottom w:val="none" w:sz="0" w:space="0" w:color="auto"/>
        <w:right w:val="none" w:sz="0" w:space="0" w:color="auto"/>
      </w:divBdr>
      <w:divsChild>
        <w:div w:id="1036202019">
          <w:marLeft w:val="0"/>
          <w:marRight w:val="0"/>
          <w:marTop w:val="0"/>
          <w:marBottom w:val="0"/>
          <w:divBdr>
            <w:top w:val="none" w:sz="0" w:space="0" w:color="auto"/>
            <w:left w:val="none" w:sz="0" w:space="0" w:color="auto"/>
            <w:bottom w:val="none" w:sz="0" w:space="0" w:color="auto"/>
            <w:right w:val="none" w:sz="0" w:space="0" w:color="auto"/>
          </w:divBdr>
        </w:div>
      </w:divsChild>
    </w:div>
    <w:div w:id="1330137535">
      <w:bodyDiv w:val="1"/>
      <w:marLeft w:val="0"/>
      <w:marRight w:val="0"/>
      <w:marTop w:val="0"/>
      <w:marBottom w:val="0"/>
      <w:divBdr>
        <w:top w:val="none" w:sz="0" w:space="0" w:color="auto"/>
        <w:left w:val="none" w:sz="0" w:space="0" w:color="auto"/>
        <w:bottom w:val="none" w:sz="0" w:space="0" w:color="auto"/>
        <w:right w:val="none" w:sz="0" w:space="0" w:color="auto"/>
      </w:divBdr>
    </w:div>
    <w:div w:id="1356880922">
      <w:marLeft w:val="0"/>
      <w:marRight w:val="0"/>
      <w:marTop w:val="0"/>
      <w:marBottom w:val="0"/>
      <w:divBdr>
        <w:top w:val="none" w:sz="0" w:space="0" w:color="auto"/>
        <w:left w:val="none" w:sz="0" w:space="0" w:color="auto"/>
        <w:bottom w:val="none" w:sz="0" w:space="0" w:color="auto"/>
        <w:right w:val="none" w:sz="0" w:space="0" w:color="auto"/>
      </w:divBdr>
      <w:divsChild>
        <w:div w:id="1541631363">
          <w:marLeft w:val="0"/>
          <w:marRight w:val="0"/>
          <w:marTop w:val="0"/>
          <w:marBottom w:val="0"/>
          <w:divBdr>
            <w:top w:val="none" w:sz="0" w:space="0" w:color="auto"/>
            <w:left w:val="none" w:sz="0" w:space="0" w:color="auto"/>
            <w:bottom w:val="none" w:sz="0" w:space="0" w:color="auto"/>
            <w:right w:val="none" w:sz="0" w:space="0" w:color="auto"/>
          </w:divBdr>
        </w:div>
      </w:divsChild>
    </w:div>
    <w:div w:id="1409691786">
      <w:bodyDiv w:val="1"/>
      <w:marLeft w:val="0"/>
      <w:marRight w:val="0"/>
      <w:marTop w:val="0"/>
      <w:marBottom w:val="0"/>
      <w:divBdr>
        <w:top w:val="none" w:sz="0" w:space="0" w:color="auto"/>
        <w:left w:val="none" w:sz="0" w:space="0" w:color="auto"/>
        <w:bottom w:val="none" w:sz="0" w:space="0" w:color="auto"/>
        <w:right w:val="none" w:sz="0" w:space="0" w:color="auto"/>
      </w:divBdr>
    </w:div>
    <w:div w:id="1413240963">
      <w:marLeft w:val="0"/>
      <w:marRight w:val="0"/>
      <w:marTop w:val="0"/>
      <w:marBottom w:val="0"/>
      <w:divBdr>
        <w:top w:val="none" w:sz="0" w:space="0" w:color="auto"/>
        <w:left w:val="none" w:sz="0" w:space="0" w:color="auto"/>
        <w:bottom w:val="none" w:sz="0" w:space="0" w:color="auto"/>
        <w:right w:val="none" w:sz="0" w:space="0" w:color="auto"/>
      </w:divBdr>
      <w:divsChild>
        <w:div w:id="1798449340">
          <w:marLeft w:val="0"/>
          <w:marRight w:val="0"/>
          <w:marTop w:val="0"/>
          <w:marBottom w:val="0"/>
          <w:divBdr>
            <w:top w:val="none" w:sz="0" w:space="0" w:color="auto"/>
            <w:left w:val="none" w:sz="0" w:space="0" w:color="auto"/>
            <w:bottom w:val="none" w:sz="0" w:space="0" w:color="auto"/>
            <w:right w:val="none" w:sz="0" w:space="0" w:color="auto"/>
          </w:divBdr>
        </w:div>
      </w:divsChild>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043006">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49099408">
      <w:marLeft w:val="0"/>
      <w:marRight w:val="0"/>
      <w:marTop w:val="0"/>
      <w:marBottom w:val="0"/>
      <w:divBdr>
        <w:top w:val="none" w:sz="0" w:space="0" w:color="auto"/>
        <w:left w:val="none" w:sz="0" w:space="0" w:color="auto"/>
        <w:bottom w:val="none" w:sz="0" w:space="0" w:color="auto"/>
        <w:right w:val="none" w:sz="0" w:space="0" w:color="auto"/>
      </w:divBdr>
      <w:divsChild>
        <w:div w:id="974749410">
          <w:marLeft w:val="0"/>
          <w:marRight w:val="0"/>
          <w:marTop w:val="0"/>
          <w:marBottom w:val="0"/>
          <w:divBdr>
            <w:top w:val="none" w:sz="0" w:space="0" w:color="auto"/>
            <w:left w:val="none" w:sz="0" w:space="0" w:color="auto"/>
            <w:bottom w:val="none" w:sz="0" w:space="0" w:color="auto"/>
            <w:right w:val="none" w:sz="0" w:space="0" w:color="auto"/>
          </w:divBdr>
        </w:div>
      </w:divsChild>
    </w:div>
    <w:div w:id="1557551035">
      <w:marLeft w:val="0"/>
      <w:marRight w:val="0"/>
      <w:marTop w:val="0"/>
      <w:marBottom w:val="0"/>
      <w:divBdr>
        <w:top w:val="none" w:sz="0" w:space="0" w:color="auto"/>
        <w:left w:val="none" w:sz="0" w:space="0" w:color="auto"/>
        <w:bottom w:val="none" w:sz="0" w:space="0" w:color="auto"/>
        <w:right w:val="none" w:sz="0" w:space="0" w:color="auto"/>
      </w:divBdr>
      <w:divsChild>
        <w:div w:id="856384301">
          <w:marLeft w:val="0"/>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627353135">
      <w:bodyDiv w:val="1"/>
      <w:marLeft w:val="0"/>
      <w:marRight w:val="0"/>
      <w:marTop w:val="0"/>
      <w:marBottom w:val="0"/>
      <w:divBdr>
        <w:top w:val="none" w:sz="0" w:space="0" w:color="auto"/>
        <w:left w:val="none" w:sz="0" w:space="0" w:color="auto"/>
        <w:bottom w:val="none" w:sz="0" w:space="0" w:color="auto"/>
        <w:right w:val="none" w:sz="0" w:space="0" w:color="auto"/>
      </w:divBdr>
      <w:divsChild>
        <w:div w:id="1382942290">
          <w:marLeft w:val="0"/>
          <w:marRight w:val="0"/>
          <w:marTop w:val="0"/>
          <w:marBottom w:val="0"/>
          <w:divBdr>
            <w:top w:val="none" w:sz="0" w:space="0" w:color="auto"/>
            <w:left w:val="none" w:sz="0" w:space="0" w:color="auto"/>
            <w:bottom w:val="none" w:sz="0" w:space="0" w:color="auto"/>
            <w:right w:val="none" w:sz="0" w:space="0" w:color="auto"/>
          </w:divBdr>
          <w:divsChild>
            <w:div w:id="845360070">
              <w:marLeft w:val="0"/>
              <w:marRight w:val="0"/>
              <w:marTop w:val="0"/>
              <w:marBottom w:val="0"/>
              <w:divBdr>
                <w:top w:val="none" w:sz="0" w:space="0" w:color="auto"/>
                <w:left w:val="none" w:sz="0" w:space="0" w:color="auto"/>
                <w:bottom w:val="none" w:sz="0" w:space="0" w:color="auto"/>
                <w:right w:val="none" w:sz="0" w:space="0" w:color="auto"/>
              </w:divBdr>
              <w:divsChild>
                <w:div w:id="1769960441">
                  <w:marLeft w:val="0"/>
                  <w:marRight w:val="0"/>
                  <w:marTop w:val="0"/>
                  <w:marBottom w:val="0"/>
                  <w:divBdr>
                    <w:top w:val="none" w:sz="0" w:space="0" w:color="auto"/>
                    <w:left w:val="none" w:sz="0" w:space="0" w:color="auto"/>
                    <w:bottom w:val="none" w:sz="0" w:space="0" w:color="auto"/>
                    <w:right w:val="none" w:sz="0" w:space="0" w:color="auto"/>
                  </w:divBdr>
                  <w:divsChild>
                    <w:div w:id="126778746">
                      <w:marLeft w:val="0"/>
                      <w:marRight w:val="0"/>
                      <w:marTop w:val="0"/>
                      <w:marBottom w:val="0"/>
                      <w:divBdr>
                        <w:top w:val="none" w:sz="0" w:space="0" w:color="auto"/>
                        <w:left w:val="none" w:sz="0" w:space="0" w:color="auto"/>
                        <w:bottom w:val="none" w:sz="0" w:space="0" w:color="auto"/>
                        <w:right w:val="none" w:sz="0" w:space="0" w:color="auto"/>
                      </w:divBdr>
                      <w:divsChild>
                        <w:div w:id="1600870990">
                          <w:marLeft w:val="0"/>
                          <w:marRight w:val="0"/>
                          <w:marTop w:val="0"/>
                          <w:marBottom w:val="0"/>
                          <w:divBdr>
                            <w:top w:val="none" w:sz="0" w:space="0" w:color="auto"/>
                            <w:left w:val="none" w:sz="0" w:space="0" w:color="auto"/>
                            <w:bottom w:val="none" w:sz="0" w:space="0" w:color="auto"/>
                            <w:right w:val="none" w:sz="0" w:space="0" w:color="auto"/>
                          </w:divBdr>
                          <w:divsChild>
                            <w:div w:id="1642080575">
                              <w:marLeft w:val="0"/>
                              <w:marRight w:val="0"/>
                              <w:marTop w:val="0"/>
                              <w:marBottom w:val="0"/>
                              <w:divBdr>
                                <w:top w:val="none" w:sz="0" w:space="0" w:color="auto"/>
                                <w:left w:val="none" w:sz="0" w:space="0" w:color="auto"/>
                                <w:bottom w:val="none" w:sz="0" w:space="0" w:color="auto"/>
                                <w:right w:val="none" w:sz="0" w:space="0" w:color="auto"/>
                              </w:divBdr>
                              <w:divsChild>
                                <w:div w:id="183051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82786">
          <w:marLeft w:val="0"/>
          <w:marRight w:val="0"/>
          <w:marTop w:val="0"/>
          <w:marBottom w:val="0"/>
          <w:divBdr>
            <w:top w:val="none" w:sz="0" w:space="0" w:color="auto"/>
            <w:left w:val="none" w:sz="0" w:space="0" w:color="auto"/>
            <w:bottom w:val="none" w:sz="0" w:space="0" w:color="auto"/>
            <w:right w:val="none" w:sz="0" w:space="0" w:color="auto"/>
          </w:divBdr>
          <w:divsChild>
            <w:div w:id="1831872328">
              <w:marLeft w:val="0"/>
              <w:marRight w:val="0"/>
              <w:marTop w:val="0"/>
              <w:marBottom w:val="0"/>
              <w:divBdr>
                <w:top w:val="none" w:sz="0" w:space="0" w:color="auto"/>
                <w:left w:val="none" w:sz="0" w:space="0" w:color="auto"/>
                <w:bottom w:val="none" w:sz="0" w:space="0" w:color="auto"/>
                <w:right w:val="none" w:sz="0" w:space="0" w:color="auto"/>
              </w:divBdr>
              <w:divsChild>
                <w:div w:id="2145849645">
                  <w:marLeft w:val="0"/>
                  <w:marRight w:val="0"/>
                  <w:marTop w:val="0"/>
                  <w:marBottom w:val="0"/>
                  <w:divBdr>
                    <w:top w:val="none" w:sz="0" w:space="0" w:color="auto"/>
                    <w:left w:val="none" w:sz="0" w:space="0" w:color="auto"/>
                    <w:bottom w:val="none" w:sz="0" w:space="0" w:color="auto"/>
                    <w:right w:val="none" w:sz="0" w:space="0" w:color="auto"/>
                  </w:divBdr>
                  <w:divsChild>
                    <w:div w:id="26374669">
                      <w:marLeft w:val="0"/>
                      <w:marRight w:val="0"/>
                      <w:marTop w:val="0"/>
                      <w:marBottom w:val="0"/>
                      <w:divBdr>
                        <w:top w:val="none" w:sz="0" w:space="0" w:color="auto"/>
                        <w:left w:val="none" w:sz="0" w:space="0" w:color="auto"/>
                        <w:bottom w:val="none" w:sz="0" w:space="0" w:color="auto"/>
                        <w:right w:val="none" w:sz="0" w:space="0" w:color="auto"/>
                      </w:divBdr>
                      <w:divsChild>
                        <w:div w:id="1720477513">
                          <w:marLeft w:val="0"/>
                          <w:marRight w:val="0"/>
                          <w:marTop w:val="0"/>
                          <w:marBottom w:val="0"/>
                          <w:divBdr>
                            <w:top w:val="none" w:sz="0" w:space="0" w:color="auto"/>
                            <w:left w:val="none" w:sz="0" w:space="0" w:color="auto"/>
                            <w:bottom w:val="none" w:sz="0" w:space="0" w:color="auto"/>
                            <w:right w:val="none" w:sz="0" w:space="0" w:color="auto"/>
                          </w:divBdr>
                          <w:divsChild>
                            <w:div w:id="1394426790">
                              <w:marLeft w:val="0"/>
                              <w:marRight w:val="0"/>
                              <w:marTop w:val="0"/>
                              <w:marBottom w:val="0"/>
                              <w:divBdr>
                                <w:top w:val="none" w:sz="0" w:space="0" w:color="auto"/>
                                <w:left w:val="none" w:sz="0" w:space="0" w:color="auto"/>
                                <w:bottom w:val="none" w:sz="0" w:space="0" w:color="auto"/>
                                <w:right w:val="none" w:sz="0" w:space="0" w:color="auto"/>
                              </w:divBdr>
                              <w:divsChild>
                                <w:div w:id="192669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967715">
          <w:marLeft w:val="0"/>
          <w:marRight w:val="0"/>
          <w:marTop w:val="0"/>
          <w:marBottom w:val="0"/>
          <w:divBdr>
            <w:top w:val="none" w:sz="0" w:space="0" w:color="auto"/>
            <w:left w:val="none" w:sz="0" w:space="0" w:color="auto"/>
            <w:bottom w:val="none" w:sz="0" w:space="0" w:color="auto"/>
            <w:right w:val="none" w:sz="0" w:space="0" w:color="auto"/>
          </w:divBdr>
          <w:divsChild>
            <w:div w:id="77479396">
              <w:marLeft w:val="0"/>
              <w:marRight w:val="0"/>
              <w:marTop w:val="0"/>
              <w:marBottom w:val="0"/>
              <w:divBdr>
                <w:top w:val="none" w:sz="0" w:space="0" w:color="auto"/>
                <w:left w:val="none" w:sz="0" w:space="0" w:color="auto"/>
                <w:bottom w:val="none" w:sz="0" w:space="0" w:color="auto"/>
                <w:right w:val="none" w:sz="0" w:space="0" w:color="auto"/>
              </w:divBdr>
              <w:divsChild>
                <w:div w:id="220019322">
                  <w:marLeft w:val="0"/>
                  <w:marRight w:val="0"/>
                  <w:marTop w:val="0"/>
                  <w:marBottom w:val="0"/>
                  <w:divBdr>
                    <w:top w:val="none" w:sz="0" w:space="0" w:color="auto"/>
                    <w:left w:val="none" w:sz="0" w:space="0" w:color="auto"/>
                    <w:bottom w:val="none" w:sz="0" w:space="0" w:color="auto"/>
                    <w:right w:val="none" w:sz="0" w:space="0" w:color="auto"/>
                  </w:divBdr>
                  <w:divsChild>
                    <w:div w:id="1689331989">
                      <w:marLeft w:val="0"/>
                      <w:marRight w:val="0"/>
                      <w:marTop w:val="0"/>
                      <w:marBottom w:val="0"/>
                      <w:divBdr>
                        <w:top w:val="none" w:sz="0" w:space="0" w:color="auto"/>
                        <w:left w:val="none" w:sz="0" w:space="0" w:color="auto"/>
                        <w:bottom w:val="none" w:sz="0" w:space="0" w:color="auto"/>
                        <w:right w:val="none" w:sz="0" w:space="0" w:color="auto"/>
                      </w:divBdr>
                      <w:divsChild>
                        <w:div w:id="1573808698">
                          <w:marLeft w:val="0"/>
                          <w:marRight w:val="0"/>
                          <w:marTop w:val="0"/>
                          <w:marBottom w:val="0"/>
                          <w:divBdr>
                            <w:top w:val="none" w:sz="0" w:space="0" w:color="auto"/>
                            <w:left w:val="none" w:sz="0" w:space="0" w:color="auto"/>
                            <w:bottom w:val="none" w:sz="0" w:space="0" w:color="auto"/>
                            <w:right w:val="none" w:sz="0" w:space="0" w:color="auto"/>
                          </w:divBdr>
                          <w:divsChild>
                            <w:div w:id="545875230">
                              <w:marLeft w:val="0"/>
                              <w:marRight w:val="0"/>
                              <w:marTop w:val="0"/>
                              <w:marBottom w:val="0"/>
                              <w:divBdr>
                                <w:top w:val="none" w:sz="0" w:space="0" w:color="auto"/>
                                <w:left w:val="none" w:sz="0" w:space="0" w:color="auto"/>
                                <w:bottom w:val="none" w:sz="0" w:space="0" w:color="auto"/>
                                <w:right w:val="none" w:sz="0" w:space="0" w:color="auto"/>
                              </w:divBdr>
                              <w:divsChild>
                                <w:div w:id="20047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991299">
          <w:marLeft w:val="0"/>
          <w:marRight w:val="0"/>
          <w:marTop w:val="0"/>
          <w:marBottom w:val="0"/>
          <w:divBdr>
            <w:top w:val="none" w:sz="0" w:space="0" w:color="auto"/>
            <w:left w:val="none" w:sz="0" w:space="0" w:color="auto"/>
            <w:bottom w:val="none" w:sz="0" w:space="0" w:color="auto"/>
            <w:right w:val="none" w:sz="0" w:space="0" w:color="auto"/>
          </w:divBdr>
          <w:divsChild>
            <w:div w:id="1895310739">
              <w:marLeft w:val="0"/>
              <w:marRight w:val="0"/>
              <w:marTop w:val="0"/>
              <w:marBottom w:val="0"/>
              <w:divBdr>
                <w:top w:val="none" w:sz="0" w:space="0" w:color="auto"/>
                <w:left w:val="none" w:sz="0" w:space="0" w:color="auto"/>
                <w:bottom w:val="none" w:sz="0" w:space="0" w:color="auto"/>
                <w:right w:val="none" w:sz="0" w:space="0" w:color="auto"/>
              </w:divBdr>
              <w:divsChild>
                <w:div w:id="1572235621">
                  <w:marLeft w:val="0"/>
                  <w:marRight w:val="0"/>
                  <w:marTop w:val="0"/>
                  <w:marBottom w:val="0"/>
                  <w:divBdr>
                    <w:top w:val="none" w:sz="0" w:space="0" w:color="auto"/>
                    <w:left w:val="none" w:sz="0" w:space="0" w:color="auto"/>
                    <w:bottom w:val="none" w:sz="0" w:space="0" w:color="auto"/>
                    <w:right w:val="none" w:sz="0" w:space="0" w:color="auto"/>
                  </w:divBdr>
                  <w:divsChild>
                    <w:div w:id="1255898043">
                      <w:marLeft w:val="0"/>
                      <w:marRight w:val="0"/>
                      <w:marTop w:val="0"/>
                      <w:marBottom w:val="0"/>
                      <w:divBdr>
                        <w:top w:val="none" w:sz="0" w:space="0" w:color="auto"/>
                        <w:left w:val="none" w:sz="0" w:space="0" w:color="auto"/>
                        <w:bottom w:val="none" w:sz="0" w:space="0" w:color="auto"/>
                        <w:right w:val="none" w:sz="0" w:space="0" w:color="auto"/>
                      </w:divBdr>
                      <w:divsChild>
                        <w:div w:id="504633428">
                          <w:marLeft w:val="0"/>
                          <w:marRight w:val="0"/>
                          <w:marTop w:val="0"/>
                          <w:marBottom w:val="0"/>
                          <w:divBdr>
                            <w:top w:val="none" w:sz="0" w:space="0" w:color="auto"/>
                            <w:left w:val="none" w:sz="0" w:space="0" w:color="auto"/>
                            <w:bottom w:val="none" w:sz="0" w:space="0" w:color="auto"/>
                            <w:right w:val="none" w:sz="0" w:space="0" w:color="auto"/>
                          </w:divBdr>
                          <w:divsChild>
                            <w:div w:id="330983579">
                              <w:marLeft w:val="0"/>
                              <w:marRight w:val="0"/>
                              <w:marTop w:val="0"/>
                              <w:marBottom w:val="0"/>
                              <w:divBdr>
                                <w:top w:val="none" w:sz="0" w:space="0" w:color="auto"/>
                                <w:left w:val="none" w:sz="0" w:space="0" w:color="auto"/>
                                <w:bottom w:val="none" w:sz="0" w:space="0" w:color="auto"/>
                                <w:right w:val="none" w:sz="0" w:space="0" w:color="auto"/>
                              </w:divBdr>
                              <w:divsChild>
                                <w:div w:id="42593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559519">
      <w:marLeft w:val="0"/>
      <w:marRight w:val="0"/>
      <w:marTop w:val="0"/>
      <w:marBottom w:val="0"/>
      <w:divBdr>
        <w:top w:val="none" w:sz="0" w:space="0" w:color="auto"/>
        <w:left w:val="none" w:sz="0" w:space="0" w:color="auto"/>
        <w:bottom w:val="none" w:sz="0" w:space="0" w:color="auto"/>
        <w:right w:val="none" w:sz="0" w:space="0" w:color="auto"/>
      </w:divBdr>
      <w:divsChild>
        <w:div w:id="1189877641">
          <w:marLeft w:val="0"/>
          <w:marRight w:val="0"/>
          <w:marTop w:val="0"/>
          <w:marBottom w:val="0"/>
          <w:divBdr>
            <w:top w:val="none" w:sz="0" w:space="0" w:color="auto"/>
            <w:left w:val="none" w:sz="0" w:space="0" w:color="auto"/>
            <w:bottom w:val="none" w:sz="0" w:space="0" w:color="auto"/>
            <w:right w:val="none" w:sz="0" w:space="0" w:color="auto"/>
          </w:divBdr>
        </w:div>
      </w:divsChild>
    </w:div>
    <w:div w:id="1838878983">
      <w:marLeft w:val="0"/>
      <w:marRight w:val="0"/>
      <w:marTop w:val="0"/>
      <w:marBottom w:val="0"/>
      <w:divBdr>
        <w:top w:val="none" w:sz="0" w:space="0" w:color="auto"/>
        <w:left w:val="none" w:sz="0" w:space="0" w:color="auto"/>
        <w:bottom w:val="none" w:sz="0" w:space="0" w:color="auto"/>
        <w:right w:val="none" w:sz="0" w:space="0" w:color="auto"/>
      </w:divBdr>
      <w:divsChild>
        <w:div w:id="1881933807">
          <w:marLeft w:val="0"/>
          <w:marRight w:val="0"/>
          <w:marTop w:val="0"/>
          <w:marBottom w:val="0"/>
          <w:divBdr>
            <w:top w:val="none" w:sz="0" w:space="0" w:color="auto"/>
            <w:left w:val="none" w:sz="0" w:space="0" w:color="auto"/>
            <w:bottom w:val="none" w:sz="0" w:space="0" w:color="auto"/>
            <w:right w:val="none" w:sz="0" w:space="0" w:color="auto"/>
          </w:divBdr>
        </w:div>
      </w:divsChild>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47819840">
      <w:marLeft w:val="0"/>
      <w:marRight w:val="0"/>
      <w:marTop w:val="0"/>
      <w:marBottom w:val="0"/>
      <w:divBdr>
        <w:top w:val="none" w:sz="0" w:space="0" w:color="auto"/>
        <w:left w:val="none" w:sz="0" w:space="0" w:color="auto"/>
        <w:bottom w:val="none" w:sz="0" w:space="0" w:color="auto"/>
        <w:right w:val="none" w:sz="0" w:space="0" w:color="auto"/>
      </w:divBdr>
      <w:divsChild>
        <w:div w:id="1801267262">
          <w:marLeft w:val="0"/>
          <w:marRight w:val="0"/>
          <w:marTop w:val="0"/>
          <w:marBottom w:val="0"/>
          <w:divBdr>
            <w:top w:val="none" w:sz="0" w:space="0" w:color="auto"/>
            <w:left w:val="none" w:sz="0" w:space="0" w:color="auto"/>
            <w:bottom w:val="none" w:sz="0" w:space="0" w:color="auto"/>
            <w:right w:val="none" w:sz="0" w:space="0" w:color="auto"/>
          </w:divBdr>
        </w:div>
      </w:divsChild>
    </w:div>
    <w:div w:id="1851292069">
      <w:bodyDiv w:val="1"/>
      <w:marLeft w:val="0"/>
      <w:marRight w:val="0"/>
      <w:marTop w:val="0"/>
      <w:marBottom w:val="0"/>
      <w:divBdr>
        <w:top w:val="none" w:sz="0" w:space="0" w:color="auto"/>
        <w:left w:val="none" w:sz="0" w:space="0" w:color="auto"/>
        <w:bottom w:val="none" w:sz="0" w:space="0" w:color="auto"/>
        <w:right w:val="none" w:sz="0" w:space="0" w:color="auto"/>
      </w:divBdr>
    </w:div>
    <w:div w:id="1855075336">
      <w:bodyDiv w:val="1"/>
      <w:marLeft w:val="0"/>
      <w:marRight w:val="0"/>
      <w:marTop w:val="0"/>
      <w:marBottom w:val="0"/>
      <w:divBdr>
        <w:top w:val="none" w:sz="0" w:space="0" w:color="auto"/>
        <w:left w:val="none" w:sz="0" w:space="0" w:color="auto"/>
        <w:bottom w:val="none" w:sz="0" w:space="0" w:color="auto"/>
        <w:right w:val="none" w:sz="0" w:space="0" w:color="auto"/>
      </w:divBdr>
    </w:div>
    <w:div w:id="1875267393">
      <w:marLeft w:val="0"/>
      <w:marRight w:val="0"/>
      <w:marTop w:val="0"/>
      <w:marBottom w:val="0"/>
      <w:divBdr>
        <w:top w:val="none" w:sz="0" w:space="0" w:color="auto"/>
        <w:left w:val="none" w:sz="0" w:space="0" w:color="auto"/>
        <w:bottom w:val="none" w:sz="0" w:space="0" w:color="auto"/>
        <w:right w:val="none" w:sz="0" w:space="0" w:color="auto"/>
      </w:divBdr>
      <w:divsChild>
        <w:div w:id="1464731942">
          <w:marLeft w:val="0"/>
          <w:marRight w:val="0"/>
          <w:marTop w:val="0"/>
          <w:marBottom w:val="0"/>
          <w:divBdr>
            <w:top w:val="none" w:sz="0" w:space="0" w:color="auto"/>
            <w:left w:val="none" w:sz="0" w:space="0" w:color="auto"/>
            <w:bottom w:val="none" w:sz="0" w:space="0" w:color="auto"/>
            <w:right w:val="none" w:sz="0" w:space="0" w:color="auto"/>
          </w:divBdr>
        </w:div>
      </w:divsChild>
    </w:div>
    <w:div w:id="1881362545">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1963533028">
      <w:marLeft w:val="0"/>
      <w:marRight w:val="0"/>
      <w:marTop w:val="0"/>
      <w:marBottom w:val="0"/>
      <w:divBdr>
        <w:top w:val="none" w:sz="0" w:space="0" w:color="auto"/>
        <w:left w:val="none" w:sz="0" w:space="0" w:color="auto"/>
        <w:bottom w:val="none" w:sz="0" w:space="0" w:color="auto"/>
        <w:right w:val="none" w:sz="0" w:space="0" w:color="auto"/>
      </w:divBdr>
      <w:divsChild>
        <w:div w:id="513151224">
          <w:marLeft w:val="0"/>
          <w:marRight w:val="0"/>
          <w:marTop w:val="0"/>
          <w:marBottom w:val="0"/>
          <w:divBdr>
            <w:top w:val="none" w:sz="0" w:space="0" w:color="auto"/>
            <w:left w:val="none" w:sz="0" w:space="0" w:color="auto"/>
            <w:bottom w:val="none" w:sz="0" w:space="0" w:color="auto"/>
            <w:right w:val="none" w:sz="0" w:space="0" w:color="auto"/>
          </w:divBdr>
        </w:div>
      </w:divsChild>
    </w:div>
    <w:div w:id="2043821918">
      <w:marLeft w:val="0"/>
      <w:marRight w:val="0"/>
      <w:marTop w:val="0"/>
      <w:marBottom w:val="0"/>
      <w:divBdr>
        <w:top w:val="none" w:sz="0" w:space="0" w:color="auto"/>
        <w:left w:val="none" w:sz="0" w:space="0" w:color="auto"/>
        <w:bottom w:val="none" w:sz="0" w:space="0" w:color="auto"/>
        <w:right w:val="none" w:sz="0" w:space="0" w:color="auto"/>
      </w:divBdr>
      <w:divsChild>
        <w:div w:id="204489235">
          <w:marLeft w:val="0"/>
          <w:marRight w:val="0"/>
          <w:marTop w:val="0"/>
          <w:marBottom w:val="0"/>
          <w:divBdr>
            <w:top w:val="none" w:sz="0" w:space="0" w:color="auto"/>
            <w:left w:val="none" w:sz="0" w:space="0" w:color="auto"/>
            <w:bottom w:val="none" w:sz="0" w:space="0" w:color="auto"/>
            <w:right w:val="none" w:sz="0" w:space="0" w:color="auto"/>
          </w:divBdr>
        </w:div>
      </w:divsChild>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 w:id="2115711336">
      <w:marLeft w:val="0"/>
      <w:marRight w:val="0"/>
      <w:marTop w:val="0"/>
      <w:marBottom w:val="0"/>
      <w:divBdr>
        <w:top w:val="none" w:sz="0" w:space="0" w:color="auto"/>
        <w:left w:val="none" w:sz="0" w:space="0" w:color="auto"/>
        <w:bottom w:val="none" w:sz="0" w:space="0" w:color="auto"/>
        <w:right w:val="none" w:sz="0" w:space="0" w:color="auto"/>
      </w:divBdr>
      <w:divsChild>
        <w:div w:id="5111848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Presentation1.pptx"/><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3.docx"/><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image" Target="media/image12.pn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package" Target="embeddings/Microsoft_Word_Document2.docx"/><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7.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image" Target="media/image4.emf"/><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6992D51ACD22C4D81B42D96E76EFE5D" ma:contentTypeVersion="14" ma:contentTypeDescription="Crear nuevo documento." ma:contentTypeScope="" ma:versionID="cd4bf902f1a1d867006ec9f79c412e1f">
  <xsd:schema xmlns:xsd="http://www.w3.org/2001/XMLSchema" xmlns:xs="http://www.w3.org/2001/XMLSchema" xmlns:p="http://schemas.microsoft.com/office/2006/metadata/properties" xmlns:ns2="f04337a8-48a6-424a-b109-1db7e22f8387" xmlns:ns3="a3a7e55e-e075-4953-acbe-363891e65396" targetNamespace="http://schemas.microsoft.com/office/2006/metadata/properties" ma:root="true" ma:fieldsID="b66742aeb870d9f2ccf7e0bdb2d9ce49" ns2:_="" ns3:_="">
    <xsd:import namespace="f04337a8-48a6-424a-b109-1db7e22f8387"/>
    <xsd:import namespace="a3a7e55e-e075-4953-acbe-363891e653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337a8-48a6-424a-b109-1db7e22f8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fbcaa838-b8ae-4c10-9066-cd2dbd42e92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a7e55e-e075-4953-acbe-363891e653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4372467-4007-4418-991d-1a4202dd906a}" ma:internalName="TaxCatchAll" ma:showField="CatchAllData" ma:web="a3a7e55e-e075-4953-acbe-363891e653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4337a8-48a6-424a-b109-1db7e22f8387">
      <Terms xmlns="http://schemas.microsoft.com/office/infopath/2007/PartnerControls"/>
    </lcf76f155ced4ddcb4097134ff3c332f>
    <TaxCatchAll xmlns="a3a7e55e-e075-4953-acbe-363891e65396" xsi:nil="true"/>
  </documentManagement>
</p:properties>
</file>

<file path=customXml/itemProps1.xml><?xml version="1.0" encoding="utf-8"?>
<ds:datastoreItem xmlns:ds="http://schemas.openxmlformats.org/officeDocument/2006/customXml" ds:itemID="{10E5844A-8D82-489B-9FB7-97B948650650}">
  <ds:schemaRefs>
    <ds:schemaRef ds:uri="http://schemas.openxmlformats.org/officeDocument/2006/bibliography"/>
  </ds:schemaRefs>
</ds:datastoreItem>
</file>

<file path=customXml/itemProps2.xml><?xml version="1.0" encoding="utf-8"?>
<ds:datastoreItem xmlns:ds="http://schemas.openxmlformats.org/officeDocument/2006/customXml" ds:itemID="{4A55552D-0468-43AA-A699-D538718C16FE}"/>
</file>

<file path=customXml/itemProps3.xml><?xml version="1.0" encoding="utf-8"?>
<ds:datastoreItem xmlns:ds="http://schemas.openxmlformats.org/officeDocument/2006/customXml" ds:itemID="{05CA0D94-20B2-49C8-B1ED-B45490FF89B5}"/>
</file>

<file path=customXml/itemProps4.xml><?xml version="1.0" encoding="utf-8"?>
<ds:datastoreItem xmlns:ds="http://schemas.openxmlformats.org/officeDocument/2006/customXml" ds:itemID="{2A6EADA2-BC59-43E1-BA1F-3B0E9A468589}"/>
</file>

<file path=docProps/app.xml><?xml version="1.0" encoding="utf-8"?>
<Properties xmlns="http://schemas.openxmlformats.org/officeDocument/2006/extended-properties" xmlns:vt="http://schemas.openxmlformats.org/officeDocument/2006/docPropsVTypes">
  <Template>Normal</Template>
  <TotalTime>3904</TotalTime>
  <Pages>9</Pages>
  <Words>2128</Words>
  <Characters>11709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Melvin Obando Villalobos</cp:lastModifiedBy>
  <cp:revision>18</cp:revision>
  <dcterms:created xsi:type="dcterms:W3CDTF">2024-03-01T22:33:00Z</dcterms:created>
  <dcterms:modified xsi:type="dcterms:W3CDTF">2024-03-12T21:07:00Z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0x01010036992D51ACD22C4D81B42D96E76EFE5D</vt:lpwstr>
  </property>
</Properties>
</file>