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53231" w14:textId="77777777" w:rsidR="00734FFE" w:rsidRPr="00D3486F" w:rsidRDefault="00734FFE" w:rsidP="00D3486F">
      <w:pPr>
        <w:spacing w:after="0" w:line="240" w:lineRule="auto"/>
        <w:jc w:val="center"/>
        <w:rPr>
          <w:rFonts w:ascii="Arial" w:hAnsi="Arial" w:cs="Arial"/>
          <w:b/>
          <w:color w:val="000000"/>
        </w:rPr>
      </w:pPr>
    </w:p>
    <w:p w14:paraId="55037304" w14:textId="77777777" w:rsidR="00A6448B" w:rsidRPr="00D3486F" w:rsidRDefault="00734FFE" w:rsidP="00D3486F">
      <w:pPr>
        <w:spacing w:after="0" w:line="240" w:lineRule="auto"/>
        <w:jc w:val="center"/>
        <w:rPr>
          <w:rFonts w:ascii="Arial" w:hAnsi="Arial" w:cs="Arial"/>
          <w:b/>
          <w:color w:val="000000"/>
        </w:rPr>
      </w:pPr>
      <w:r w:rsidRPr="00D3486F">
        <w:rPr>
          <w:rFonts w:ascii="Arial" w:hAnsi="Arial" w:cs="Arial"/>
          <w:b/>
          <w:color w:val="000000"/>
        </w:rPr>
        <w:t xml:space="preserve">Sesión en </w:t>
      </w:r>
      <w:r w:rsidR="00A6448B" w:rsidRPr="00D3486F">
        <w:rPr>
          <w:rFonts w:ascii="Arial" w:hAnsi="Arial" w:cs="Arial"/>
          <w:b/>
          <w:color w:val="000000"/>
        </w:rPr>
        <w:t xml:space="preserve">Modalidad: virtual </w:t>
      </w:r>
    </w:p>
    <w:p w14:paraId="00604BE8" w14:textId="77777777" w:rsidR="00734FFE" w:rsidRPr="00D3486F" w:rsidRDefault="00734FFE" w:rsidP="00D3486F">
      <w:pPr>
        <w:spacing w:after="0" w:line="240" w:lineRule="auto"/>
        <w:jc w:val="both"/>
        <w:rPr>
          <w:rFonts w:ascii="Arial" w:hAnsi="Arial" w:cs="Arial"/>
          <w:color w:val="000000"/>
        </w:rPr>
      </w:pPr>
    </w:p>
    <w:p w14:paraId="094CA288" w14:textId="030EF53D" w:rsidR="008D315C" w:rsidRPr="004F6872" w:rsidRDefault="00A6448B" w:rsidP="00D3486F">
      <w:pPr>
        <w:spacing w:after="0" w:line="240" w:lineRule="auto"/>
        <w:jc w:val="both"/>
        <w:rPr>
          <w:rFonts w:ascii="Arial" w:hAnsi="Arial" w:cs="Arial"/>
        </w:rPr>
      </w:pPr>
      <w:r w:rsidRPr="00D3486F">
        <w:rPr>
          <w:rFonts w:ascii="Arial" w:hAnsi="Arial" w:cs="Arial"/>
          <w:color w:val="000000"/>
        </w:rPr>
        <w:t xml:space="preserve">Inicia </w:t>
      </w:r>
      <w:r w:rsidRPr="004F6872">
        <w:rPr>
          <w:rFonts w:ascii="Arial" w:hAnsi="Arial" w:cs="Arial"/>
        </w:rPr>
        <w:t xml:space="preserve">la sesión a las </w:t>
      </w:r>
      <w:r w:rsidR="0067685D" w:rsidRPr="004F6872">
        <w:rPr>
          <w:rFonts w:ascii="Arial" w:hAnsi="Arial" w:cs="Arial"/>
        </w:rPr>
        <w:t>nueve</w:t>
      </w:r>
      <w:r w:rsidR="001A34E1" w:rsidRPr="004F6872">
        <w:rPr>
          <w:rFonts w:ascii="Arial" w:hAnsi="Arial" w:cs="Arial"/>
        </w:rPr>
        <w:t xml:space="preserve"> horas </w:t>
      </w:r>
      <w:r w:rsidRPr="004F6872">
        <w:rPr>
          <w:rFonts w:ascii="Arial" w:hAnsi="Arial" w:cs="Arial"/>
        </w:rPr>
        <w:t xml:space="preserve">del </w:t>
      </w:r>
      <w:r w:rsidR="0067685D" w:rsidRPr="004F6872">
        <w:rPr>
          <w:rFonts w:ascii="Arial" w:hAnsi="Arial" w:cs="Arial"/>
        </w:rPr>
        <w:t>2</w:t>
      </w:r>
      <w:r w:rsidRPr="004F6872">
        <w:rPr>
          <w:rFonts w:ascii="Arial" w:hAnsi="Arial" w:cs="Arial"/>
        </w:rPr>
        <w:t xml:space="preserve"> de </w:t>
      </w:r>
      <w:r w:rsidR="0067685D" w:rsidRPr="004F6872">
        <w:rPr>
          <w:rFonts w:ascii="Arial" w:hAnsi="Arial" w:cs="Arial"/>
        </w:rPr>
        <w:t>dicie</w:t>
      </w:r>
      <w:r w:rsidR="00D878F7" w:rsidRPr="004F6872">
        <w:rPr>
          <w:rFonts w:ascii="Arial" w:hAnsi="Arial" w:cs="Arial"/>
        </w:rPr>
        <w:t>mbre</w:t>
      </w:r>
      <w:r w:rsidRPr="004F6872">
        <w:rPr>
          <w:rFonts w:ascii="Arial" w:hAnsi="Arial" w:cs="Arial"/>
        </w:rPr>
        <w:t xml:space="preserve"> de 202</w:t>
      </w:r>
      <w:r w:rsidR="00734FFE" w:rsidRPr="004F6872">
        <w:rPr>
          <w:rFonts w:ascii="Arial" w:hAnsi="Arial" w:cs="Arial"/>
        </w:rPr>
        <w:t>2</w:t>
      </w:r>
      <w:r w:rsidRPr="004F6872">
        <w:rPr>
          <w:rFonts w:ascii="Arial" w:hAnsi="Arial" w:cs="Arial"/>
        </w:rPr>
        <w:t xml:space="preserve">, con la asistencia </w:t>
      </w:r>
      <w:r w:rsidR="00734FFE" w:rsidRPr="004F6872">
        <w:rPr>
          <w:rFonts w:ascii="Arial" w:hAnsi="Arial" w:cs="Arial"/>
        </w:rPr>
        <w:t>de</w:t>
      </w:r>
      <w:r w:rsidRPr="004F6872">
        <w:rPr>
          <w:rFonts w:ascii="Arial" w:hAnsi="Arial" w:cs="Arial"/>
        </w:rPr>
        <w:t xml:space="preserve"> </w:t>
      </w:r>
      <w:r w:rsidR="00734FFE" w:rsidRPr="004F6872">
        <w:rPr>
          <w:rFonts w:ascii="Arial" w:hAnsi="Arial" w:cs="Arial"/>
        </w:rPr>
        <w:t xml:space="preserve">la Máster </w:t>
      </w:r>
      <w:r w:rsidR="00C74136" w:rsidRPr="004F6872">
        <w:rPr>
          <w:rFonts w:ascii="Arial" w:hAnsi="Arial" w:cs="Arial"/>
        </w:rPr>
        <w:t>Siria Carmona Castro,</w:t>
      </w:r>
      <w:r w:rsidR="00734FFE" w:rsidRPr="004F6872">
        <w:rPr>
          <w:rFonts w:ascii="Arial" w:hAnsi="Arial" w:cs="Arial"/>
        </w:rPr>
        <w:t xml:space="preserve"> integrante del Consejo Superior</w:t>
      </w:r>
      <w:r w:rsidR="004F6872">
        <w:rPr>
          <w:rFonts w:ascii="Arial" w:hAnsi="Arial" w:cs="Arial"/>
        </w:rPr>
        <w:t>,</w:t>
      </w:r>
      <w:r w:rsidR="00734FFE" w:rsidRPr="004F6872">
        <w:rPr>
          <w:rFonts w:ascii="Arial" w:hAnsi="Arial" w:cs="Arial"/>
        </w:rPr>
        <w:t xml:space="preserve"> </w:t>
      </w:r>
      <w:r w:rsidRPr="004F6872">
        <w:rPr>
          <w:rFonts w:ascii="Arial" w:hAnsi="Arial" w:cs="Arial"/>
        </w:rPr>
        <w:t>quien preside</w:t>
      </w:r>
      <w:r w:rsidR="0067685D" w:rsidRPr="004F6872">
        <w:rPr>
          <w:rFonts w:ascii="Arial" w:hAnsi="Arial" w:cs="Arial"/>
        </w:rPr>
        <w:t>;</w:t>
      </w:r>
      <w:r w:rsidRPr="004F6872">
        <w:rPr>
          <w:rFonts w:ascii="Arial" w:hAnsi="Arial" w:cs="Arial"/>
        </w:rPr>
        <w:t xml:space="preserve"> Máster Ana Eugenia Romero Jenkins</w:t>
      </w:r>
      <w:r w:rsidR="0067685D" w:rsidRPr="004F6872">
        <w:rPr>
          <w:rFonts w:ascii="Arial" w:hAnsi="Arial" w:cs="Arial"/>
        </w:rPr>
        <w:t>,</w:t>
      </w:r>
      <w:r w:rsidRPr="004F6872">
        <w:rPr>
          <w:rFonts w:ascii="Arial" w:hAnsi="Arial" w:cs="Arial"/>
        </w:rPr>
        <w:t xml:space="preserve"> Directora Ejecutiva</w:t>
      </w:r>
      <w:r w:rsidR="0067685D" w:rsidRPr="004F6872">
        <w:rPr>
          <w:rFonts w:ascii="Arial" w:hAnsi="Arial" w:cs="Arial"/>
        </w:rPr>
        <w:t>;</w:t>
      </w:r>
      <w:r w:rsidRPr="004F6872">
        <w:rPr>
          <w:rFonts w:ascii="Arial" w:hAnsi="Arial" w:cs="Arial"/>
        </w:rPr>
        <w:t xml:space="preserve"> Máster </w:t>
      </w:r>
      <w:r w:rsidR="00734FFE" w:rsidRPr="004F6872">
        <w:rPr>
          <w:rFonts w:ascii="Arial" w:hAnsi="Arial" w:cs="Arial"/>
        </w:rPr>
        <w:t>Wilbert Kidd Alvarado</w:t>
      </w:r>
      <w:r w:rsidRPr="004F6872">
        <w:rPr>
          <w:rFonts w:ascii="Arial" w:hAnsi="Arial" w:cs="Arial"/>
        </w:rPr>
        <w:t>, Sub</w:t>
      </w:r>
      <w:r w:rsidR="00540E0A" w:rsidRPr="004F6872">
        <w:rPr>
          <w:rFonts w:ascii="Arial" w:hAnsi="Arial" w:cs="Arial"/>
        </w:rPr>
        <w:t>d</w:t>
      </w:r>
      <w:r w:rsidRPr="004F6872">
        <w:rPr>
          <w:rFonts w:ascii="Arial" w:hAnsi="Arial" w:cs="Arial"/>
        </w:rPr>
        <w:t>irector Ejecutiv</w:t>
      </w:r>
      <w:r w:rsidR="00734FFE" w:rsidRPr="004F6872">
        <w:rPr>
          <w:rFonts w:ascii="Arial" w:hAnsi="Arial" w:cs="Arial"/>
        </w:rPr>
        <w:t>o</w:t>
      </w:r>
      <w:r w:rsidR="0067685D" w:rsidRPr="004F6872">
        <w:rPr>
          <w:rFonts w:ascii="Arial" w:hAnsi="Arial" w:cs="Arial"/>
        </w:rPr>
        <w:t>;</w:t>
      </w:r>
      <w:r w:rsidR="00F07DFC" w:rsidRPr="004F6872">
        <w:rPr>
          <w:rFonts w:ascii="Arial" w:hAnsi="Arial" w:cs="Arial"/>
        </w:rPr>
        <w:t xml:space="preserve"> </w:t>
      </w:r>
      <w:r w:rsidR="00B63145" w:rsidRPr="004F6872">
        <w:rPr>
          <w:rFonts w:ascii="Arial" w:hAnsi="Arial" w:cs="Arial"/>
        </w:rPr>
        <w:t>Licda. Yendry Portuguez Pizarro</w:t>
      </w:r>
      <w:r w:rsidR="00820970" w:rsidRPr="004F6872">
        <w:rPr>
          <w:rFonts w:ascii="Arial" w:hAnsi="Arial" w:cs="Arial"/>
        </w:rPr>
        <w:t>,</w:t>
      </w:r>
      <w:r w:rsidR="00B63145" w:rsidRPr="004F6872">
        <w:rPr>
          <w:rFonts w:ascii="Arial" w:hAnsi="Arial" w:cs="Arial"/>
        </w:rPr>
        <w:t xml:space="preserve"> Subdirectora Defensa Pública</w:t>
      </w:r>
      <w:r w:rsidR="0067685D" w:rsidRPr="004F6872">
        <w:rPr>
          <w:rFonts w:ascii="Arial" w:hAnsi="Arial" w:cs="Arial"/>
        </w:rPr>
        <w:t>;</w:t>
      </w:r>
      <w:r w:rsidR="004F6872">
        <w:rPr>
          <w:rFonts w:ascii="Arial" w:hAnsi="Arial" w:cs="Arial"/>
        </w:rPr>
        <w:t xml:space="preserve"> Master Kattia Morales Navarro, Directora de Tecnología de Información y Comunicaciones,</w:t>
      </w:r>
      <w:r w:rsidR="00F07DFC" w:rsidRPr="004F6872">
        <w:rPr>
          <w:rFonts w:ascii="Arial" w:hAnsi="Arial" w:cs="Arial"/>
        </w:rPr>
        <w:t xml:space="preserve"> </w:t>
      </w:r>
      <w:r w:rsidR="00BC0820" w:rsidRPr="004F6872">
        <w:rPr>
          <w:rFonts w:ascii="Arial" w:hAnsi="Arial" w:cs="Arial"/>
        </w:rPr>
        <w:t xml:space="preserve">Máster </w:t>
      </w:r>
      <w:r w:rsidR="00F07DFC" w:rsidRPr="004F6872">
        <w:rPr>
          <w:rFonts w:ascii="Arial" w:hAnsi="Arial" w:cs="Arial"/>
        </w:rPr>
        <w:t>Michael Jiménez Ureña</w:t>
      </w:r>
      <w:r w:rsidR="00BC0820" w:rsidRPr="004F6872">
        <w:rPr>
          <w:rFonts w:ascii="Arial" w:hAnsi="Arial" w:cs="Arial"/>
        </w:rPr>
        <w:t>,</w:t>
      </w:r>
      <w:r w:rsidR="00F07DFC" w:rsidRPr="004F6872">
        <w:rPr>
          <w:rFonts w:ascii="Arial" w:hAnsi="Arial" w:cs="Arial"/>
        </w:rPr>
        <w:t xml:space="preserve"> </w:t>
      </w:r>
      <w:r w:rsidR="002A1C97" w:rsidRPr="004F6872">
        <w:rPr>
          <w:rFonts w:ascii="Arial" w:hAnsi="Arial" w:cs="Arial"/>
        </w:rPr>
        <w:t xml:space="preserve">Jefatura </w:t>
      </w:r>
      <w:r w:rsidR="00BC0820" w:rsidRPr="004F6872">
        <w:rPr>
          <w:rFonts w:ascii="Arial" w:hAnsi="Arial" w:cs="Arial"/>
        </w:rPr>
        <w:t xml:space="preserve">Subproceso de Normas y Estándares de la </w:t>
      </w:r>
      <w:r w:rsidR="002A1C97" w:rsidRPr="004F6872">
        <w:rPr>
          <w:rFonts w:ascii="Arial" w:hAnsi="Arial" w:cs="Arial"/>
        </w:rPr>
        <w:t>Dirección de Tecnología de la Información</w:t>
      </w:r>
      <w:r w:rsidR="00BC0820" w:rsidRPr="004F6872">
        <w:rPr>
          <w:rFonts w:ascii="Arial" w:hAnsi="Arial" w:cs="Arial"/>
        </w:rPr>
        <w:t xml:space="preserve"> y Comunicaciones</w:t>
      </w:r>
      <w:r w:rsidR="0067685D" w:rsidRPr="004F6872">
        <w:rPr>
          <w:rFonts w:ascii="Arial" w:hAnsi="Arial" w:cs="Arial"/>
        </w:rPr>
        <w:t>;</w:t>
      </w:r>
      <w:r w:rsidR="002711AA" w:rsidRPr="004F6872">
        <w:rPr>
          <w:rFonts w:ascii="Arial" w:hAnsi="Arial" w:cs="Arial"/>
        </w:rPr>
        <w:t xml:space="preserve"> Licda. Fabiola Luna</w:t>
      </w:r>
      <w:r w:rsidR="003B5F5E" w:rsidRPr="004F6872">
        <w:rPr>
          <w:rFonts w:ascii="Arial" w:hAnsi="Arial" w:cs="Arial"/>
        </w:rPr>
        <w:t xml:space="preserve"> Durán, Fiscala </w:t>
      </w:r>
      <w:r w:rsidR="004F6872">
        <w:rPr>
          <w:rFonts w:ascii="Arial" w:hAnsi="Arial" w:cs="Arial"/>
        </w:rPr>
        <w:t xml:space="preserve">del </w:t>
      </w:r>
      <w:r w:rsidR="003B5F5E" w:rsidRPr="004F6872">
        <w:rPr>
          <w:rFonts w:ascii="Arial" w:hAnsi="Arial" w:cs="Arial"/>
        </w:rPr>
        <w:t>Ministerio Público</w:t>
      </w:r>
      <w:r w:rsidR="000861D5" w:rsidRPr="004F6872">
        <w:rPr>
          <w:rFonts w:ascii="Arial" w:hAnsi="Arial" w:cs="Arial"/>
        </w:rPr>
        <w:t>.</w:t>
      </w:r>
    </w:p>
    <w:p w14:paraId="7C7420BD" w14:textId="0E18DABD" w:rsidR="0025657A" w:rsidRPr="004F6872" w:rsidRDefault="0025657A" w:rsidP="00D3486F">
      <w:pPr>
        <w:spacing w:after="0" w:line="240" w:lineRule="auto"/>
        <w:jc w:val="both"/>
        <w:rPr>
          <w:rFonts w:ascii="Arial" w:hAnsi="Arial" w:cs="Arial"/>
        </w:rPr>
      </w:pPr>
    </w:p>
    <w:p w14:paraId="6A8C43AC" w14:textId="0FD6E48F" w:rsidR="0025657A" w:rsidRPr="004F6872" w:rsidRDefault="0025657A" w:rsidP="00D3486F">
      <w:pPr>
        <w:spacing w:after="0" w:line="240" w:lineRule="auto"/>
        <w:jc w:val="both"/>
        <w:rPr>
          <w:rFonts w:ascii="Arial" w:hAnsi="Arial" w:cs="Arial"/>
        </w:rPr>
      </w:pPr>
      <w:r w:rsidRPr="004F6872">
        <w:rPr>
          <w:rFonts w:ascii="Arial" w:hAnsi="Arial" w:cs="Arial"/>
        </w:rPr>
        <w:t xml:space="preserve">Además, se cuenta con la participación </w:t>
      </w:r>
      <w:r w:rsidR="004F6872">
        <w:rPr>
          <w:rFonts w:ascii="Arial" w:hAnsi="Arial" w:cs="Arial"/>
        </w:rPr>
        <w:t>Lic. Rodolfo Arce Hernández, en representación del Organismo de Investigación Judicial</w:t>
      </w:r>
      <w:r w:rsidR="004F6872">
        <w:rPr>
          <w:rFonts w:ascii="Arial" w:hAnsi="Arial" w:cs="Arial"/>
        </w:rPr>
        <w:t xml:space="preserve">; la </w:t>
      </w:r>
      <w:r w:rsidR="004F6872">
        <w:rPr>
          <w:rFonts w:ascii="Arial" w:hAnsi="Arial" w:cs="Arial"/>
        </w:rPr>
        <w:t>Licda. Waiman Hin Herrera, en representación de la Dirección de Gestión Humana</w:t>
      </w:r>
      <w:r w:rsidR="0067685D" w:rsidRPr="004F6872">
        <w:rPr>
          <w:rFonts w:ascii="Arial" w:hAnsi="Arial" w:cs="Arial"/>
        </w:rPr>
        <w:t>;</w:t>
      </w:r>
      <w:r w:rsidR="000861D5" w:rsidRPr="004F6872">
        <w:rPr>
          <w:rFonts w:ascii="Arial" w:hAnsi="Arial" w:cs="Arial"/>
        </w:rPr>
        <w:t xml:space="preserve"> la Máster Arlette Zuñiga Lizano</w:t>
      </w:r>
      <w:r w:rsidR="00D878F7" w:rsidRPr="004F6872">
        <w:rPr>
          <w:rFonts w:ascii="Arial" w:hAnsi="Arial" w:cs="Arial"/>
        </w:rPr>
        <w:t xml:space="preserve"> y</w:t>
      </w:r>
      <w:r w:rsidR="000861D5" w:rsidRPr="004F6872">
        <w:rPr>
          <w:rFonts w:ascii="Arial" w:hAnsi="Arial" w:cs="Arial"/>
        </w:rPr>
        <w:t xml:space="preserve"> </w:t>
      </w:r>
      <w:r w:rsidR="00D878F7" w:rsidRPr="004F6872">
        <w:rPr>
          <w:rFonts w:ascii="Arial" w:hAnsi="Arial" w:cs="Arial"/>
        </w:rPr>
        <w:t>Máster</w:t>
      </w:r>
      <w:r w:rsidR="000861D5" w:rsidRPr="004F6872">
        <w:rPr>
          <w:rFonts w:ascii="Arial" w:hAnsi="Arial" w:cs="Arial"/>
        </w:rPr>
        <w:t xml:space="preserve"> Walter Jiménez Picado, Profesionales del Subproceso de Continuidad </w:t>
      </w:r>
      <w:r w:rsidR="00D878F7" w:rsidRPr="004F6872">
        <w:rPr>
          <w:rFonts w:ascii="Arial" w:hAnsi="Arial" w:cs="Arial"/>
        </w:rPr>
        <w:t>del Servicio y el Máster Melvin Obando Villalobos, Jefatura del Subproceso de Continuidad del Servicio de la Dirección Ejecutiva.</w:t>
      </w:r>
    </w:p>
    <w:p w14:paraId="25BD7792" w14:textId="70A0E4DE" w:rsidR="001A5586" w:rsidRPr="004F6872" w:rsidRDefault="001A5586" w:rsidP="00D3486F">
      <w:pPr>
        <w:spacing w:after="0" w:line="240" w:lineRule="auto"/>
        <w:jc w:val="both"/>
        <w:rPr>
          <w:rFonts w:ascii="Arial" w:hAnsi="Arial" w:cs="Arial"/>
        </w:rPr>
      </w:pPr>
    </w:p>
    <w:p w14:paraId="1C77A518" w14:textId="039444E6" w:rsidR="00EF49FB" w:rsidRDefault="00EF49FB" w:rsidP="00D3486F">
      <w:pPr>
        <w:spacing w:after="0" w:line="240" w:lineRule="auto"/>
        <w:jc w:val="center"/>
        <w:rPr>
          <w:rFonts w:ascii="Arial" w:hAnsi="Arial" w:cs="Arial"/>
          <w:b/>
          <w:color w:val="2F5496"/>
        </w:rPr>
      </w:pPr>
    </w:p>
    <w:p w14:paraId="6A23D55D" w14:textId="2B7292F0" w:rsidR="00BC382C" w:rsidRDefault="00BC382C" w:rsidP="00D3486F">
      <w:pPr>
        <w:spacing w:after="0" w:line="240" w:lineRule="auto"/>
        <w:jc w:val="center"/>
        <w:rPr>
          <w:rFonts w:ascii="Arial" w:hAnsi="Arial" w:cs="Arial"/>
          <w:b/>
          <w:color w:val="2F5496"/>
        </w:rPr>
      </w:pPr>
    </w:p>
    <w:p w14:paraId="657BCBBD" w14:textId="59440799" w:rsidR="00BC382C" w:rsidRDefault="00BC382C" w:rsidP="00D3486F">
      <w:pPr>
        <w:spacing w:after="0" w:line="240" w:lineRule="auto"/>
        <w:jc w:val="center"/>
        <w:rPr>
          <w:rFonts w:ascii="Arial" w:hAnsi="Arial" w:cs="Arial"/>
          <w:b/>
          <w:color w:val="2F5496"/>
        </w:rPr>
      </w:pPr>
    </w:p>
    <w:p w14:paraId="700A8992" w14:textId="77777777" w:rsidR="00BC382C" w:rsidRDefault="00BC382C" w:rsidP="00BC382C">
      <w:pPr>
        <w:spacing w:after="0" w:line="240" w:lineRule="auto"/>
        <w:jc w:val="center"/>
        <w:rPr>
          <w:rFonts w:ascii="Arial" w:hAnsi="Arial" w:cs="Arial"/>
          <w:b/>
          <w:color w:val="2F5496"/>
        </w:rPr>
      </w:pPr>
      <w:r w:rsidRPr="00D3486F">
        <w:rPr>
          <w:rFonts w:ascii="Arial" w:hAnsi="Arial" w:cs="Arial"/>
          <w:b/>
          <w:color w:val="2F5496"/>
        </w:rPr>
        <w:t>ARTÍCULO I</w:t>
      </w:r>
    </w:p>
    <w:p w14:paraId="5F4CA4AB" w14:textId="77777777" w:rsidR="00BC382C" w:rsidRPr="00D3486F" w:rsidRDefault="00BC382C" w:rsidP="00BC382C">
      <w:pPr>
        <w:spacing w:after="0" w:line="240" w:lineRule="auto"/>
        <w:jc w:val="center"/>
        <w:rPr>
          <w:rFonts w:ascii="Arial" w:hAnsi="Arial" w:cs="Arial"/>
          <w:b/>
          <w:color w:val="2F5496"/>
        </w:rPr>
      </w:pPr>
    </w:p>
    <w:p w14:paraId="21E44EAD" w14:textId="1BC43D09" w:rsidR="00BC382C" w:rsidRDefault="00BC382C" w:rsidP="000E5436">
      <w:pPr>
        <w:spacing w:after="0" w:line="240" w:lineRule="auto"/>
        <w:jc w:val="both"/>
        <w:rPr>
          <w:rFonts w:ascii="Arial" w:hAnsi="Arial" w:cs="Arial"/>
          <w:lang w:val="es-ES"/>
        </w:rPr>
      </w:pPr>
      <w:r w:rsidRPr="00D3486F">
        <w:rPr>
          <w:rFonts w:ascii="Arial" w:hAnsi="Arial" w:cs="Arial"/>
          <w:lang w:val="es-ES"/>
        </w:rPr>
        <w:t xml:space="preserve">Se conoce </w:t>
      </w:r>
      <w:r>
        <w:rPr>
          <w:rFonts w:ascii="Arial" w:hAnsi="Arial" w:cs="Arial"/>
          <w:lang w:val="es-ES"/>
        </w:rPr>
        <w:t xml:space="preserve">la propuesta de estructura </w:t>
      </w:r>
      <w:r w:rsidR="000E5436">
        <w:rPr>
          <w:rFonts w:ascii="Arial" w:hAnsi="Arial" w:cs="Arial"/>
          <w:lang w:val="es-ES"/>
        </w:rPr>
        <w:t>de roles para operativizar el Sistema de Gestión de la Continuidad del Servicio</w:t>
      </w:r>
      <w:r w:rsidR="00D07958">
        <w:rPr>
          <w:rFonts w:ascii="Arial" w:hAnsi="Arial" w:cs="Arial"/>
          <w:lang w:val="es-ES"/>
        </w:rPr>
        <w:t xml:space="preserve"> (SGCS)</w:t>
      </w:r>
      <w:r w:rsidR="000E5436">
        <w:rPr>
          <w:rFonts w:ascii="Arial" w:hAnsi="Arial" w:cs="Arial"/>
          <w:lang w:val="es-ES"/>
        </w:rPr>
        <w:t xml:space="preserve"> presentada por el Subproceso de Gestión de Continuidad del Servicio, propuesta que tiene como finalidad </w:t>
      </w:r>
      <w:r w:rsidR="00D07958">
        <w:rPr>
          <w:rFonts w:ascii="Arial" w:hAnsi="Arial" w:cs="Arial"/>
          <w:lang w:val="es-ES"/>
        </w:rPr>
        <w:t>definir las</w:t>
      </w:r>
      <w:r w:rsidR="000E5436">
        <w:rPr>
          <w:rFonts w:ascii="Arial" w:hAnsi="Arial" w:cs="Arial"/>
          <w:lang w:val="es-ES"/>
        </w:rPr>
        <w:t xml:space="preserve"> funciones asignadas </w:t>
      </w:r>
      <w:r w:rsidR="00046E9C">
        <w:rPr>
          <w:rFonts w:ascii="Arial" w:hAnsi="Arial" w:cs="Arial"/>
          <w:lang w:val="es-ES"/>
        </w:rPr>
        <w:t xml:space="preserve">a cada participante del </w:t>
      </w:r>
      <w:r w:rsidR="00D07958">
        <w:rPr>
          <w:rFonts w:ascii="Arial" w:hAnsi="Arial" w:cs="Arial"/>
          <w:lang w:val="es-ES"/>
        </w:rPr>
        <w:t>SGCS</w:t>
      </w:r>
      <w:r w:rsidR="00046E9C">
        <w:rPr>
          <w:rFonts w:ascii="Arial" w:hAnsi="Arial" w:cs="Arial"/>
          <w:lang w:val="es-ES"/>
        </w:rPr>
        <w:t xml:space="preserve"> </w:t>
      </w:r>
      <w:r w:rsidR="000E5436">
        <w:rPr>
          <w:rFonts w:ascii="Arial" w:hAnsi="Arial" w:cs="Arial"/>
          <w:lang w:val="es-ES"/>
        </w:rPr>
        <w:t>y formalizar la figura de Monitor o Monitores de Continuidad del Servicio</w:t>
      </w:r>
      <w:r w:rsidR="00D07958">
        <w:rPr>
          <w:rFonts w:ascii="Arial" w:hAnsi="Arial" w:cs="Arial"/>
          <w:lang w:val="es-ES"/>
        </w:rPr>
        <w:t>, como un participante fundamental para la operativ</w:t>
      </w:r>
      <w:r w:rsidR="00D37019">
        <w:rPr>
          <w:rFonts w:ascii="Arial" w:hAnsi="Arial" w:cs="Arial"/>
          <w:lang w:val="es-ES"/>
        </w:rPr>
        <w:t xml:space="preserve">idad, </w:t>
      </w:r>
      <w:r w:rsidR="00D07958">
        <w:rPr>
          <w:rFonts w:ascii="Arial" w:hAnsi="Arial" w:cs="Arial"/>
          <w:lang w:val="es-ES"/>
        </w:rPr>
        <w:t>supervisión</w:t>
      </w:r>
      <w:r w:rsidR="00D37019">
        <w:rPr>
          <w:rFonts w:ascii="Arial" w:hAnsi="Arial" w:cs="Arial"/>
          <w:lang w:val="es-ES"/>
        </w:rPr>
        <w:t xml:space="preserve">, revisión y </w:t>
      </w:r>
      <w:r w:rsidR="00D37019" w:rsidRPr="00C74136">
        <w:rPr>
          <w:rFonts w:ascii="Arial" w:hAnsi="Arial" w:cs="Arial"/>
          <w:lang w:val="es-ES"/>
        </w:rPr>
        <w:t xml:space="preserve">mantenimiento de los planes de contingencia </w:t>
      </w:r>
      <w:r w:rsidR="00D07958" w:rsidRPr="00C74136">
        <w:rPr>
          <w:rFonts w:ascii="Arial" w:hAnsi="Arial" w:cs="Arial"/>
          <w:lang w:val="es-ES"/>
        </w:rPr>
        <w:t>en sitio.</w:t>
      </w:r>
    </w:p>
    <w:p w14:paraId="24785483" w14:textId="54DC24CE" w:rsidR="00046E9C" w:rsidRDefault="00046E9C" w:rsidP="000E5436">
      <w:pPr>
        <w:spacing w:after="0" w:line="240" w:lineRule="auto"/>
        <w:jc w:val="both"/>
        <w:rPr>
          <w:rFonts w:ascii="Arial" w:hAnsi="Arial" w:cs="Arial"/>
          <w:lang w:val="es-ES"/>
        </w:rPr>
      </w:pPr>
    </w:p>
    <w:p w14:paraId="1C7CE541" w14:textId="77777777" w:rsidR="00046E9C" w:rsidRDefault="00046E9C" w:rsidP="000E5436">
      <w:pPr>
        <w:spacing w:after="0" w:line="240" w:lineRule="auto"/>
        <w:jc w:val="both"/>
        <w:rPr>
          <w:rFonts w:ascii="Arial" w:hAnsi="Arial" w:cs="Arial"/>
          <w:lang w:val="es-ES"/>
        </w:rPr>
      </w:pPr>
    </w:p>
    <w:bookmarkStart w:id="0" w:name="_MON_1731405282"/>
    <w:bookmarkEnd w:id="0"/>
    <w:p w14:paraId="6C53B483" w14:textId="11B645C9" w:rsidR="00046E9C" w:rsidRDefault="00794820" w:rsidP="00046E9C">
      <w:pPr>
        <w:spacing w:after="0" w:line="240" w:lineRule="auto"/>
        <w:jc w:val="center"/>
        <w:rPr>
          <w:rFonts w:ascii="Arial" w:hAnsi="Arial" w:cs="Arial"/>
          <w:lang w:val="es-ES"/>
        </w:rPr>
      </w:pPr>
      <w:r>
        <w:rPr>
          <w:rFonts w:ascii="Arial" w:hAnsi="Arial" w:cs="Arial"/>
          <w:lang w:val="es-ES"/>
        </w:rPr>
        <w:object w:dxaOrig="2274" w:dyaOrig="1485" w14:anchorId="189FE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35pt;height:74.15pt" o:ole="">
            <v:imagedata r:id="rId8" o:title=""/>
          </v:shape>
          <o:OLEObject Type="Embed" ProgID="Word.Document.12" ShapeID="_x0000_i1025" DrawAspect="Icon" ObjectID="_1731914378" r:id="rId9">
            <o:FieldCodes>\s</o:FieldCodes>
          </o:OLEObject>
        </w:object>
      </w:r>
      <w:r w:rsidR="007F5E54">
        <w:rPr>
          <w:rFonts w:ascii="Arial" w:hAnsi="Arial" w:cs="Arial"/>
          <w:lang w:val="es-ES"/>
        </w:rPr>
        <w:object w:dxaOrig="2274" w:dyaOrig="1485" w14:anchorId="5FE36B90">
          <v:shape id="_x0000_i1026" type="#_x0000_t75" style="width:113.35pt;height:74.15pt" o:ole="">
            <v:imagedata r:id="rId10" o:title=""/>
          </v:shape>
          <o:OLEObject Type="Embed" ProgID="PowerPoint.Show.12" ShapeID="_x0000_i1026" DrawAspect="Icon" ObjectID="_1731914379" r:id="rId11"/>
        </w:object>
      </w:r>
    </w:p>
    <w:p w14:paraId="3737A5D8" w14:textId="6CE2258F" w:rsidR="00046E9C" w:rsidRDefault="00046E9C" w:rsidP="00046E9C">
      <w:pPr>
        <w:spacing w:after="0" w:line="240" w:lineRule="auto"/>
        <w:jc w:val="center"/>
        <w:rPr>
          <w:rFonts w:ascii="Arial" w:hAnsi="Arial" w:cs="Arial"/>
          <w:lang w:val="es-ES"/>
        </w:rPr>
      </w:pPr>
    </w:p>
    <w:p w14:paraId="3AC7D3D7" w14:textId="6F76B93C" w:rsidR="00046E9C" w:rsidRDefault="00046E9C" w:rsidP="00046E9C">
      <w:pPr>
        <w:spacing w:after="0" w:line="240" w:lineRule="auto"/>
        <w:rPr>
          <w:rFonts w:ascii="Arial" w:hAnsi="Arial" w:cs="Arial"/>
          <w:lang w:val="es-ES"/>
        </w:rPr>
      </w:pPr>
    </w:p>
    <w:p w14:paraId="38AD2BBB" w14:textId="0EA91331" w:rsidR="00046E9C" w:rsidRDefault="00046E9C" w:rsidP="00046E9C">
      <w:pPr>
        <w:spacing w:after="0" w:line="240" w:lineRule="auto"/>
        <w:jc w:val="both"/>
        <w:rPr>
          <w:rFonts w:ascii="Arial" w:hAnsi="Arial" w:cs="Arial"/>
          <w:lang w:val="es-ES"/>
        </w:rPr>
      </w:pPr>
      <w:r w:rsidRPr="002D13A4">
        <w:rPr>
          <w:rFonts w:ascii="Arial" w:eastAsia="Times New Roman" w:hAnsi="Arial" w:cs="Arial"/>
          <w:b/>
          <w:bCs/>
          <w:lang w:eastAsia="es-ES"/>
        </w:rPr>
        <w:t>Se acuerda:</w:t>
      </w:r>
      <w:r w:rsidRPr="002D13A4">
        <w:rPr>
          <w:rFonts w:ascii="Arial" w:eastAsia="Times New Roman" w:hAnsi="Arial" w:cs="Arial"/>
          <w:lang w:eastAsia="es-ES"/>
        </w:rPr>
        <w:t xml:space="preserve"> </w:t>
      </w:r>
      <w:r w:rsidRPr="002D13A4">
        <w:rPr>
          <w:rFonts w:ascii="Arial" w:eastAsia="Times New Roman" w:hAnsi="Arial" w:cs="Arial"/>
          <w:b/>
          <w:bCs/>
          <w:lang w:eastAsia="es-ES"/>
        </w:rPr>
        <w:t>1)</w:t>
      </w:r>
      <w:r w:rsidRPr="002D13A4">
        <w:rPr>
          <w:rFonts w:ascii="Arial" w:eastAsia="Times New Roman" w:hAnsi="Arial" w:cs="Arial"/>
          <w:lang w:eastAsia="es-ES"/>
        </w:rPr>
        <w:t xml:space="preserve"> </w:t>
      </w:r>
      <w:r w:rsidR="00704103">
        <w:rPr>
          <w:rFonts w:ascii="Arial" w:eastAsia="Times New Roman" w:hAnsi="Arial" w:cs="Arial"/>
          <w:lang w:eastAsia="es-ES"/>
        </w:rPr>
        <w:t xml:space="preserve">Aprobar </w:t>
      </w:r>
      <w:r w:rsidRPr="002D13A4">
        <w:rPr>
          <w:rFonts w:ascii="Arial" w:eastAsia="Times New Roman" w:hAnsi="Arial" w:cs="Arial"/>
          <w:lang w:eastAsia="es-ES"/>
        </w:rPr>
        <w:t xml:space="preserve">la propuesta presentada por el Subproceso de Gestión de la Continuidad </w:t>
      </w:r>
      <w:r w:rsidR="00CB30A1">
        <w:rPr>
          <w:rFonts w:ascii="Arial" w:eastAsia="Times New Roman" w:hAnsi="Arial" w:cs="Arial"/>
          <w:lang w:eastAsia="es-ES"/>
        </w:rPr>
        <w:t>sobre los roles y responsabilidades de los diferentes participantes en el Sistema de Gestión de la Continuidad del Servicio (SGCS)</w:t>
      </w:r>
      <w:r w:rsidR="00AB2DA2">
        <w:rPr>
          <w:rFonts w:ascii="Arial" w:eastAsia="Times New Roman" w:hAnsi="Arial" w:cs="Arial"/>
          <w:lang w:eastAsia="es-ES"/>
        </w:rPr>
        <w:t>.</w:t>
      </w:r>
      <w:r w:rsidRPr="002D13A4">
        <w:rPr>
          <w:rFonts w:ascii="Arial" w:eastAsia="Times New Roman" w:hAnsi="Arial" w:cs="Arial"/>
          <w:lang w:eastAsia="es-ES"/>
        </w:rPr>
        <w:t xml:space="preserve"> </w:t>
      </w:r>
      <w:r w:rsidR="00CB30A1" w:rsidRPr="00CB30A1">
        <w:rPr>
          <w:rFonts w:ascii="Arial" w:eastAsia="Times New Roman" w:hAnsi="Arial" w:cs="Arial"/>
          <w:b/>
          <w:bCs/>
          <w:lang w:eastAsia="es-ES"/>
        </w:rPr>
        <w:t>2</w:t>
      </w:r>
      <w:r w:rsidRPr="002D13A4">
        <w:rPr>
          <w:rFonts w:ascii="Arial" w:eastAsia="Times New Roman" w:hAnsi="Arial" w:cs="Arial"/>
          <w:b/>
          <w:bCs/>
          <w:lang w:eastAsia="es-ES"/>
        </w:rPr>
        <w:t>)</w:t>
      </w:r>
      <w:r w:rsidRPr="002D13A4">
        <w:rPr>
          <w:rFonts w:ascii="Arial" w:eastAsia="Times New Roman" w:hAnsi="Arial" w:cs="Arial"/>
          <w:lang w:eastAsia="es-ES"/>
        </w:rPr>
        <w:t xml:space="preserve"> El</w:t>
      </w:r>
      <w:r>
        <w:rPr>
          <w:rFonts w:ascii="Arial" w:hAnsi="Arial" w:cs="Arial"/>
          <w:lang w:val="es-ES"/>
        </w:rPr>
        <w:t xml:space="preserve"> Subproceso de Gestión de Continuidad del Servicio</w:t>
      </w:r>
      <w:r w:rsidR="00CB30A1">
        <w:rPr>
          <w:rFonts w:ascii="Arial" w:hAnsi="Arial" w:cs="Arial"/>
          <w:lang w:val="es-ES"/>
        </w:rPr>
        <w:t xml:space="preserve"> de la Dirección Ejecutiva,</w:t>
      </w:r>
      <w:r w:rsidRPr="002D13A4">
        <w:rPr>
          <w:rFonts w:ascii="Arial" w:eastAsia="Times New Roman" w:hAnsi="Arial" w:cs="Arial"/>
          <w:lang w:eastAsia="es-ES"/>
        </w:rPr>
        <w:t xml:space="preserve"> </w:t>
      </w:r>
      <w:r>
        <w:rPr>
          <w:rFonts w:ascii="Arial" w:eastAsia="Times New Roman" w:hAnsi="Arial" w:cs="Arial"/>
          <w:lang w:eastAsia="es-ES"/>
        </w:rPr>
        <w:t xml:space="preserve">realizará </w:t>
      </w:r>
      <w:r w:rsidR="00CB30A1">
        <w:rPr>
          <w:rFonts w:ascii="Arial" w:eastAsia="Times New Roman" w:hAnsi="Arial" w:cs="Arial"/>
          <w:lang w:eastAsia="es-ES"/>
        </w:rPr>
        <w:t>formal</w:t>
      </w:r>
      <w:r>
        <w:rPr>
          <w:rFonts w:ascii="Arial" w:eastAsia="Times New Roman" w:hAnsi="Arial" w:cs="Arial"/>
          <w:lang w:eastAsia="es-ES"/>
        </w:rPr>
        <w:t xml:space="preserve"> oficio </w:t>
      </w:r>
      <w:r w:rsidR="00CB30A1">
        <w:rPr>
          <w:rFonts w:ascii="Arial" w:eastAsia="Times New Roman" w:hAnsi="Arial" w:cs="Arial"/>
          <w:lang w:eastAsia="es-ES"/>
        </w:rPr>
        <w:t xml:space="preserve">al Consejo Superior, </w:t>
      </w:r>
      <w:r>
        <w:rPr>
          <w:rFonts w:ascii="Arial" w:eastAsia="Times New Roman" w:hAnsi="Arial" w:cs="Arial"/>
          <w:lang w:eastAsia="es-ES"/>
        </w:rPr>
        <w:t xml:space="preserve">donde se traslade para conocimiento y aprobación el rol de </w:t>
      </w:r>
      <w:r w:rsidR="00AB2DA2">
        <w:rPr>
          <w:rFonts w:ascii="Arial" w:eastAsia="Times New Roman" w:hAnsi="Arial" w:cs="Arial"/>
          <w:lang w:eastAsia="es-ES"/>
        </w:rPr>
        <w:t xml:space="preserve">los participantes en el Sistema de Gestión de la Continuidad del Servicio, con énfasis en </w:t>
      </w:r>
      <w:r>
        <w:rPr>
          <w:rFonts w:ascii="Arial" w:eastAsia="Times New Roman" w:hAnsi="Arial" w:cs="Arial"/>
          <w:lang w:eastAsia="es-ES"/>
        </w:rPr>
        <w:t>la</w:t>
      </w:r>
      <w:r w:rsidR="00AB2DA2">
        <w:rPr>
          <w:rFonts w:ascii="Arial" w:eastAsia="Times New Roman" w:hAnsi="Arial" w:cs="Arial"/>
          <w:lang w:eastAsia="es-ES"/>
        </w:rPr>
        <w:t xml:space="preserve"> figura de las personas</w:t>
      </w:r>
      <w:r>
        <w:rPr>
          <w:rFonts w:ascii="Arial" w:eastAsia="Times New Roman" w:hAnsi="Arial" w:cs="Arial"/>
          <w:lang w:eastAsia="es-ES"/>
        </w:rPr>
        <w:t xml:space="preserve"> Monitoras de la Continuidad del Servicio</w:t>
      </w:r>
      <w:r w:rsidR="00AB2DA2">
        <w:rPr>
          <w:rFonts w:ascii="Arial" w:eastAsia="Times New Roman" w:hAnsi="Arial" w:cs="Arial"/>
          <w:lang w:eastAsia="es-ES"/>
        </w:rPr>
        <w:t>.</w:t>
      </w:r>
      <w:r w:rsidR="00735186">
        <w:rPr>
          <w:rFonts w:ascii="Arial" w:eastAsia="Times New Roman" w:hAnsi="Arial" w:cs="Arial"/>
          <w:lang w:eastAsia="es-ES"/>
        </w:rPr>
        <w:t xml:space="preserve"> </w:t>
      </w:r>
      <w:r w:rsidR="005F736B" w:rsidRPr="00735186">
        <w:rPr>
          <w:rFonts w:ascii="Arial" w:eastAsia="Times New Roman" w:hAnsi="Arial" w:cs="Arial"/>
          <w:b/>
          <w:bCs/>
          <w:lang w:eastAsia="es-ES"/>
        </w:rPr>
        <w:t>ACUERDO FIRME</w:t>
      </w:r>
      <w:r w:rsidR="00735186" w:rsidRPr="00735186">
        <w:rPr>
          <w:rFonts w:ascii="Arial" w:eastAsia="Times New Roman" w:hAnsi="Arial" w:cs="Arial"/>
          <w:b/>
          <w:bCs/>
          <w:lang w:eastAsia="es-ES"/>
        </w:rPr>
        <w:t>.</w:t>
      </w:r>
    </w:p>
    <w:p w14:paraId="42131801" w14:textId="77777777" w:rsidR="00046E9C" w:rsidRDefault="00046E9C" w:rsidP="00046E9C">
      <w:pPr>
        <w:spacing w:after="0" w:line="240" w:lineRule="auto"/>
        <w:jc w:val="center"/>
        <w:rPr>
          <w:rFonts w:ascii="Arial" w:hAnsi="Arial" w:cs="Arial"/>
          <w:b/>
          <w:color w:val="2F5496"/>
        </w:rPr>
      </w:pPr>
    </w:p>
    <w:p w14:paraId="13C65124" w14:textId="77777777" w:rsidR="00BC382C" w:rsidRPr="00D3486F" w:rsidRDefault="00BC382C" w:rsidP="00D3486F">
      <w:pPr>
        <w:spacing w:after="0" w:line="240" w:lineRule="auto"/>
        <w:jc w:val="center"/>
        <w:rPr>
          <w:rFonts w:ascii="Arial" w:hAnsi="Arial" w:cs="Arial"/>
          <w:b/>
          <w:color w:val="2F5496"/>
        </w:rPr>
      </w:pPr>
    </w:p>
    <w:p w14:paraId="350551CD" w14:textId="75F1C716" w:rsidR="00536B7B" w:rsidRDefault="00536B7B" w:rsidP="00D3486F">
      <w:pPr>
        <w:spacing w:after="0" w:line="240" w:lineRule="auto"/>
        <w:jc w:val="center"/>
        <w:rPr>
          <w:rFonts w:ascii="Arial" w:hAnsi="Arial" w:cs="Arial"/>
          <w:b/>
          <w:color w:val="2F5496"/>
        </w:rPr>
      </w:pPr>
      <w:r w:rsidRPr="00D3486F">
        <w:rPr>
          <w:rFonts w:ascii="Arial" w:hAnsi="Arial" w:cs="Arial"/>
          <w:b/>
          <w:color w:val="2F5496"/>
        </w:rPr>
        <w:t xml:space="preserve">ARTÍCULO </w:t>
      </w:r>
      <w:r w:rsidR="00734FFE" w:rsidRPr="00D3486F">
        <w:rPr>
          <w:rFonts w:ascii="Arial" w:hAnsi="Arial" w:cs="Arial"/>
          <w:b/>
          <w:color w:val="2F5496"/>
        </w:rPr>
        <w:t>I</w:t>
      </w:r>
      <w:r w:rsidR="00AB2DA2">
        <w:rPr>
          <w:rFonts w:ascii="Arial" w:hAnsi="Arial" w:cs="Arial"/>
          <w:b/>
          <w:color w:val="2F5496"/>
        </w:rPr>
        <w:t>I</w:t>
      </w:r>
    </w:p>
    <w:p w14:paraId="6C7B1C38" w14:textId="77777777" w:rsidR="00D3486F" w:rsidRPr="00D3486F" w:rsidRDefault="00D3486F" w:rsidP="00D3486F">
      <w:pPr>
        <w:spacing w:after="0" w:line="240" w:lineRule="auto"/>
        <w:jc w:val="center"/>
        <w:rPr>
          <w:rFonts w:ascii="Arial" w:hAnsi="Arial" w:cs="Arial"/>
          <w:b/>
          <w:color w:val="2F5496"/>
        </w:rPr>
      </w:pPr>
    </w:p>
    <w:p w14:paraId="3379CD9C" w14:textId="2CD911D6" w:rsidR="002575A9" w:rsidRDefault="002575A9" w:rsidP="00091AFD">
      <w:pPr>
        <w:jc w:val="both"/>
        <w:rPr>
          <w:rFonts w:ascii="Arial" w:hAnsi="Arial" w:cs="Arial"/>
          <w:i/>
          <w:iCs/>
          <w:lang w:val="es-ES"/>
        </w:rPr>
      </w:pPr>
      <w:bookmarkStart w:id="1" w:name="_Hlk52169883"/>
      <w:r>
        <w:rPr>
          <w:rFonts w:ascii="Arial" w:hAnsi="Arial" w:cs="Arial"/>
          <w:lang w:val="es-ES"/>
        </w:rPr>
        <w:t>En sesión 3-2022 del Comité Técnico de Continuidad del Servicio del Poder Judicial</w:t>
      </w:r>
      <w:r w:rsidR="00B468F0">
        <w:rPr>
          <w:rFonts w:ascii="Arial" w:hAnsi="Arial" w:cs="Arial"/>
          <w:lang w:val="es-ES"/>
        </w:rPr>
        <w:t>, artículo I</w:t>
      </w:r>
      <w:r>
        <w:rPr>
          <w:rFonts w:ascii="Arial" w:hAnsi="Arial" w:cs="Arial"/>
          <w:lang w:val="es-ES"/>
        </w:rPr>
        <w:t>, se acordó</w:t>
      </w:r>
      <w:r w:rsidR="00307988">
        <w:rPr>
          <w:rFonts w:ascii="Arial" w:hAnsi="Arial" w:cs="Arial"/>
          <w:lang w:val="es-ES"/>
        </w:rPr>
        <w:t>,</w:t>
      </w:r>
      <w:r>
        <w:rPr>
          <w:rFonts w:ascii="Arial" w:hAnsi="Arial" w:cs="Arial"/>
          <w:lang w:val="es-ES"/>
        </w:rPr>
        <w:t xml:space="preserve"> en relación con la propuesta de actualización de la </w:t>
      </w:r>
      <w:r w:rsidRPr="00091AFD">
        <w:rPr>
          <w:rFonts w:ascii="Arial" w:hAnsi="Arial" w:cs="Arial"/>
          <w:i/>
          <w:iCs/>
          <w:lang w:val="es-ES"/>
        </w:rPr>
        <w:t>“Política de Gestión de la Continuidad del Servicio”</w:t>
      </w:r>
      <w:r>
        <w:rPr>
          <w:rFonts w:ascii="Arial" w:hAnsi="Arial" w:cs="Arial"/>
          <w:i/>
          <w:iCs/>
          <w:lang w:val="es-ES"/>
        </w:rPr>
        <w:t>, lo siguiente:</w:t>
      </w:r>
    </w:p>
    <w:p w14:paraId="3683F535" w14:textId="21D005A4" w:rsidR="002575A9" w:rsidRDefault="002575A9" w:rsidP="00091AFD">
      <w:pPr>
        <w:jc w:val="both"/>
        <w:rPr>
          <w:rFonts w:ascii="Arial" w:hAnsi="Arial" w:cs="Arial"/>
          <w:i/>
          <w:iCs/>
          <w:lang w:val="es-ES"/>
        </w:rPr>
      </w:pPr>
    </w:p>
    <w:p w14:paraId="607285D8" w14:textId="79CFF6CC" w:rsidR="002575A9" w:rsidRPr="00F22109" w:rsidRDefault="002575A9" w:rsidP="002575A9">
      <w:pPr>
        <w:spacing w:after="0" w:line="240" w:lineRule="auto"/>
        <w:ind w:left="794" w:right="567"/>
        <w:jc w:val="both"/>
        <w:rPr>
          <w:rFonts w:ascii="Arial" w:eastAsia="Times New Roman" w:hAnsi="Arial" w:cs="Arial"/>
          <w:b/>
          <w:bCs/>
          <w:i/>
          <w:iCs/>
          <w:lang w:eastAsia="es-ES"/>
        </w:rPr>
      </w:pPr>
      <w:r w:rsidRPr="00F22109">
        <w:rPr>
          <w:rFonts w:ascii="Arial" w:eastAsia="Times New Roman" w:hAnsi="Arial" w:cs="Arial"/>
          <w:b/>
          <w:bCs/>
          <w:i/>
          <w:iCs/>
          <w:lang w:eastAsia="es-ES"/>
        </w:rPr>
        <w:t>1)</w:t>
      </w:r>
      <w:r w:rsidRPr="00F22109">
        <w:rPr>
          <w:rFonts w:ascii="Arial" w:eastAsia="Times New Roman" w:hAnsi="Arial" w:cs="Arial"/>
          <w:i/>
          <w:iCs/>
          <w:lang w:eastAsia="es-ES"/>
        </w:rPr>
        <w:t xml:space="preserve"> Tomar nota de la propuesta presentada por el Subproceso de Gestión de la Continuidad y la presentación realizada. </w:t>
      </w:r>
      <w:r w:rsidRPr="00F22109">
        <w:rPr>
          <w:rFonts w:ascii="Arial" w:eastAsia="Times New Roman" w:hAnsi="Arial" w:cs="Arial"/>
          <w:b/>
          <w:bCs/>
          <w:i/>
          <w:iCs/>
          <w:lang w:eastAsia="es-ES"/>
        </w:rPr>
        <w:t>2)</w:t>
      </w:r>
      <w:r w:rsidRPr="00F22109">
        <w:rPr>
          <w:rFonts w:ascii="Arial" w:eastAsia="Times New Roman" w:hAnsi="Arial" w:cs="Arial"/>
          <w:i/>
          <w:iCs/>
          <w:lang w:eastAsia="es-ES"/>
        </w:rPr>
        <w:t xml:space="preserve"> El documento con la propuesta quedará sujeto a revisión y análisis por parte de las personas integrantes del presente Comité, para externar observaciones y/o sugerencias del borrador de la Política de </w:t>
      </w:r>
      <w:r w:rsidRPr="00F22109">
        <w:rPr>
          <w:rFonts w:ascii="Arial" w:hAnsi="Arial" w:cs="Arial"/>
          <w:i/>
          <w:iCs/>
          <w:lang w:val="es-ES"/>
        </w:rPr>
        <w:t>Gestión de la Continuidad del Servicio</w:t>
      </w:r>
      <w:r w:rsidRPr="00F22109">
        <w:rPr>
          <w:rFonts w:ascii="Arial" w:eastAsia="Times New Roman" w:hAnsi="Arial" w:cs="Arial"/>
          <w:i/>
          <w:iCs/>
          <w:lang w:eastAsia="es-ES"/>
        </w:rPr>
        <w:t xml:space="preserve">, por lo que se establece un período de </w:t>
      </w:r>
      <w:r w:rsidRPr="00F22109">
        <w:rPr>
          <w:rFonts w:ascii="Arial" w:eastAsia="Times New Roman" w:hAnsi="Arial" w:cs="Arial"/>
          <w:b/>
          <w:bCs/>
          <w:i/>
          <w:iCs/>
          <w:lang w:eastAsia="es-ES"/>
        </w:rPr>
        <w:t>10 días hábiles</w:t>
      </w:r>
      <w:r w:rsidRPr="00F22109">
        <w:rPr>
          <w:rFonts w:ascii="Arial" w:eastAsia="Times New Roman" w:hAnsi="Arial" w:cs="Arial"/>
          <w:i/>
          <w:iCs/>
          <w:lang w:eastAsia="es-ES"/>
        </w:rPr>
        <w:t xml:space="preserve"> para recibir observaciones. </w:t>
      </w:r>
      <w:r w:rsidRPr="00F22109">
        <w:rPr>
          <w:rFonts w:ascii="Arial" w:eastAsia="Times New Roman" w:hAnsi="Arial" w:cs="Arial"/>
          <w:b/>
          <w:bCs/>
          <w:i/>
          <w:iCs/>
          <w:lang w:eastAsia="es-ES"/>
        </w:rPr>
        <w:t>3)</w:t>
      </w:r>
      <w:r w:rsidRPr="00F22109">
        <w:rPr>
          <w:rFonts w:ascii="Arial" w:eastAsia="Times New Roman" w:hAnsi="Arial" w:cs="Arial"/>
          <w:i/>
          <w:iCs/>
          <w:lang w:eastAsia="es-ES"/>
        </w:rPr>
        <w:t xml:space="preserve"> En caso de no existir observaciones de fondo, el Subproceso de Gestión de la Continuidad trasladará la propuesta al Consejo Superior, para su conocimiento y traslado a Corte Plena; en caso contrario, los aspectos por valorar serán conocidos en la próxima sesión del Comité Técnico.  </w:t>
      </w:r>
      <w:r w:rsidRPr="00F22109">
        <w:rPr>
          <w:rFonts w:ascii="Arial" w:eastAsia="Times New Roman" w:hAnsi="Arial" w:cs="Arial"/>
          <w:b/>
          <w:bCs/>
          <w:i/>
          <w:iCs/>
          <w:lang w:eastAsia="es-ES"/>
        </w:rPr>
        <w:t xml:space="preserve">ACUERDO FIRME. </w:t>
      </w:r>
    </w:p>
    <w:p w14:paraId="44753B58" w14:textId="77777777" w:rsidR="002575A9" w:rsidRDefault="002575A9" w:rsidP="00091AFD">
      <w:pPr>
        <w:jc w:val="both"/>
        <w:rPr>
          <w:rFonts w:ascii="Arial" w:hAnsi="Arial" w:cs="Arial"/>
          <w:i/>
          <w:iCs/>
          <w:lang w:val="es-ES"/>
        </w:rPr>
      </w:pPr>
    </w:p>
    <w:p w14:paraId="08FB6BE6" w14:textId="0D87D5CF" w:rsidR="004C429C" w:rsidRPr="00794820" w:rsidRDefault="002575A9" w:rsidP="00794820">
      <w:pPr>
        <w:jc w:val="both"/>
        <w:rPr>
          <w:rFonts w:ascii="Arial" w:hAnsi="Arial" w:cs="Arial"/>
          <w:color w:val="FF0000"/>
          <w:lang w:val="es-ES"/>
        </w:rPr>
      </w:pPr>
      <w:r>
        <w:rPr>
          <w:rFonts w:ascii="Arial" w:hAnsi="Arial" w:cs="Arial"/>
          <w:lang w:val="es-ES"/>
        </w:rPr>
        <w:t>Trascurrido el plazo otorgado</w:t>
      </w:r>
      <w:r w:rsidR="00B468F0">
        <w:rPr>
          <w:rFonts w:ascii="Arial" w:hAnsi="Arial" w:cs="Arial"/>
          <w:lang w:val="es-ES"/>
        </w:rPr>
        <w:t>,</w:t>
      </w:r>
      <w:r>
        <w:rPr>
          <w:rFonts w:ascii="Arial" w:hAnsi="Arial" w:cs="Arial"/>
          <w:lang w:val="es-ES"/>
        </w:rPr>
        <w:t xml:space="preserve"> no se recibieron observaciones al contenido de la </w:t>
      </w:r>
      <w:r w:rsidR="00B468F0">
        <w:rPr>
          <w:rFonts w:ascii="Arial" w:hAnsi="Arial" w:cs="Arial"/>
          <w:lang w:val="es-ES"/>
        </w:rPr>
        <w:t>política</w:t>
      </w:r>
      <w:r>
        <w:rPr>
          <w:rFonts w:ascii="Arial" w:hAnsi="Arial" w:cs="Arial"/>
          <w:lang w:val="es-ES"/>
        </w:rPr>
        <w:t xml:space="preserve">, no obstante, </w:t>
      </w:r>
      <w:r w:rsidR="00794820">
        <w:rPr>
          <w:rFonts w:ascii="Arial" w:hAnsi="Arial" w:cs="Arial"/>
          <w:lang w:val="es-ES"/>
        </w:rPr>
        <w:t xml:space="preserve">mediante oficio </w:t>
      </w:r>
      <w:r w:rsidR="00794820" w:rsidRPr="00794820">
        <w:rPr>
          <w:rFonts w:ascii="Arial" w:hAnsi="Arial" w:cs="Arial"/>
          <w:lang w:val="es-ES"/>
        </w:rPr>
        <w:t>1160-PLA-PE-OI-2022</w:t>
      </w:r>
      <w:r w:rsidR="00794820">
        <w:rPr>
          <w:rFonts w:ascii="Arial" w:hAnsi="Arial" w:cs="Arial"/>
          <w:lang w:val="es-ES"/>
        </w:rPr>
        <w:t xml:space="preserve"> del 29 de noviembre de 2022, la Dirección de Planificación aportó observaciones al documento, las cuales fueron incorporadas</w:t>
      </w:r>
      <w:r w:rsidR="00353077">
        <w:rPr>
          <w:rFonts w:ascii="Arial" w:hAnsi="Arial" w:cs="Arial"/>
          <w:lang w:val="es-ES"/>
        </w:rPr>
        <w:t xml:space="preserve"> en su </w:t>
      </w:r>
      <w:r w:rsidR="00353077" w:rsidRPr="00353077">
        <w:rPr>
          <w:rFonts w:ascii="Arial" w:hAnsi="Arial" w:cs="Arial"/>
          <w:lang w:val="es-ES"/>
        </w:rPr>
        <w:t>mayoría</w:t>
      </w:r>
      <w:r w:rsidR="00794820" w:rsidRPr="00353077">
        <w:rPr>
          <w:rFonts w:ascii="Arial" w:hAnsi="Arial" w:cs="Arial"/>
          <w:lang w:val="es-ES"/>
        </w:rPr>
        <w:t>. Adicionalmente, por parte del Subproceso de Gestión de la Continuidad</w:t>
      </w:r>
      <w:r w:rsidR="00353077" w:rsidRPr="00353077">
        <w:rPr>
          <w:rFonts w:ascii="Arial" w:hAnsi="Arial" w:cs="Arial"/>
          <w:lang w:val="es-ES"/>
        </w:rPr>
        <w:t>,</w:t>
      </w:r>
      <w:r w:rsidR="00794820" w:rsidRPr="00353077">
        <w:rPr>
          <w:rFonts w:ascii="Arial" w:hAnsi="Arial" w:cs="Arial"/>
          <w:lang w:val="es-ES"/>
        </w:rPr>
        <w:t xml:space="preserve"> se incorpora a </w:t>
      </w:r>
      <w:r w:rsidRPr="00353077">
        <w:rPr>
          <w:rFonts w:ascii="Arial" w:hAnsi="Arial" w:cs="Arial"/>
          <w:lang w:val="es-ES"/>
        </w:rPr>
        <w:t>los roles y responsabilidades</w:t>
      </w:r>
      <w:r w:rsidR="00B468F0" w:rsidRPr="00353077">
        <w:rPr>
          <w:rFonts w:ascii="Arial" w:hAnsi="Arial" w:cs="Arial"/>
          <w:lang w:val="es-ES"/>
        </w:rPr>
        <w:t xml:space="preserve"> de los diferentes participantes</w:t>
      </w:r>
      <w:r w:rsidR="00794820" w:rsidRPr="00353077">
        <w:rPr>
          <w:rFonts w:ascii="Arial" w:hAnsi="Arial" w:cs="Arial"/>
          <w:lang w:val="es-ES"/>
        </w:rPr>
        <w:t>, lo correspondiente a la figura de los Monitores de Continuidad</w:t>
      </w:r>
      <w:r w:rsidR="006A3600" w:rsidRPr="00353077">
        <w:rPr>
          <w:rFonts w:ascii="Arial" w:hAnsi="Arial" w:cs="Arial"/>
          <w:lang w:val="es-ES"/>
        </w:rPr>
        <w:t>; de las Jefaturas o Administraciones de Programas y el papel del Centro de Apoyo, Coordinación y Mejoramiento de la Función Jurisdiccional</w:t>
      </w:r>
      <w:r w:rsidR="00794820" w:rsidRPr="00353077">
        <w:rPr>
          <w:rFonts w:ascii="Arial" w:hAnsi="Arial" w:cs="Arial"/>
          <w:lang w:val="es-ES"/>
        </w:rPr>
        <w:t xml:space="preserve">; de manera que se presenta la versión actualizada de </w:t>
      </w:r>
      <w:r w:rsidR="00B468F0" w:rsidRPr="00353077">
        <w:rPr>
          <w:rFonts w:ascii="Arial" w:hAnsi="Arial" w:cs="Arial"/>
          <w:lang w:val="es-ES"/>
        </w:rPr>
        <w:t>la</w:t>
      </w:r>
      <w:r w:rsidRPr="00353077">
        <w:rPr>
          <w:rFonts w:ascii="Arial" w:hAnsi="Arial" w:cs="Arial"/>
          <w:lang w:val="es-ES"/>
        </w:rPr>
        <w:t xml:space="preserve"> propuesta de</w:t>
      </w:r>
      <w:r w:rsidR="00AA3113" w:rsidRPr="00353077">
        <w:rPr>
          <w:rFonts w:ascii="Arial" w:hAnsi="Arial" w:cs="Arial"/>
          <w:lang w:val="es-ES"/>
        </w:rPr>
        <w:t xml:space="preserve"> l</w:t>
      </w:r>
      <w:r w:rsidR="00291B11" w:rsidRPr="00353077">
        <w:rPr>
          <w:rFonts w:ascii="Arial" w:hAnsi="Arial" w:cs="Arial"/>
          <w:lang w:val="es-ES"/>
        </w:rPr>
        <w:t xml:space="preserve">a </w:t>
      </w:r>
      <w:r w:rsidR="00291B11" w:rsidRPr="00353077">
        <w:rPr>
          <w:rFonts w:ascii="Arial" w:hAnsi="Arial" w:cs="Arial"/>
          <w:i/>
          <w:iCs/>
          <w:lang w:val="es-ES"/>
        </w:rPr>
        <w:t xml:space="preserve">“Política de Gestión de la Continuidad del </w:t>
      </w:r>
      <w:r w:rsidR="002B0D3F" w:rsidRPr="00353077">
        <w:rPr>
          <w:rFonts w:ascii="Arial" w:hAnsi="Arial" w:cs="Arial"/>
          <w:i/>
          <w:iCs/>
          <w:lang w:val="es-ES"/>
        </w:rPr>
        <w:t>Servicio”</w:t>
      </w:r>
      <w:r w:rsidR="00813B82" w:rsidRPr="00353077">
        <w:rPr>
          <w:rFonts w:ascii="Arial" w:hAnsi="Arial" w:cs="Arial"/>
          <w:lang w:val="es-ES"/>
        </w:rPr>
        <w:t>.</w:t>
      </w:r>
      <w:r w:rsidR="00CE1A47" w:rsidRPr="00353077">
        <w:rPr>
          <w:rFonts w:ascii="Arial" w:hAnsi="Arial" w:cs="Arial"/>
          <w:lang w:val="es-ES"/>
        </w:rPr>
        <w:t xml:space="preserve"> </w:t>
      </w:r>
    </w:p>
    <w:p w14:paraId="02CB107D" w14:textId="0EA3D0ED" w:rsidR="00F25DCD" w:rsidRDefault="00F25DCD" w:rsidP="004F3FB5">
      <w:pPr>
        <w:widowControl w:val="0"/>
        <w:autoSpaceDE w:val="0"/>
        <w:autoSpaceDN w:val="0"/>
        <w:adjustRightInd w:val="0"/>
        <w:spacing w:after="0" w:line="240" w:lineRule="auto"/>
        <w:ind w:right="142" w:firstLine="708"/>
        <w:jc w:val="both"/>
        <w:rPr>
          <w:rFonts w:ascii="Arial" w:hAnsi="Arial" w:cs="Arial"/>
          <w:lang w:val="es-ES"/>
        </w:rPr>
      </w:pPr>
    </w:p>
    <w:tbl>
      <w:tblPr>
        <w:tblStyle w:val="Tablaconcuadrcula"/>
        <w:tblW w:w="0" w:type="auto"/>
        <w:jc w:val="center"/>
        <w:tblLook w:val="04A0" w:firstRow="1" w:lastRow="0" w:firstColumn="1" w:lastColumn="0" w:noHBand="0" w:noVBand="1"/>
      </w:tblPr>
      <w:tblGrid>
        <w:gridCol w:w="2816"/>
      </w:tblGrid>
      <w:tr w:rsidR="00813B82" w14:paraId="0FBBE7F0" w14:textId="77777777" w:rsidTr="00813B82">
        <w:trPr>
          <w:jc w:val="center"/>
        </w:trPr>
        <w:tc>
          <w:tcPr>
            <w:tcW w:w="2816" w:type="dxa"/>
            <w:shd w:val="clear" w:color="auto" w:fill="1F3864" w:themeFill="accent1" w:themeFillShade="80"/>
          </w:tcPr>
          <w:p w14:paraId="0C4D622C" w14:textId="695939F5" w:rsidR="00813B82" w:rsidRPr="00C969E2" w:rsidRDefault="00813B82" w:rsidP="003C79B5">
            <w:pPr>
              <w:widowControl w:val="0"/>
              <w:autoSpaceDE w:val="0"/>
              <w:autoSpaceDN w:val="0"/>
              <w:adjustRightInd w:val="0"/>
              <w:spacing w:after="0" w:line="240" w:lineRule="auto"/>
              <w:ind w:right="142"/>
              <w:jc w:val="center"/>
              <w:rPr>
                <w:rFonts w:ascii="Arial" w:hAnsi="Arial" w:cs="Arial"/>
                <w:lang w:val="es-ES"/>
              </w:rPr>
            </w:pPr>
            <w:r w:rsidRPr="00C969E2">
              <w:rPr>
                <w:rFonts w:ascii="Arial" w:hAnsi="Arial" w:cs="Arial"/>
                <w:lang w:val="es-ES"/>
              </w:rPr>
              <w:t>Borrador Política actualizada</w:t>
            </w:r>
            <w:r>
              <w:rPr>
                <w:rFonts w:ascii="Arial" w:hAnsi="Arial" w:cs="Arial"/>
                <w:lang w:val="es-ES"/>
              </w:rPr>
              <w:t xml:space="preserve"> versión final</w:t>
            </w:r>
          </w:p>
        </w:tc>
      </w:tr>
      <w:bookmarkStart w:id="2" w:name="_MON_1731405767"/>
      <w:bookmarkEnd w:id="2"/>
      <w:tr w:rsidR="00813B82" w14:paraId="05353D9A" w14:textId="77777777" w:rsidTr="00813B82">
        <w:trPr>
          <w:trHeight w:val="865"/>
          <w:jc w:val="center"/>
        </w:trPr>
        <w:tc>
          <w:tcPr>
            <w:tcW w:w="2816" w:type="dxa"/>
          </w:tcPr>
          <w:p w14:paraId="20E17AEB" w14:textId="12C65BA2" w:rsidR="00813B82" w:rsidRDefault="006A3600" w:rsidP="003C79B5">
            <w:pPr>
              <w:widowControl w:val="0"/>
              <w:autoSpaceDE w:val="0"/>
              <w:autoSpaceDN w:val="0"/>
              <w:adjustRightInd w:val="0"/>
              <w:spacing w:after="0" w:line="240" w:lineRule="auto"/>
              <w:ind w:right="142"/>
              <w:jc w:val="center"/>
              <w:rPr>
                <w:rFonts w:ascii="Arial" w:hAnsi="Arial" w:cs="Arial"/>
                <w:color w:val="BFBFBF" w:themeColor="background1" w:themeShade="BF"/>
                <w:lang w:val="es-ES"/>
              </w:rPr>
            </w:pPr>
            <w:r>
              <w:rPr>
                <w:rFonts w:ascii="Arial" w:eastAsia="Calibri" w:hAnsi="Arial" w:cs="Arial"/>
                <w:color w:val="BFBFBF" w:themeColor="background1" w:themeShade="BF"/>
                <w:lang w:val="es-ES"/>
              </w:rPr>
              <w:object w:dxaOrig="2274" w:dyaOrig="1485" w14:anchorId="5EB617F0">
                <v:shape id="_x0000_i1027" type="#_x0000_t75" style="width:113.35pt;height:74.15pt" o:ole="">
                  <v:imagedata r:id="rId12" o:title=""/>
                </v:shape>
                <o:OLEObject Type="Embed" ProgID="Word.Document.12" ShapeID="_x0000_i1027" DrawAspect="Icon" ObjectID="_1731914380" r:id="rId13">
                  <o:FieldCodes>\s</o:FieldCodes>
                </o:OLEObject>
              </w:object>
            </w:r>
          </w:p>
        </w:tc>
      </w:tr>
    </w:tbl>
    <w:p w14:paraId="7B118EA2" w14:textId="77777777" w:rsidR="00F16BD2" w:rsidRPr="003C79B5" w:rsidRDefault="00F16BD2" w:rsidP="003C79B5">
      <w:pPr>
        <w:widowControl w:val="0"/>
        <w:autoSpaceDE w:val="0"/>
        <w:autoSpaceDN w:val="0"/>
        <w:adjustRightInd w:val="0"/>
        <w:spacing w:after="0" w:line="240" w:lineRule="auto"/>
        <w:ind w:right="142" w:firstLine="708"/>
        <w:jc w:val="center"/>
        <w:rPr>
          <w:rFonts w:ascii="Arial" w:hAnsi="Arial" w:cs="Arial"/>
          <w:color w:val="BFBFBF" w:themeColor="background1" w:themeShade="BF"/>
          <w:lang w:val="es-ES"/>
        </w:rPr>
      </w:pPr>
    </w:p>
    <w:p w14:paraId="3D19F4CC" w14:textId="77777777" w:rsidR="003C79B5" w:rsidRDefault="003C79B5" w:rsidP="004F3FB5">
      <w:pPr>
        <w:widowControl w:val="0"/>
        <w:autoSpaceDE w:val="0"/>
        <w:autoSpaceDN w:val="0"/>
        <w:adjustRightInd w:val="0"/>
        <w:spacing w:after="0" w:line="240" w:lineRule="auto"/>
        <w:ind w:right="142" w:firstLine="708"/>
        <w:jc w:val="both"/>
        <w:rPr>
          <w:rFonts w:ascii="Arial" w:hAnsi="Arial" w:cs="Arial"/>
          <w:lang w:val="es-ES"/>
        </w:rPr>
      </w:pPr>
    </w:p>
    <w:p w14:paraId="752CDF25" w14:textId="77777777" w:rsidR="00D066B4" w:rsidRPr="002D13A4" w:rsidRDefault="00D066B4" w:rsidP="00B87CBE">
      <w:pPr>
        <w:widowControl w:val="0"/>
        <w:autoSpaceDE w:val="0"/>
        <w:autoSpaceDN w:val="0"/>
        <w:adjustRightInd w:val="0"/>
        <w:spacing w:after="0" w:line="240" w:lineRule="auto"/>
        <w:ind w:right="142" w:firstLine="708"/>
        <w:jc w:val="both"/>
        <w:rPr>
          <w:rFonts w:ascii="Arial" w:hAnsi="Arial" w:cs="Arial"/>
          <w:lang w:val="es-ES"/>
        </w:rPr>
      </w:pPr>
    </w:p>
    <w:p w14:paraId="60E445E7" w14:textId="43B6A87D" w:rsidR="00D066B4" w:rsidRPr="002D13A4" w:rsidRDefault="00D066B4" w:rsidP="00D066B4">
      <w:pPr>
        <w:spacing w:after="0" w:line="240" w:lineRule="auto"/>
        <w:jc w:val="both"/>
        <w:rPr>
          <w:rFonts w:ascii="Arial" w:eastAsia="Times New Roman" w:hAnsi="Arial" w:cs="Arial"/>
          <w:b/>
          <w:bCs/>
          <w:lang w:eastAsia="es-ES"/>
        </w:rPr>
      </w:pPr>
      <w:r w:rsidRPr="002D13A4">
        <w:rPr>
          <w:rFonts w:ascii="Arial" w:eastAsia="Times New Roman" w:hAnsi="Arial" w:cs="Arial"/>
          <w:b/>
          <w:bCs/>
          <w:lang w:eastAsia="es-ES"/>
        </w:rPr>
        <w:lastRenderedPageBreak/>
        <w:t>Se acuerda:</w:t>
      </w:r>
      <w:r w:rsidRPr="002D13A4">
        <w:rPr>
          <w:rFonts w:ascii="Arial" w:eastAsia="Times New Roman" w:hAnsi="Arial" w:cs="Arial"/>
          <w:lang w:eastAsia="es-ES"/>
        </w:rPr>
        <w:t xml:space="preserve"> </w:t>
      </w:r>
      <w:r w:rsidR="004F3FB5" w:rsidRPr="002D13A4">
        <w:rPr>
          <w:rFonts w:ascii="Arial" w:eastAsia="Times New Roman" w:hAnsi="Arial" w:cs="Arial"/>
          <w:b/>
          <w:bCs/>
          <w:lang w:eastAsia="es-ES"/>
        </w:rPr>
        <w:t>1)</w:t>
      </w:r>
      <w:r w:rsidR="004F3FB5" w:rsidRPr="002D13A4">
        <w:rPr>
          <w:rFonts w:ascii="Arial" w:eastAsia="Times New Roman" w:hAnsi="Arial" w:cs="Arial"/>
          <w:lang w:eastAsia="es-ES"/>
        </w:rPr>
        <w:t xml:space="preserve"> </w:t>
      </w:r>
      <w:r w:rsidR="00704103">
        <w:rPr>
          <w:rFonts w:ascii="Arial" w:eastAsia="Times New Roman" w:hAnsi="Arial" w:cs="Arial"/>
          <w:lang w:eastAsia="es-ES"/>
        </w:rPr>
        <w:t>Aprobar</w:t>
      </w:r>
      <w:r w:rsidRPr="002D13A4">
        <w:rPr>
          <w:rFonts w:ascii="Arial" w:eastAsia="Times New Roman" w:hAnsi="Arial" w:cs="Arial"/>
          <w:lang w:eastAsia="es-ES"/>
        </w:rPr>
        <w:t xml:space="preserve"> </w:t>
      </w:r>
      <w:r w:rsidR="004C429C" w:rsidRPr="002D13A4">
        <w:rPr>
          <w:rFonts w:ascii="Arial" w:eastAsia="Times New Roman" w:hAnsi="Arial" w:cs="Arial"/>
          <w:lang w:eastAsia="es-ES"/>
        </w:rPr>
        <w:t xml:space="preserve">la propuesta </w:t>
      </w:r>
      <w:r w:rsidR="00704103">
        <w:rPr>
          <w:rFonts w:ascii="Arial" w:eastAsia="Times New Roman" w:hAnsi="Arial" w:cs="Arial"/>
          <w:lang w:eastAsia="es-ES"/>
        </w:rPr>
        <w:t xml:space="preserve">actualizada que </w:t>
      </w:r>
      <w:r w:rsidR="004C429C" w:rsidRPr="002D13A4">
        <w:rPr>
          <w:rFonts w:ascii="Arial" w:eastAsia="Times New Roman" w:hAnsi="Arial" w:cs="Arial"/>
          <w:lang w:eastAsia="es-ES"/>
        </w:rPr>
        <w:t xml:space="preserve">presenta </w:t>
      </w:r>
      <w:r w:rsidRPr="002D13A4">
        <w:rPr>
          <w:rFonts w:ascii="Arial" w:eastAsia="Times New Roman" w:hAnsi="Arial" w:cs="Arial"/>
          <w:lang w:eastAsia="es-ES"/>
        </w:rPr>
        <w:t>el Subproceso de Gestión de la Continuidad</w:t>
      </w:r>
      <w:r w:rsidR="004F3FB5" w:rsidRPr="002D13A4">
        <w:rPr>
          <w:rFonts w:ascii="Arial" w:eastAsia="Times New Roman" w:hAnsi="Arial" w:cs="Arial"/>
          <w:lang w:eastAsia="es-ES"/>
        </w:rPr>
        <w:t xml:space="preserve"> </w:t>
      </w:r>
      <w:r w:rsidR="00813B82">
        <w:rPr>
          <w:rFonts w:ascii="Arial" w:eastAsia="Times New Roman" w:hAnsi="Arial" w:cs="Arial"/>
          <w:lang w:eastAsia="es-ES"/>
        </w:rPr>
        <w:t>con los cambios incorporados</w:t>
      </w:r>
      <w:r w:rsidR="004F3FB5" w:rsidRPr="002D13A4">
        <w:rPr>
          <w:rFonts w:ascii="Arial" w:eastAsia="Times New Roman" w:hAnsi="Arial" w:cs="Arial"/>
          <w:lang w:eastAsia="es-ES"/>
        </w:rPr>
        <w:t>.</w:t>
      </w:r>
      <w:r w:rsidR="004C429C" w:rsidRPr="002D13A4">
        <w:rPr>
          <w:rFonts w:ascii="Arial" w:eastAsia="Times New Roman" w:hAnsi="Arial" w:cs="Arial"/>
          <w:lang w:eastAsia="es-ES"/>
        </w:rPr>
        <w:t xml:space="preserve"> </w:t>
      </w:r>
      <w:r w:rsidR="004F3FB5" w:rsidRPr="002D13A4">
        <w:rPr>
          <w:rFonts w:ascii="Arial" w:eastAsia="Times New Roman" w:hAnsi="Arial" w:cs="Arial"/>
          <w:b/>
          <w:bCs/>
          <w:lang w:eastAsia="es-ES"/>
        </w:rPr>
        <w:t>2)</w:t>
      </w:r>
      <w:r w:rsidR="004F3FB5" w:rsidRPr="002D13A4">
        <w:rPr>
          <w:rFonts w:ascii="Arial" w:eastAsia="Times New Roman" w:hAnsi="Arial" w:cs="Arial"/>
          <w:lang w:eastAsia="es-ES"/>
        </w:rPr>
        <w:t xml:space="preserve"> El</w:t>
      </w:r>
      <w:r w:rsidR="005E3029" w:rsidRPr="002D13A4">
        <w:rPr>
          <w:rFonts w:ascii="Arial" w:eastAsia="Times New Roman" w:hAnsi="Arial" w:cs="Arial"/>
          <w:lang w:eastAsia="es-ES"/>
        </w:rPr>
        <w:t xml:space="preserve"> documento</w:t>
      </w:r>
      <w:r w:rsidR="004F3FB5" w:rsidRPr="002D13A4">
        <w:rPr>
          <w:rFonts w:ascii="Arial" w:eastAsia="Times New Roman" w:hAnsi="Arial" w:cs="Arial"/>
          <w:lang w:eastAsia="es-ES"/>
        </w:rPr>
        <w:t xml:space="preserve"> </w:t>
      </w:r>
      <w:r w:rsidR="00813B82">
        <w:rPr>
          <w:rFonts w:ascii="Arial" w:eastAsia="Times New Roman" w:hAnsi="Arial" w:cs="Arial"/>
          <w:lang w:eastAsia="es-ES"/>
        </w:rPr>
        <w:t xml:space="preserve">se </w:t>
      </w:r>
      <w:r w:rsidR="00B81F7F" w:rsidRPr="002D13A4">
        <w:rPr>
          <w:rFonts w:ascii="Arial" w:eastAsia="Times New Roman" w:hAnsi="Arial" w:cs="Arial"/>
          <w:lang w:eastAsia="es-ES"/>
        </w:rPr>
        <w:t>trasladará al Consejo Superior, para su conocimiento y traslado a Corte Plena.</w:t>
      </w:r>
      <w:r w:rsidR="004F3FB5" w:rsidRPr="002D13A4">
        <w:rPr>
          <w:rFonts w:ascii="Arial" w:eastAsia="Times New Roman" w:hAnsi="Arial" w:cs="Arial"/>
          <w:lang w:eastAsia="es-ES"/>
        </w:rPr>
        <w:t xml:space="preserve"> </w:t>
      </w:r>
      <w:r w:rsidRPr="002D13A4">
        <w:rPr>
          <w:rFonts w:ascii="Arial" w:eastAsia="Times New Roman" w:hAnsi="Arial" w:cs="Arial"/>
          <w:lang w:eastAsia="es-ES"/>
        </w:rPr>
        <w:t xml:space="preserve"> </w:t>
      </w:r>
      <w:r w:rsidRPr="002D13A4">
        <w:rPr>
          <w:rFonts w:ascii="Arial" w:eastAsia="Times New Roman" w:hAnsi="Arial" w:cs="Arial"/>
          <w:b/>
          <w:bCs/>
          <w:lang w:eastAsia="es-ES"/>
        </w:rPr>
        <w:t xml:space="preserve">ACUERDO FIRME. </w:t>
      </w:r>
    </w:p>
    <w:p w14:paraId="68CF37FD" w14:textId="3E04585F" w:rsidR="00813B82" w:rsidRDefault="00813B82" w:rsidP="00D066B4">
      <w:pPr>
        <w:widowControl w:val="0"/>
        <w:autoSpaceDE w:val="0"/>
        <w:autoSpaceDN w:val="0"/>
        <w:adjustRightInd w:val="0"/>
        <w:spacing w:after="0" w:line="240" w:lineRule="auto"/>
        <w:ind w:right="142"/>
        <w:jc w:val="both"/>
        <w:rPr>
          <w:rFonts w:ascii="Arial" w:eastAsia="Times New Roman" w:hAnsi="Arial" w:cs="Arial"/>
          <w:b/>
          <w:color w:val="000000"/>
          <w:lang w:val="es-ES" w:eastAsia="es-ES"/>
        </w:rPr>
      </w:pPr>
    </w:p>
    <w:p w14:paraId="47BF195D" w14:textId="77777777" w:rsidR="002244EF" w:rsidRPr="00D3486F" w:rsidRDefault="002244EF" w:rsidP="00D066B4">
      <w:pPr>
        <w:widowControl w:val="0"/>
        <w:autoSpaceDE w:val="0"/>
        <w:autoSpaceDN w:val="0"/>
        <w:adjustRightInd w:val="0"/>
        <w:spacing w:after="0" w:line="240" w:lineRule="auto"/>
        <w:ind w:right="142"/>
        <w:jc w:val="both"/>
        <w:rPr>
          <w:rFonts w:ascii="Arial" w:eastAsia="Times New Roman" w:hAnsi="Arial" w:cs="Arial"/>
          <w:b/>
          <w:color w:val="000000"/>
          <w:lang w:val="es-ES" w:eastAsia="es-ES"/>
        </w:rPr>
      </w:pPr>
    </w:p>
    <w:p w14:paraId="1B0B2846" w14:textId="77777777" w:rsidR="00F35E40" w:rsidRPr="00D3486F" w:rsidRDefault="00F35E40" w:rsidP="00D3486F">
      <w:pPr>
        <w:spacing w:after="0" w:line="240" w:lineRule="auto"/>
        <w:jc w:val="center"/>
        <w:rPr>
          <w:rFonts w:ascii="Arial" w:hAnsi="Arial" w:cs="Arial"/>
          <w:b/>
          <w:color w:val="2F5496"/>
        </w:rPr>
      </w:pPr>
    </w:p>
    <w:p w14:paraId="1614C2F3" w14:textId="5921D77F" w:rsidR="006064DE" w:rsidRDefault="006064DE" w:rsidP="00D3486F">
      <w:pPr>
        <w:spacing w:after="0" w:line="240" w:lineRule="auto"/>
        <w:jc w:val="center"/>
        <w:rPr>
          <w:rFonts w:ascii="Arial" w:hAnsi="Arial" w:cs="Arial"/>
          <w:b/>
          <w:color w:val="2F5496"/>
        </w:rPr>
      </w:pPr>
      <w:r w:rsidRPr="00D3486F">
        <w:rPr>
          <w:rFonts w:ascii="Arial" w:hAnsi="Arial" w:cs="Arial"/>
          <w:b/>
          <w:color w:val="2F5496"/>
        </w:rPr>
        <w:t>ARTÍCULO I</w:t>
      </w:r>
      <w:r w:rsidR="00813B82">
        <w:rPr>
          <w:rFonts w:ascii="Arial" w:hAnsi="Arial" w:cs="Arial"/>
          <w:b/>
          <w:color w:val="2F5496"/>
        </w:rPr>
        <w:t>I</w:t>
      </w:r>
      <w:r w:rsidR="00650770" w:rsidRPr="00D3486F">
        <w:rPr>
          <w:rFonts w:ascii="Arial" w:hAnsi="Arial" w:cs="Arial"/>
          <w:b/>
          <w:color w:val="2F5496"/>
        </w:rPr>
        <w:t>I</w:t>
      </w:r>
    </w:p>
    <w:p w14:paraId="0F4B6844" w14:textId="77777777" w:rsidR="00D3486F" w:rsidRPr="00D3486F" w:rsidRDefault="00D3486F" w:rsidP="00D3486F">
      <w:pPr>
        <w:spacing w:after="0" w:line="240" w:lineRule="auto"/>
        <w:jc w:val="center"/>
        <w:rPr>
          <w:rFonts w:ascii="Arial" w:hAnsi="Arial" w:cs="Arial"/>
          <w:b/>
          <w:color w:val="2F5496"/>
        </w:rPr>
      </w:pPr>
    </w:p>
    <w:p w14:paraId="67400503" w14:textId="7F0F5432" w:rsidR="00584012" w:rsidRDefault="008562D1" w:rsidP="00BC382C">
      <w:pPr>
        <w:spacing w:after="0" w:line="240" w:lineRule="auto"/>
        <w:jc w:val="both"/>
        <w:rPr>
          <w:rFonts w:ascii="Arial" w:eastAsia="Times New Roman" w:hAnsi="Arial" w:cs="Arial"/>
          <w:lang w:eastAsia="es-ES"/>
        </w:rPr>
      </w:pPr>
      <w:r>
        <w:rPr>
          <w:rFonts w:ascii="Arial" w:eastAsia="Times New Roman" w:hAnsi="Arial" w:cs="Arial"/>
          <w:lang w:eastAsia="es-ES"/>
        </w:rPr>
        <w:t xml:space="preserve">Se conoce la </w:t>
      </w:r>
      <w:r w:rsidR="00813B82">
        <w:rPr>
          <w:rFonts w:ascii="Arial" w:eastAsia="Times New Roman" w:hAnsi="Arial" w:cs="Arial"/>
          <w:lang w:eastAsia="es-ES"/>
        </w:rPr>
        <w:t>propuesta</w:t>
      </w:r>
      <w:r w:rsidR="0069776A">
        <w:rPr>
          <w:rFonts w:ascii="Arial" w:eastAsia="Times New Roman" w:hAnsi="Arial" w:cs="Arial"/>
          <w:lang w:eastAsia="es-ES"/>
        </w:rPr>
        <w:t xml:space="preserve"> de Meta Estratégica para</w:t>
      </w:r>
      <w:r w:rsidR="00A21EC3">
        <w:rPr>
          <w:rFonts w:ascii="Arial" w:eastAsia="Times New Roman" w:hAnsi="Arial" w:cs="Arial"/>
          <w:lang w:eastAsia="es-ES"/>
        </w:rPr>
        <w:t xml:space="preserve"> vincular el Sistema de Gestión de Continuidad del Servicio con el Plan Estratégico Institucional (PEI),</w:t>
      </w:r>
      <w:r w:rsidR="00584012">
        <w:rPr>
          <w:rFonts w:ascii="Arial" w:eastAsia="Times New Roman" w:hAnsi="Arial" w:cs="Arial"/>
          <w:lang w:eastAsia="es-ES"/>
        </w:rPr>
        <w:t xml:space="preserve"> considerando que el</w:t>
      </w:r>
      <w:r w:rsidR="00584012" w:rsidRPr="00584012">
        <w:rPr>
          <w:rFonts w:ascii="Arial" w:eastAsia="Times New Roman" w:hAnsi="Arial" w:cs="Arial"/>
          <w:lang w:eastAsia="es-ES"/>
        </w:rPr>
        <w:t xml:space="preserve"> Consejo Superior en sesión número 48-2022, celebrada el 7 de junio del 2022, artículo LXXV, avaló la conformación del Proceso de Gestión de Continuidad del Servicio con un “</w:t>
      </w:r>
      <w:r w:rsidR="00584012" w:rsidRPr="00584012">
        <w:rPr>
          <w:rFonts w:ascii="Arial" w:eastAsia="Times New Roman" w:hAnsi="Arial" w:cs="Arial"/>
          <w:i/>
          <w:iCs/>
          <w:lang w:eastAsia="es-ES"/>
        </w:rPr>
        <w:t>un nuevo proceso institucional, de naturaleza crítica y estratégica dentro del Poder Judicial</w:t>
      </w:r>
      <w:r w:rsidR="00584012" w:rsidRPr="00584012">
        <w:rPr>
          <w:rFonts w:ascii="Arial" w:eastAsia="Times New Roman" w:hAnsi="Arial" w:cs="Arial"/>
          <w:lang w:eastAsia="es-ES"/>
        </w:rPr>
        <w:t>”</w:t>
      </w:r>
      <w:r w:rsidR="00584012">
        <w:rPr>
          <w:rFonts w:ascii="Arial" w:eastAsia="Times New Roman" w:hAnsi="Arial" w:cs="Arial"/>
          <w:lang w:eastAsia="es-ES"/>
        </w:rPr>
        <w:t xml:space="preserve">; </w:t>
      </w:r>
      <w:r w:rsidR="00A21EC3">
        <w:rPr>
          <w:rFonts w:ascii="Arial" w:eastAsia="Times New Roman" w:hAnsi="Arial" w:cs="Arial"/>
          <w:lang w:eastAsia="es-ES"/>
        </w:rPr>
        <w:t xml:space="preserve">por lo </w:t>
      </w:r>
      <w:r w:rsidR="00584012">
        <w:rPr>
          <w:rFonts w:ascii="Arial" w:eastAsia="Times New Roman" w:hAnsi="Arial" w:cs="Arial"/>
          <w:lang w:eastAsia="es-ES"/>
        </w:rPr>
        <w:t>anterior,</w:t>
      </w:r>
      <w:r w:rsidR="00A21EC3">
        <w:rPr>
          <w:rFonts w:ascii="Arial" w:eastAsia="Times New Roman" w:hAnsi="Arial" w:cs="Arial"/>
          <w:lang w:eastAsia="es-ES"/>
        </w:rPr>
        <w:t xml:space="preserve"> </w:t>
      </w:r>
      <w:r w:rsidR="002575A9">
        <w:rPr>
          <w:rFonts w:ascii="Arial" w:eastAsia="Times New Roman" w:hAnsi="Arial" w:cs="Arial"/>
          <w:lang w:eastAsia="es-ES"/>
        </w:rPr>
        <w:t>se</w:t>
      </w:r>
      <w:r w:rsidR="00A21EC3">
        <w:rPr>
          <w:rFonts w:ascii="Arial" w:eastAsia="Times New Roman" w:hAnsi="Arial" w:cs="Arial"/>
          <w:lang w:eastAsia="es-ES"/>
        </w:rPr>
        <w:t xml:space="preserve"> </w:t>
      </w:r>
      <w:r w:rsidR="00584012">
        <w:rPr>
          <w:rFonts w:ascii="Arial" w:eastAsia="Times New Roman" w:hAnsi="Arial" w:cs="Arial"/>
          <w:lang w:eastAsia="es-ES"/>
        </w:rPr>
        <w:t>propone incluir en el Plan Estratégico Institucional una meta y su indicador como parte de las acciones a desarrollar en el año 2023 y 2024.</w:t>
      </w:r>
    </w:p>
    <w:p w14:paraId="79199B6E" w14:textId="77777777" w:rsidR="00584012" w:rsidRDefault="00584012" w:rsidP="00BC382C">
      <w:pPr>
        <w:spacing w:after="0" w:line="240" w:lineRule="auto"/>
        <w:jc w:val="both"/>
        <w:rPr>
          <w:rFonts w:ascii="Arial" w:eastAsia="Times New Roman" w:hAnsi="Arial" w:cs="Arial"/>
          <w:lang w:eastAsia="es-ES"/>
        </w:rPr>
      </w:pPr>
    </w:p>
    <w:p w14:paraId="658D40F6" w14:textId="7A964322" w:rsidR="00AB49B1" w:rsidRDefault="00584012" w:rsidP="00BC382C">
      <w:pPr>
        <w:spacing w:after="0" w:line="240" w:lineRule="auto"/>
        <w:jc w:val="both"/>
        <w:rPr>
          <w:rFonts w:ascii="Arial" w:eastAsia="Times New Roman" w:hAnsi="Arial" w:cs="Arial"/>
          <w:lang w:eastAsia="es-ES"/>
        </w:rPr>
      </w:pPr>
      <w:r>
        <w:rPr>
          <w:rFonts w:ascii="Arial" w:eastAsia="Times New Roman" w:hAnsi="Arial" w:cs="Arial"/>
          <w:lang w:eastAsia="es-ES"/>
        </w:rPr>
        <w:t>Esta meta estratégica se vinculará</w:t>
      </w:r>
      <w:r w:rsidR="00A21EC3">
        <w:rPr>
          <w:rFonts w:ascii="Arial" w:eastAsia="Times New Roman" w:hAnsi="Arial" w:cs="Arial"/>
          <w:lang w:eastAsia="es-ES"/>
        </w:rPr>
        <w:t xml:space="preserve"> </w:t>
      </w:r>
      <w:r>
        <w:rPr>
          <w:rFonts w:ascii="Arial" w:eastAsia="Times New Roman" w:hAnsi="Arial" w:cs="Arial"/>
          <w:lang w:eastAsia="es-ES"/>
        </w:rPr>
        <w:t xml:space="preserve">al tema estratégico </w:t>
      </w:r>
      <w:r w:rsidRPr="00704103">
        <w:rPr>
          <w:rFonts w:ascii="Arial" w:eastAsia="Times New Roman" w:hAnsi="Arial" w:cs="Arial"/>
          <w:i/>
          <w:iCs/>
          <w:lang w:eastAsia="es-ES"/>
        </w:rPr>
        <w:t>“Optimización e innovación de los servicios judiciales”</w:t>
      </w:r>
      <w:r w:rsidR="000F12AB">
        <w:rPr>
          <w:rFonts w:ascii="Arial" w:eastAsia="Times New Roman" w:hAnsi="Arial" w:cs="Arial"/>
          <w:i/>
          <w:iCs/>
          <w:lang w:eastAsia="es-ES"/>
        </w:rPr>
        <w:t>,</w:t>
      </w:r>
      <w:r>
        <w:rPr>
          <w:rFonts w:ascii="Arial" w:eastAsia="Times New Roman" w:hAnsi="Arial" w:cs="Arial"/>
          <w:lang w:eastAsia="es-ES"/>
        </w:rPr>
        <w:t xml:space="preserve"> </w:t>
      </w:r>
      <w:r w:rsidR="000F12AB">
        <w:rPr>
          <w:rFonts w:ascii="Arial" w:eastAsia="Times New Roman" w:hAnsi="Arial" w:cs="Arial"/>
          <w:lang w:eastAsia="es-ES"/>
        </w:rPr>
        <w:t>que tiene</w:t>
      </w:r>
      <w:r w:rsidR="00A21EC3">
        <w:rPr>
          <w:rFonts w:ascii="Arial" w:eastAsia="Times New Roman" w:hAnsi="Arial" w:cs="Arial"/>
          <w:lang w:eastAsia="es-ES"/>
        </w:rPr>
        <w:t xml:space="preserve"> </w:t>
      </w:r>
      <w:r>
        <w:rPr>
          <w:rFonts w:ascii="Arial" w:eastAsia="Times New Roman" w:hAnsi="Arial" w:cs="Arial"/>
          <w:lang w:eastAsia="es-ES"/>
        </w:rPr>
        <w:t>como responsable estratégico al</w:t>
      </w:r>
      <w:r w:rsidR="00A21EC3">
        <w:rPr>
          <w:rFonts w:ascii="Arial" w:eastAsia="Times New Roman" w:hAnsi="Arial" w:cs="Arial"/>
          <w:lang w:eastAsia="es-ES"/>
        </w:rPr>
        <w:t xml:space="preserve"> Consejo Superior</w:t>
      </w:r>
      <w:r>
        <w:rPr>
          <w:rFonts w:ascii="Arial" w:eastAsia="Times New Roman" w:hAnsi="Arial" w:cs="Arial"/>
          <w:lang w:eastAsia="es-ES"/>
        </w:rPr>
        <w:t>. Por lo anterior,</w:t>
      </w:r>
      <w:r w:rsidR="00A21EC3">
        <w:rPr>
          <w:rFonts w:ascii="Arial" w:eastAsia="Times New Roman" w:hAnsi="Arial" w:cs="Arial"/>
          <w:lang w:eastAsia="es-ES"/>
        </w:rPr>
        <w:t xml:space="preserve"> en caso de aprobarse la propuesta</w:t>
      </w:r>
      <w:r>
        <w:rPr>
          <w:rFonts w:ascii="Arial" w:eastAsia="Times New Roman" w:hAnsi="Arial" w:cs="Arial"/>
          <w:lang w:eastAsia="es-ES"/>
        </w:rPr>
        <w:t xml:space="preserve"> presentada,</w:t>
      </w:r>
      <w:r w:rsidR="00A21EC3">
        <w:rPr>
          <w:rFonts w:ascii="Arial" w:eastAsia="Times New Roman" w:hAnsi="Arial" w:cs="Arial"/>
          <w:lang w:eastAsia="es-ES"/>
        </w:rPr>
        <w:t xml:space="preserve"> se deberá remitir para aprobación al Consejo Superior</w:t>
      </w:r>
      <w:r>
        <w:rPr>
          <w:rFonts w:ascii="Arial" w:eastAsia="Times New Roman" w:hAnsi="Arial" w:cs="Arial"/>
          <w:lang w:eastAsia="es-ES"/>
        </w:rPr>
        <w:t xml:space="preserve"> esta </w:t>
      </w:r>
      <w:r w:rsidR="001C5531">
        <w:rPr>
          <w:rFonts w:ascii="Arial" w:eastAsia="Times New Roman" w:hAnsi="Arial" w:cs="Arial"/>
          <w:lang w:eastAsia="es-ES"/>
        </w:rPr>
        <w:t>incorporación</w:t>
      </w:r>
      <w:r w:rsidR="00A21EC3">
        <w:rPr>
          <w:rFonts w:ascii="Arial" w:eastAsia="Times New Roman" w:hAnsi="Arial" w:cs="Arial"/>
          <w:lang w:eastAsia="es-ES"/>
        </w:rPr>
        <w:t xml:space="preserve">; </w:t>
      </w:r>
      <w:r w:rsidR="00704103">
        <w:rPr>
          <w:rFonts w:ascii="Arial" w:eastAsia="Times New Roman" w:hAnsi="Arial" w:cs="Arial"/>
          <w:lang w:eastAsia="es-ES"/>
        </w:rPr>
        <w:t xml:space="preserve">y </w:t>
      </w:r>
      <w:r w:rsidR="00A21EC3">
        <w:rPr>
          <w:rFonts w:ascii="Arial" w:eastAsia="Times New Roman" w:hAnsi="Arial" w:cs="Arial"/>
          <w:lang w:eastAsia="es-ES"/>
        </w:rPr>
        <w:t>una vez se cuent</w:t>
      </w:r>
      <w:r>
        <w:rPr>
          <w:rFonts w:ascii="Arial" w:eastAsia="Times New Roman" w:hAnsi="Arial" w:cs="Arial"/>
          <w:lang w:eastAsia="es-ES"/>
        </w:rPr>
        <w:t>e</w:t>
      </w:r>
      <w:r w:rsidR="00A21EC3">
        <w:rPr>
          <w:rFonts w:ascii="Arial" w:eastAsia="Times New Roman" w:hAnsi="Arial" w:cs="Arial"/>
          <w:lang w:eastAsia="es-ES"/>
        </w:rPr>
        <w:t xml:space="preserve"> con </w:t>
      </w:r>
      <w:r w:rsidR="00F75D89">
        <w:rPr>
          <w:rFonts w:ascii="Arial" w:eastAsia="Times New Roman" w:hAnsi="Arial" w:cs="Arial"/>
          <w:lang w:eastAsia="es-ES"/>
        </w:rPr>
        <w:t>el aval de</w:t>
      </w:r>
      <w:r w:rsidR="00704103">
        <w:rPr>
          <w:rFonts w:ascii="Arial" w:eastAsia="Times New Roman" w:hAnsi="Arial" w:cs="Arial"/>
          <w:lang w:eastAsia="es-ES"/>
        </w:rPr>
        <w:t>l Consejo</w:t>
      </w:r>
      <w:r w:rsidR="00F75D89">
        <w:rPr>
          <w:rFonts w:ascii="Arial" w:eastAsia="Times New Roman" w:hAnsi="Arial" w:cs="Arial"/>
          <w:lang w:eastAsia="es-ES"/>
        </w:rPr>
        <w:t>,</w:t>
      </w:r>
      <w:r w:rsidR="00A21EC3">
        <w:rPr>
          <w:rFonts w:ascii="Arial" w:eastAsia="Times New Roman" w:hAnsi="Arial" w:cs="Arial"/>
          <w:lang w:eastAsia="es-ES"/>
        </w:rPr>
        <w:t xml:space="preserve"> será traslada al Comit</w:t>
      </w:r>
      <w:r w:rsidR="00510E8C">
        <w:rPr>
          <w:rFonts w:ascii="Arial" w:eastAsia="Times New Roman" w:hAnsi="Arial" w:cs="Arial"/>
          <w:lang w:eastAsia="es-ES"/>
        </w:rPr>
        <w:t xml:space="preserve">é </w:t>
      </w:r>
      <w:r>
        <w:rPr>
          <w:rFonts w:ascii="Arial" w:eastAsia="Times New Roman" w:hAnsi="Arial" w:cs="Arial"/>
          <w:lang w:eastAsia="es-ES"/>
        </w:rPr>
        <w:t>de Planeación Estratégica</w:t>
      </w:r>
      <w:r w:rsidR="00704103">
        <w:rPr>
          <w:rFonts w:ascii="Arial" w:eastAsia="Times New Roman" w:hAnsi="Arial" w:cs="Arial"/>
          <w:lang w:eastAsia="es-ES"/>
        </w:rPr>
        <w:t xml:space="preserve"> para el trámite de incorporación en el PEI</w:t>
      </w:r>
      <w:r>
        <w:rPr>
          <w:rFonts w:ascii="Arial" w:eastAsia="Times New Roman" w:hAnsi="Arial" w:cs="Arial"/>
          <w:lang w:eastAsia="es-ES"/>
        </w:rPr>
        <w:t>.</w:t>
      </w:r>
    </w:p>
    <w:p w14:paraId="719A6A15" w14:textId="77777777" w:rsidR="000F12AB" w:rsidRDefault="000F12AB" w:rsidP="00BC382C">
      <w:pPr>
        <w:spacing w:after="0" w:line="240" w:lineRule="auto"/>
        <w:jc w:val="both"/>
        <w:rPr>
          <w:rFonts w:ascii="Arial" w:eastAsia="Times New Roman" w:hAnsi="Arial" w:cs="Arial"/>
          <w:lang w:eastAsia="es-ES"/>
        </w:rPr>
      </w:pPr>
    </w:p>
    <w:tbl>
      <w:tblPr>
        <w:tblStyle w:val="Tablaconcuadrcula"/>
        <w:tblW w:w="8642" w:type="dxa"/>
        <w:jc w:val="center"/>
        <w:tblLook w:val="04A0" w:firstRow="1" w:lastRow="0" w:firstColumn="1" w:lastColumn="0" w:noHBand="0" w:noVBand="1"/>
      </w:tblPr>
      <w:tblGrid>
        <w:gridCol w:w="2547"/>
        <w:gridCol w:w="6095"/>
      </w:tblGrid>
      <w:tr w:rsidR="000F12AB" w:rsidRPr="006D572E" w14:paraId="4E2D5DF1" w14:textId="77777777" w:rsidTr="00605785">
        <w:trPr>
          <w:trHeight w:val="424"/>
          <w:tblHeader/>
          <w:jc w:val="center"/>
        </w:trPr>
        <w:tc>
          <w:tcPr>
            <w:tcW w:w="2547" w:type="dxa"/>
            <w:vAlign w:val="center"/>
          </w:tcPr>
          <w:p w14:paraId="1F61655D" w14:textId="77777777" w:rsidR="000F12AB" w:rsidRPr="006D572E" w:rsidRDefault="000F12AB" w:rsidP="00605785">
            <w:pPr>
              <w:pStyle w:val="Default"/>
              <w:jc w:val="center"/>
              <w:rPr>
                <w:color w:val="FF0000"/>
                <w:sz w:val="22"/>
                <w:szCs w:val="22"/>
              </w:rPr>
            </w:pPr>
            <w:r w:rsidRPr="006D572E">
              <w:rPr>
                <w:b/>
                <w:bCs/>
                <w:sz w:val="22"/>
                <w:szCs w:val="22"/>
                <w:lang w:eastAsia="es-CR"/>
              </w:rPr>
              <w:t>Aspecto del PEI</w:t>
            </w:r>
          </w:p>
        </w:tc>
        <w:tc>
          <w:tcPr>
            <w:tcW w:w="6095" w:type="dxa"/>
            <w:vAlign w:val="center"/>
          </w:tcPr>
          <w:p w14:paraId="767A5575" w14:textId="77777777" w:rsidR="000F12AB" w:rsidRPr="006D572E" w:rsidRDefault="000F12AB" w:rsidP="00605785">
            <w:pPr>
              <w:pStyle w:val="Default"/>
              <w:jc w:val="center"/>
              <w:rPr>
                <w:color w:val="FF0000"/>
                <w:sz w:val="22"/>
                <w:szCs w:val="22"/>
              </w:rPr>
            </w:pPr>
            <w:r w:rsidRPr="006D572E">
              <w:rPr>
                <w:b/>
                <w:bCs/>
                <w:sz w:val="22"/>
                <w:szCs w:val="22"/>
                <w:lang w:eastAsia="es-CR"/>
              </w:rPr>
              <w:t>Detalle</w:t>
            </w:r>
          </w:p>
        </w:tc>
      </w:tr>
      <w:tr w:rsidR="000F12AB" w:rsidRPr="006D572E" w14:paraId="4A945815" w14:textId="77777777" w:rsidTr="00605785">
        <w:trPr>
          <w:jc w:val="center"/>
        </w:trPr>
        <w:tc>
          <w:tcPr>
            <w:tcW w:w="2547" w:type="dxa"/>
            <w:vAlign w:val="center"/>
          </w:tcPr>
          <w:p w14:paraId="3D79CAE1" w14:textId="77777777" w:rsidR="000F12AB" w:rsidRPr="006D572E" w:rsidRDefault="000F12AB" w:rsidP="00605785">
            <w:pPr>
              <w:pStyle w:val="Default"/>
              <w:jc w:val="both"/>
              <w:rPr>
                <w:color w:val="FF0000"/>
                <w:sz w:val="22"/>
                <w:szCs w:val="22"/>
              </w:rPr>
            </w:pPr>
            <w:r w:rsidRPr="006D572E">
              <w:rPr>
                <w:b/>
                <w:bCs/>
                <w:sz w:val="22"/>
                <w:szCs w:val="22"/>
                <w:lang w:eastAsia="es-CR"/>
              </w:rPr>
              <w:t>Tema estratégico</w:t>
            </w:r>
          </w:p>
        </w:tc>
        <w:tc>
          <w:tcPr>
            <w:tcW w:w="6095" w:type="dxa"/>
            <w:vAlign w:val="center"/>
          </w:tcPr>
          <w:p w14:paraId="0468FBE6" w14:textId="77777777" w:rsidR="000F12AB" w:rsidRPr="006D572E" w:rsidRDefault="000F12AB" w:rsidP="00605785">
            <w:pPr>
              <w:pStyle w:val="Default"/>
              <w:jc w:val="both"/>
              <w:rPr>
                <w:color w:val="FF0000"/>
                <w:sz w:val="22"/>
                <w:szCs w:val="22"/>
              </w:rPr>
            </w:pPr>
            <w:r w:rsidRPr="006D572E">
              <w:rPr>
                <w:sz w:val="22"/>
                <w:szCs w:val="22"/>
                <w:lang w:eastAsia="es-CR"/>
              </w:rPr>
              <w:t>Optimización e innovación de los servicios judiciales.</w:t>
            </w:r>
          </w:p>
        </w:tc>
      </w:tr>
      <w:tr w:rsidR="000F12AB" w:rsidRPr="006D572E" w14:paraId="7041187B" w14:textId="77777777" w:rsidTr="00605785">
        <w:trPr>
          <w:jc w:val="center"/>
        </w:trPr>
        <w:tc>
          <w:tcPr>
            <w:tcW w:w="2547" w:type="dxa"/>
            <w:vAlign w:val="center"/>
          </w:tcPr>
          <w:p w14:paraId="3803F9F1" w14:textId="77777777" w:rsidR="000F12AB" w:rsidRPr="006D572E" w:rsidRDefault="000F12AB" w:rsidP="00605785">
            <w:pPr>
              <w:pStyle w:val="Default"/>
              <w:jc w:val="both"/>
              <w:rPr>
                <w:color w:val="FF0000"/>
                <w:sz w:val="22"/>
                <w:szCs w:val="22"/>
              </w:rPr>
            </w:pPr>
            <w:r w:rsidRPr="006D572E">
              <w:rPr>
                <w:b/>
                <w:bCs/>
                <w:sz w:val="22"/>
                <w:szCs w:val="22"/>
                <w:lang w:eastAsia="es-CR"/>
              </w:rPr>
              <w:t>Objetivo estratégico</w:t>
            </w:r>
          </w:p>
        </w:tc>
        <w:tc>
          <w:tcPr>
            <w:tcW w:w="6095" w:type="dxa"/>
            <w:vAlign w:val="center"/>
          </w:tcPr>
          <w:p w14:paraId="0B986400" w14:textId="77777777" w:rsidR="000F12AB" w:rsidRPr="006D572E" w:rsidRDefault="000F12AB" w:rsidP="00605785">
            <w:pPr>
              <w:pStyle w:val="Default"/>
              <w:jc w:val="both"/>
              <w:rPr>
                <w:color w:val="FF0000"/>
                <w:sz w:val="22"/>
                <w:szCs w:val="22"/>
              </w:rPr>
            </w:pPr>
            <w:r w:rsidRPr="006D572E">
              <w:rPr>
                <w:sz w:val="22"/>
                <w:szCs w:val="22"/>
                <w:lang w:eastAsia="es-CR"/>
              </w:rPr>
              <w:t>OB.1 - Optimizar los recursos institucionales e impulsar la innovación de los procesos judiciales, para agilizar los servicios de justicia.</w:t>
            </w:r>
          </w:p>
        </w:tc>
      </w:tr>
      <w:tr w:rsidR="000F12AB" w:rsidRPr="006D572E" w14:paraId="2385AEE2" w14:textId="77777777" w:rsidTr="00605785">
        <w:trPr>
          <w:jc w:val="center"/>
        </w:trPr>
        <w:tc>
          <w:tcPr>
            <w:tcW w:w="2547" w:type="dxa"/>
            <w:vAlign w:val="center"/>
          </w:tcPr>
          <w:p w14:paraId="0C5527A3" w14:textId="77777777" w:rsidR="000F12AB" w:rsidRPr="006D572E" w:rsidRDefault="000F12AB" w:rsidP="00605785">
            <w:pPr>
              <w:pStyle w:val="Default"/>
              <w:jc w:val="both"/>
              <w:rPr>
                <w:color w:val="FF0000"/>
                <w:sz w:val="22"/>
                <w:szCs w:val="22"/>
              </w:rPr>
            </w:pPr>
            <w:r w:rsidRPr="006D572E">
              <w:rPr>
                <w:b/>
                <w:bCs/>
                <w:sz w:val="22"/>
                <w:szCs w:val="22"/>
                <w:lang w:eastAsia="es-CR"/>
              </w:rPr>
              <w:t>Acción estratégica</w:t>
            </w:r>
          </w:p>
        </w:tc>
        <w:tc>
          <w:tcPr>
            <w:tcW w:w="6095" w:type="dxa"/>
            <w:vAlign w:val="center"/>
          </w:tcPr>
          <w:p w14:paraId="39DE62EB" w14:textId="77777777" w:rsidR="000F12AB" w:rsidRPr="006D572E" w:rsidRDefault="000F12AB" w:rsidP="00605785">
            <w:pPr>
              <w:pStyle w:val="Default"/>
              <w:jc w:val="both"/>
              <w:rPr>
                <w:color w:val="FF0000"/>
                <w:sz w:val="22"/>
                <w:szCs w:val="22"/>
              </w:rPr>
            </w:pPr>
            <w:r w:rsidRPr="006D572E">
              <w:rPr>
                <w:sz w:val="22"/>
                <w:szCs w:val="22"/>
                <w:lang w:eastAsia="es-CR"/>
              </w:rPr>
              <w:t xml:space="preserve">OE.1.5 - Desarrollo y Optimización de Servicios y Procesos Judiciales: Implementar procesos estandarizados para la gestión judicial, técnica y administrativa, que agilicen y faciliten el trámite de los asuntos con el fin de mejorar el servicio de justicia brindado. </w:t>
            </w:r>
          </w:p>
        </w:tc>
      </w:tr>
      <w:tr w:rsidR="000F12AB" w:rsidRPr="006D572E" w14:paraId="3CA91D97" w14:textId="77777777" w:rsidTr="00605785">
        <w:trPr>
          <w:jc w:val="center"/>
        </w:trPr>
        <w:tc>
          <w:tcPr>
            <w:tcW w:w="2547" w:type="dxa"/>
            <w:vAlign w:val="center"/>
          </w:tcPr>
          <w:p w14:paraId="5A92E1F3" w14:textId="77777777" w:rsidR="000F12AB" w:rsidRPr="006D572E" w:rsidRDefault="000F12AB" w:rsidP="00605785">
            <w:pPr>
              <w:pStyle w:val="Default"/>
              <w:jc w:val="both"/>
              <w:rPr>
                <w:color w:val="FF0000"/>
                <w:sz w:val="22"/>
                <w:szCs w:val="22"/>
              </w:rPr>
            </w:pPr>
            <w:r w:rsidRPr="006D572E">
              <w:rPr>
                <w:b/>
                <w:bCs/>
                <w:sz w:val="22"/>
                <w:szCs w:val="22"/>
                <w:lang w:eastAsia="es-CR"/>
              </w:rPr>
              <w:t>Indicador estratégico</w:t>
            </w:r>
          </w:p>
        </w:tc>
        <w:tc>
          <w:tcPr>
            <w:tcW w:w="6095" w:type="dxa"/>
            <w:vAlign w:val="center"/>
          </w:tcPr>
          <w:p w14:paraId="4FF31CEA" w14:textId="77777777" w:rsidR="000F12AB" w:rsidRPr="006D572E" w:rsidRDefault="000F12AB" w:rsidP="00605785">
            <w:pPr>
              <w:pStyle w:val="Default"/>
              <w:jc w:val="both"/>
              <w:rPr>
                <w:color w:val="FF0000"/>
                <w:sz w:val="22"/>
                <w:szCs w:val="22"/>
              </w:rPr>
            </w:pPr>
            <w:r w:rsidRPr="006D572E">
              <w:rPr>
                <w:sz w:val="22"/>
                <w:szCs w:val="22"/>
                <w:lang w:eastAsia="es-CR"/>
              </w:rPr>
              <w:t>% de avance en la implementación de las acciones para asegurar la continuidad del servicio en el Poder Judicial.</w:t>
            </w:r>
          </w:p>
        </w:tc>
      </w:tr>
      <w:tr w:rsidR="000F12AB" w:rsidRPr="006D572E" w14:paraId="49036816" w14:textId="77777777" w:rsidTr="00605785">
        <w:trPr>
          <w:jc w:val="center"/>
        </w:trPr>
        <w:tc>
          <w:tcPr>
            <w:tcW w:w="2547" w:type="dxa"/>
            <w:vAlign w:val="center"/>
          </w:tcPr>
          <w:p w14:paraId="3EE108DD" w14:textId="77777777" w:rsidR="000F12AB" w:rsidRPr="000F12AB" w:rsidRDefault="000F12AB" w:rsidP="00605785">
            <w:pPr>
              <w:pStyle w:val="Default"/>
              <w:jc w:val="both"/>
              <w:rPr>
                <w:color w:val="auto"/>
                <w:sz w:val="22"/>
                <w:szCs w:val="22"/>
              </w:rPr>
            </w:pPr>
            <w:r w:rsidRPr="000F12AB">
              <w:rPr>
                <w:b/>
                <w:bCs/>
                <w:color w:val="auto"/>
                <w:sz w:val="22"/>
                <w:szCs w:val="22"/>
                <w:lang w:eastAsia="es-CR"/>
              </w:rPr>
              <w:t>Meta estratégica 2023</w:t>
            </w:r>
          </w:p>
        </w:tc>
        <w:tc>
          <w:tcPr>
            <w:tcW w:w="6095" w:type="dxa"/>
            <w:vAlign w:val="center"/>
          </w:tcPr>
          <w:p w14:paraId="5A1DEC69" w14:textId="77777777" w:rsidR="000F12AB" w:rsidRPr="006D572E" w:rsidRDefault="000F12AB" w:rsidP="00605785">
            <w:pPr>
              <w:pStyle w:val="Default"/>
              <w:jc w:val="both"/>
              <w:rPr>
                <w:color w:val="FF0000"/>
                <w:sz w:val="22"/>
                <w:szCs w:val="22"/>
              </w:rPr>
            </w:pPr>
            <w:r w:rsidRPr="006D572E">
              <w:rPr>
                <w:sz w:val="22"/>
                <w:szCs w:val="22"/>
                <w:lang w:eastAsia="es-CR"/>
              </w:rPr>
              <w:t>Que al finalizar el 2023, se haya implementado el 60% de las acciones definidas para asegurar la continuidad del servicio en el Poder Judicial, ante eventos que ponen en riesgo el funcionamiento y servicio de la institución.</w:t>
            </w:r>
          </w:p>
        </w:tc>
      </w:tr>
      <w:tr w:rsidR="000F12AB" w:rsidRPr="006D572E" w14:paraId="0AEF2157" w14:textId="77777777" w:rsidTr="00605785">
        <w:trPr>
          <w:jc w:val="center"/>
        </w:trPr>
        <w:tc>
          <w:tcPr>
            <w:tcW w:w="2547" w:type="dxa"/>
            <w:vAlign w:val="center"/>
          </w:tcPr>
          <w:p w14:paraId="22BCFC12" w14:textId="77777777" w:rsidR="000F12AB" w:rsidRPr="000F12AB" w:rsidRDefault="000F12AB" w:rsidP="00605785">
            <w:pPr>
              <w:pStyle w:val="Default"/>
              <w:jc w:val="both"/>
              <w:rPr>
                <w:color w:val="auto"/>
                <w:sz w:val="22"/>
                <w:szCs w:val="22"/>
              </w:rPr>
            </w:pPr>
            <w:r w:rsidRPr="000F12AB">
              <w:rPr>
                <w:b/>
                <w:bCs/>
                <w:color w:val="auto"/>
                <w:sz w:val="22"/>
                <w:szCs w:val="22"/>
                <w:lang w:eastAsia="es-CR"/>
              </w:rPr>
              <w:t>Meta estratégica 2024</w:t>
            </w:r>
          </w:p>
        </w:tc>
        <w:tc>
          <w:tcPr>
            <w:tcW w:w="6095" w:type="dxa"/>
            <w:vAlign w:val="center"/>
          </w:tcPr>
          <w:p w14:paraId="471EFD7B" w14:textId="77777777" w:rsidR="000F12AB" w:rsidRPr="006D572E" w:rsidRDefault="000F12AB" w:rsidP="00605785">
            <w:pPr>
              <w:pStyle w:val="Default"/>
              <w:jc w:val="both"/>
              <w:rPr>
                <w:color w:val="FF0000"/>
                <w:sz w:val="22"/>
                <w:szCs w:val="22"/>
              </w:rPr>
            </w:pPr>
            <w:r w:rsidRPr="006D572E">
              <w:rPr>
                <w:sz w:val="22"/>
                <w:szCs w:val="22"/>
                <w:lang w:eastAsia="es-CR"/>
              </w:rPr>
              <w:t>Que al finalizar el 2024, se haya implementado el 40% restante de las acciones definidas para asegurar la continuidad del servicio en el Poder Judicial, ante eventos que ponen en riesgo el funcionamiento y servicio de la institución.</w:t>
            </w:r>
          </w:p>
        </w:tc>
      </w:tr>
      <w:tr w:rsidR="000F12AB" w:rsidRPr="006D572E" w14:paraId="3C98376C" w14:textId="77777777" w:rsidTr="00605785">
        <w:trPr>
          <w:jc w:val="center"/>
        </w:trPr>
        <w:tc>
          <w:tcPr>
            <w:tcW w:w="2547" w:type="dxa"/>
            <w:vAlign w:val="center"/>
          </w:tcPr>
          <w:p w14:paraId="12DECF4A" w14:textId="77777777" w:rsidR="000F12AB" w:rsidRPr="006D572E" w:rsidRDefault="000F12AB" w:rsidP="00605785">
            <w:pPr>
              <w:pStyle w:val="Default"/>
              <w:jc w:val="both"/>
              <w:rPr>
                <w:color w:val="FF0000"/>
                <w:sz w:val="22"/>
                <w:szCs w:val="22"/>
              </w:rPr>
            </w:pPr>
            <w:r w:rsidRPr="006D572E">
              <w:rPr>
                <w:b/>
                <w:bCs/>
                <w:sz w:val="22"/>
                <w:szCs w:val="22"/>
                <w:lang w:eastAsia="es-CR"/>
              </w:rPr>
              <w:t>Responsable estratégico</w:t>
            </w:r>
          </w:p>
        </w:tc>
        <w:tc>
          <w:tcPr>
            <w:tcW w:w="6095" w:type="dxa"/>
            <w:vAlign w:val="center"/>
          </w:tcPr>
          <w:p w14:paraId="08C304B5" w14:textId="77777777" w:rsidR="000F12AB" w:rsidRPr="006D572E" w:rsidRDefault="000F12AB" w:rsidP="00605785">
            <w:pPr>
              <w:pStyle w:val="Default"/>
              <w:jc w:val="both"/>
              <w:rPr>
                <w:color w:val="FF0000"/>
                <w:sz w:val="22"/>
                <w:szCs w:val="22"/>
              </w:rPr>
            </w:pPr>
            <w:r w:rsidRPr="006D572E">
              <w:rPr>
                <w:sz w:val="22"/>
                <w:szCs w:val="22"/>
                <w:lang w:eastAsia="es-CR"/>
              </w:rPr>
              <w:t>Consejo Superior</w:t>
            </w:r>
            <w:r>
              <w:rPr>
                <w:sz w:val="22"/>
                <w:szCs w:val="22"/>
                <w:lang w:eastAsia="es-CR"/>
              </w:rPr>
              <w:t>.</w:t>
            </w:r>
          </w:p>
        </w:tc>
      </w:tr>
      <w:tr w:rsidR="000F12AB" w:rsidRPr="006D572E" w14:paraId="3E879CF8" w14:textId="77777777" w:rsidTr="00605785">
        <w:trPr>
          <w:jc w:val="center"/>
        </w:trPr>
        <w:tc>
          <w:tcPr>
            <w:tcW w:w="2547" w:type="dxa"/>
            <w:vAlign w:val="center"/>
          </w:tcPr>
          <w:p w14:paraId="3692EF65" w14:textId="77777777" w:rsidR="000F12AB" w:rsidRPr="006D572E" w:rsidRDefault="000F12AB" w:rsidP="00605785">
            <w:pPr>
              <w:pStyle w:val="Default"/>
              <w:jc w:val="both"/>
              <w:rPr>
                <w:color w:val="FF0000"/>
                <w:sz w:val="22"/>
                <w:szCs w:val="22"/>
              </w:rPr>
            </w:pPr>
            <w:r w:rsidRPr="006D572E">
              <w:rPr>
                <w:b/>
                <w:bCs/>
                <w:sz w:val="22"/>
                <w:szCs w:val="22"/>
                <w:lang w:eastAsia="es-CR"/>
              </w:rPr>
              <w:lastRenderedPageBreak/>
              <w:t>Objetivo operativo</w:t>
            </w:r>
          </w:p>
        </w:tc>
        <w:tc>
          <w:tcPr>
            <w:tcW w:w="6095" w:type="dxa"/>
            <w:vAlign w:val="center"/>
          </w:tcPr>
          <w:p w14:paraId="3DF6C245" w14:textId="77777777" w:rsidR="000F12AB" w:rsidRPr="006D572E" w:rsidRDefault="000F12AB" w:rsidP="00605785">
            <w:pPr>
              <w:pStyle w:val="Default"/>
              <w:jc w:val="both"/>
              <w:rPr>
                <w:color w:val="FF0000"/>
                <w:sz w:val="22"/>
                <w:szCs w:val="22"/>
              </w:rPr>
            </w:pPr>
            <w:r w:rsidRPr="006D572E">
              <w:rPr>
                <w:sz w:val="22"/>
                <w:szCs w:val="22"/>
                <w:lang w:eastAsia="es-CR"/>
              </w:rPr>
              <w:t>Implementar, mediante diferentes actividades, las acciones de continuidad del servicio en las oficinas y despachos judiciales para la atención de los procesos críticos y/o esenciales.</w:t>
            </w:r>
          </w:p>
        </w:tc>
      </w:tr>
      <w:tr w:rsidR="000F12AB" w:rsidRPr="006D572E" w14:paraId="641E8C7D" w14:textId="77777777" w:rsidTr="00605785">
        <w:trPr>
          <w:jc w:val="center"/>
        </w:trPr>
        <w:tc>
          <w:tcPr>
            <w:tcW w:w="2547" w:type="dxa"/>
            <w:vAlign w:val="center"/>
          </w:tcPr>
          <w:p w14:paraId="739DB001" w14:textId="77777777" w:rsidR="000F12AB" w:rsidRPr="006D572E" w:rsidRDefault="000F12AB" w:rsidP="00605785">
            <w:pPr>
              <w:pStyle w:val="Default"/>
              <w:jc w:val="both"/>
              <w:rPr>
                <w:color w:val="FF0000"/>
                <w:sz w:val="22"/>
                <w:szCs w:val="22"/>
              </w:rPr>
            </w:pPr>
            <w:r w:rsidRPr="006D572E">
              <w:rPr>
                <w:b/>
                <w:bCs/>
                <w:sz w:val="22"/>
                <w:szCs w:val="22"/>
                <w:lang w:eastAsia="es-CR"/>
              </w:rPr>
              <w:t>Responsable operativo</w:t>
            </w:r>
          </w:p>
        </w:tc>
        <w:tc>
          <w:tcPr>
            <w:tcW w:w="6095" w:type="dxa"/>
            <w:vAlign w:val="center"/>
          </w:tcPr>
          <w:p w14:paraId="0376155F" w14:textId="77777777" w:rsidR="000F12AB" w:rsidRPr="006D572E" w:rsidRDefault="000F12AB" w:rsidP="00605785">
            <w:pPr>
              <w:pStyle w:val="Default"/>
              <w:jc w:val="both"/>
              <w:rPr>
                <w:color w:val="FF0000"/>
                <w:sz w:val="22"/>
                <w:szCs w:val="22"/>
              </w:rPr>
            </w:pPr>
            <w:r w:rsidRPr="006D572E">
              <w:rPr>
                <w:sz w:val="22"/>
                <w:szCs w:val="22"/>
                <w:lang w:eastAsia="es-CR"/>
              </w:rPr>
              <w:t>Dirección Ejecutiva</w:t>
            </w:r>
            <w:r>
              <w:rPr>
                <w:sz w:val="22"/>
                <w:szCs w:val="22"/>
                <w:lang w:eastAsia="es-CR"/>
              </w:rPr>
              <w:t>.</w:t>
            </w:r>
          </w:p>
        </w:tc>
      </w:tr>
    </w:tbl>
    <w:p w14:paraId="77B930B7" w14:textId="463C2096" w:rsidR="00584012" w:rsidRDefault="00584012" w:rsidP="00584012">
      <w:pPr>
        <w:spacing w:after="0" w:line="240" w:lineRule="auto"/>
        <w:jc w:val="both"/>
        <w:rPr>
          <w:rFonts w:ascii="Arial" w:eastAsia="Times New Roman" w:hAnsi="Arial" w:cs="Arial"/>
          <w:lang w:eastAsia="es-ES"/>
        </w:rPr>
      </w:pPr>
    </w:p>
    <w:p w14:paraId="0BBAFBFA" w14:textId="77777777" w:rsidR="000F12AB" w:rsidRDefault="000F12AB" w:rsidP="00584012">
      <w:pPr>
        <w:spacing w:after="0" w:line="240" w:lineRule="auto"/>
        <w:jc w:val="both"/>
        <w:rPr>
          <w:rFonts w:ascii="Arial" w:eastAsia="Times New Roman" w:hAnsi="Arial" w:cs="Arial"/>
          <w:lang w:eastAsia="es-ES"/>
        </w:rPr>
      </w:pPr>
    </w:p>
    <w:p w14:paraId="78915216" w14:textId="3BEE1DC9" w:rsidR="006064DE" w:rsidRPr="00D3486F" w:rsidRDefault="006064DE" w:rsidP="00D3486F">
      <w:pPr>
        <w:spacing w:after="0" w:line="240" w:lineRule="auto"/>
        <w:jc w:val="both"/>
        <w:rPr>
          <w:rFonts w:ascii="Arial" w:eastAsia="Times New Roman" w:hAnsi="Arial" w:cs="Arial"/>
          <w:b/>
          <w:bCs/>
          <w:lang w:eastAsia="es-ES"/>
        </w:rPr>
      </w:pPr>
      <w:r w:rsidRPr="00A124E7">
        <w:rPr>
          <w:rFonts w:ascii="Arial" w:eastAsia="Times New Roman" w:hAnsi="Arial" w:cs="Arial"/>
          <w:b/>
          <w:bCs/>
          <w:lang w:eastAsia="es-ES"/>
        </w:rPr>
        <w:t>Se acuerda:</w:t>
      </w:r>
      <w:r w:rsidRPr="00A124E7">
        <w:rPr>
          <w:rFonts w:ascii="Arial" w:eastAsia="Times New Roman" w:hAnsi="Arial" w:cs="Arial"/>
          <w:lang w:eastAsia="es-ES"/>
        </w:rPr>
        <w:t xml:space="preserve"> </w:t>
      </w:r>
      <w:r w:rsidR="00DD20AF" w:rsidRPr="00A124E7">
        <w:rPr>
          <w:rFonts w:ascii="Arial" w:eastAsia="Times New Roman" w:hAnsi="Arial" w:cs="Arial"/>
          <w:b/>
          <w:bCs/>
          <w:lang w:eastAsia="es-ES"/>
        </w:rPr>
        <w:t>1)</w:t>
      </w:r>
      <w:r w:rsidR="00DD20AF" w:rsidRPr="00A124E7">
        <w:rPr>
          <w:rFonts w:ascii="Arial" w:eastAsia="Times New Roman" w:hAnsi="Arial" w:cs="Arial"/>
          <w:lang w:eastAsia="es-ES"/>
        </w:rPr>
        <w:t xml:space="preserve"> </w:t>
      </w:r>
      <w:r w:rsidR="00704103">
        <w:rPr>
          <w:rFonts w:ascii="Arial" w:eastAsia="Times New Roman" w:hAnsi="Arial" w:cs="Arial"/>
          <w:lang w:eastAsia="es-ES"/>
        </w:rPr>
        <w:t>Aprobar</w:t>
      </w:r>
      <w:r w:rsidR="009C6DD1" w:rsidRPr="00A124E7">
        <w:rPr>
          <w:rFonts w:ascii="Arial" w:eastAsia="Times New Roman" w:hAnsi="Arial" w:cs="Arial"/>
          <w:lang w:eastAsia="es-ES"/>
        </w:rPr>
        <w:t xml:space="preserve"> </w:t>
      </w:r>
      <w:r w:rsidR="0042139A" w:rsidRPr="00A124E7">
        <w:rPr>
          <w:rFonts w:ascii="Arial" w:eastAsia="Times New Roman" w:hAnsi="Arial" w:cs="Arial"/>
          <w:lang w:eastAsia="es-ES"/>
        </w:rPr>
        <w:t xml:space="preserve">la </w:t>
      </w:r>
      <w:r w:rsidR="00510E8C">
        <w:rPr>
          <w:rFonts w:ascii="Arial" w:eastAsia="Times New Roman" w:hAnsi="Arial" w:cs="Arial"/>
          <w:lang w:eastAsia="es-ES"/>
        </w:rPr>
        <w:t xml:space="preserve">propuesta presentada </w:t>
      </w:r>
      <w:r w:rsidR="00D808C5">
        <w:rPr>
          <w:rFonts w:ascii="Arial" w:eastAsia="Times New Roman" w:hAnsi="Arial" w:cs="Arial"/>
          <w:lang w:eastAsia="es-ES"/>
        </w:rPr>
        <w:t>por el Subproceso de Gestión de Continuidad del Servicio para incorporar una m</w:t>
      </w:r>
      <w:r w:rsidR="00510E8C">
        <w:rPr>
          <w:rFonts w:ascii="Arial" w:eastAsia="Times New Roman" w:hAnsi="Arial" w:cs="Arial"/>
          <w:lang w:eastAsia="es-ES"/>
        </w:rPr>
        <w:t xml:space="preserve">eta </w:t>
      </w:r>
      <w:r w:rsidR="00D808C5">
        <w:rPr>
          <w:rFonts w:ascii="Arial" w:eastAsia="Times New Roman" w:hAnsi="Arial" w:cs="Arial"/>
          <w:lang w:eastAsia="es-ES"/>
        </w:rPr>
        <w:t>e</w:t>
      </w:r>
      <w:r w:rsidR="00510E8C">
        <w:rPr>
          <w:rFonts w:ascii="Arial" w:eastAsia="Times New Roman" w:hAnsi="Arial" w:cs="Arial"/>
          <w:lang w:eastAsia="es-ES"/>
        </w:rPr>
        <w:t>stratégica</w:t>
      </w:r>
      <w:r w:rsidR="00D808C5">
        <w:rPr>
          <w:rFonts w:ascii="Arial" w:eastAsia="Times New Roman" w:hAnsi="Arial" w:cs="Arial"/>
          <w:lang w:eastAsia="es-ES"/>
        </w:rPr>
        <w:t xml:space="preserve"> en el PEI</w:t>
      </w:r>
      <w:r w:rsidR="00AC4120">
        <w:rPr>
          <w:rFonts w:ascii="Arial" w:eastAsia="Times New Roman" w:hAnsi="Arial" w:cs="Arial"/>
          <w:lang w:eastAsia="es-ES"/>
        </w:rPr>
        <w:t xml:space="preserve"> 2019-2024</w:t>
      </w:r>
      <w:r w:rsidR="002575A9">
        <w:rPr>
          <w:rFonts w:ascii="Arial" w:eastAsia="Times New Roman" w:hAnsi="Arial" w:cs="Arial"/>
          <w:lang w:eastAsia="es-ES"/>
        </w:rPr>
        <w:t>.</w:t>
      </w:r>
      <w:r w:rsidR="00510E8C">
        <w:rPr>
          <w:rFonts w:ascii="Arial" w:eastAsia="Times New Roman" w:hAnsi="Arial" w:cs="Arial"/>
          <w:lang w:eastAsia="es-ES"/>
        </w:rPr>
        <w:t xml:space="preserve"> </w:t>
      </w:r>
      <w:r w:rsidR="002575A9" w:rsidRPr="0002758F">
        <w:rPr>
          <w:rFonts w:ascii="Arial" w:eastAsia="Times New Roman" w:hAnsi="Arial" w:cs="Arial"/>
          <w:b/>
          <w:bCs/>
          <w:lang w:eastAsia="es-ES"/>
        </w:rPr>
        <w:t>2)</w:t>
      </w:r>
      <w:r w:rsidR="002575A9">
        <w:rPr>
          <w:rFonts w:ascii="Arial" w:eastAsia="Times New Roman" w:hAnsi="Arial" w:cs="Arial"/>
          <w:lang w:eastAsia="es-ES"/>
        </w:rPr>
        <w:t xml:space="preserve"> E</w:t>
      </w:r>
      <w:r w:rsidR="00510E8C">
        <w:rPr>
          <w:rFonts w:ascii="Arial" w:eastAsia="Times New Roman" w:hAnsi="Arial" w:cs="Arial"/>
          <w:lang w:eastAsia="es-ES"/>
        </w:rPr>
        <w:t xml:space="preserve">sta deberá remitirse a conocimiento y aprobación del Consejo Superior, debido a la utilización del </w:t>
      </w:r>
      <w:r w:rsidR="00D808C5">
        <w:rPr>
          <w:rFonts w:ascii="Arial" w:eastAsia="Times New Roman" w:hAnsi="Arial" w:cs="Arial"/>
          <w:lang w:eastAsia="es-ES"/>
        </w:rPr>
        <w:t>o</w:t>
      </w:r>
      <w:r w:rsidR="00510E8C">
        <w:rPr>
          <w:rFonts w:ascii="Arial" w:eastAsia="Times New Roman" w:hAnsi="Arial" w:cs="Arial"/>
          <w:lang w:eastAsia="es-ES"/>
        </w:rPr>
        <w:t>bjetivo estratégico</w:t>
      </w:r>
      <w:r w:rsidR="00D808C5">
        <w:rPr>
          <w:rFonts w:ascii="Arial" w:eastAsia="Times New Roman" w:hAnsi="Arial" w:cs="Arial"/>
          <w:lang w:eastAsia="es-ES"/>
        </w:rPr>
        <w:t xml:space="preserve"> a su cargo</w:t>
      </w:r>
      <w:r w:rsidR="00510E8C">
        <w:rPr>
          <w:rFonts w:ascii="Arial" w:eastAsia="Times New Roman" w:hAnsi="Arial" w:cs="Arial"/>
          <w:lang w:eastAsia="es-ES"/>
        </w:rPr>
        <w:t xml:space="preserve">. </w:t>
      </w:r>
      <w:r w:rsidR="0002758F">
        <w:rPr>
          <w:rFonts w:ascii="Arial" w:eastAsia="Times New Roman" w:hAnsi="Arial" w:cs="Arial"/>
          <w:b/>
          <w:bCs/>
          <w:lang w:eastAsia="es-ES"/>
        </w:rPr>
        <w:t>3</w:t>
      </w:r>
      <w:r w:rsidR="00510E8C" w:rsidRPr="00D808C5">
        <w:rPr>
          <w:rFonts w:ascii="Arial" w:eastAsia="Times New Roman" w:hAnsi="Arial" w:cs="Arial"/>
          <w:b/>
          <w:bCs/>
          <w:lang w:eastAsia="es-ES"/>
        </w:rPr>
        <w:t>)</w:t>
      </w:r>
      <w:r w:rsidR="00510E8C">
        <w:rPr>
          <w:rFonts w:ascii="Arial" w:eastAsia="Times New Roman" w:hAnsi="Arial" w:cs="Arial"/>
          <w:lang w:eastAsia="es-ES"/>
        </w:rPr>
        <w:t xml:space="preserve"> Una vez aprobada la propuesta</w:t>
      </w:r>
      <w:r w:rsidR="002575A9">
        <w:rPr>
          <w:rFonts w:ascii="Arial" w:eastAsia="Times New Roman" w:hAnsi="Arial" w:cs="Arial"/>
          <w:lang w:eastAsia="es-ES"/>
        </w:rPr>
        <w:t xml:space="preserve"> por el Consejo Superior</w:t>
      </w:r>
      <w:r w:rsidR="00510E8C">
        <w:rPr>
          <w:rFonts w:ascii="Arial" w:eastAsia="Times New Roman" w:hAnsi="Arial" w:cs="Arial"/>
          <w:lang w:eastAsia="es-ES"/>
        </w:rPr>
        <w:t xml:space="preserve">, se deberá trasladar al Comité </w:t>
      </w:r>
      <w:r w:rsidR="00D808C5">
        <w:rPr>
          <w:rFonts w:ascii="Arial" w:eastAsia="Times New Roman" w:hAnsi="Arial" w:cs="Arial"/>
          <w:lang w:eastAsia="es-ES"/>
        </w:rPr>
        <w:t xml:space="preserve">de Planeación </w:t>
      </w:r>
      <w:r w:rsidR="00510E8C">
        <w:rPr>
          <w:rFonts w:ascii="Arial" w:eastAsia="Times New Roman" w:hAnsi="Arial" w:cs="Arial"/>
          <w:lang w:eastAsia="es-ES"/>
        </w:rPr>
        <w:t>Estratégic</w:t>
      </w:r>
      <w:r w:rsidR="00D808C5">
        <w:rPr>
          <w:rFonts w:ascii="Arial" w:eastAsia="Times New Roman" w:hAnsi="Arial" w:cs="Arial"/>
          <w:lang w:eastAsia="es-ES"/>
        </w:rPr>
        <w:t>a</w:t>
      </w:r>
      <w:r w:rsidR="00AC4120">
        <w:rPr>
          <w:rFonts w:ascii="Arial" w:eastAsia="Times New Roman" w:hAnsi="Arial" w:cs="Arial"/>
          <w:lang w:eastAsia="es-ES"/>
        </w:rPr>
        <w:t xml:space="preserve"> para lo que corresponda</w:t>
      </w:r>
      <w:r w:rsidR="00510E8C">
        <w:rPr>
          <w:rFonts w:ascii="Arial" w:eastAsia="Times New Roman" w:hAnsi="Arial" w:cs="Arial"/>
          <w:lang w:eastAsia="es-ES"/>
        </w:rPr>
        <w:t>.</w:t>
      </w:r>
      <w:r w:rsidR="00DD20AF" w:rsidRPr="00A124E7">
        <w:rPr>
          <w:rFonts w:ascii="Arial" w:eastAsia="Times New Roman" w:hAnsi="Arial" w:cs="Arial"/>
          <w:lang w:eastAsia="es-ES"/>
        </w:rPr>
        <w:t xml:space="preserve"> </w:t>
      </w:r>
      <w:r w:rsidRPr="00115A9B">
        <w:rPr>
          <w:rFonts w:ascii="Arial" w:eastAsia="Times New Roman" w:hAnsi="Arial" w:cs="Arial"/>
          <w:b/>
          <w:bCs/>
          <w:lang w:eastAsia="es-ES"/>
        </w:rPr>
        <w:t>ACUERDO FIRME.</w:t>
      </w:r>
      <w:r w:rsidRPr="00D3486F">
        <w:rPr>
          <w:rFonts w:ascii="Arial" w:eastAsia="Times New Roman" w:hAnsi="Arial" w:cs="Arial"/>
          <w:b/>
          <w:bCs/>
          <w:lang w:eastAsia="es-ES"/>
        </w:rPr>
        <w:t xml:space="preserve"> </w:t>
      </w:r>
    </w:p>
    <w:p w14:paraId="7A06FFB6" w14:textId="77777777" w:rsidR="006064DE" w:rsidRPr="00D3486F" w:rsidRDefault="006064DE" w:rsidP="00D3486F">
      <w:pPr>
        <w:spacing w:after="0" w:line="240" w:lineRule="auto"/>
        <w:jc w:val="center"/>
        <w:rPr>
          <w:rFonts w:ascii="Arial" w:hAnsi="Arial" w:cs="Arial"/>
          <w:b/>
          <w:color w:val="2F5496"/>
        </w:rPr>
      </w:pPr>
    </w:p>
    <w:p w14:paraId="279F05AC" w14:textId="77777777" w:rsidR="00AC4120" w:rsidRDefault="00AC4120" w:rsidP="00AC4120">
      <w:pPr>
        <w:spacing w:after="0" w:line="240" w:lineRule="auto"/>
        <w:rPr>
          <w:rFonts w:ascii="Arial" w:hAnsi="Arial" w:cs="Arial"/>
          <w:b/>
          <w:color w:val="2F5496"/>
        </w:rPr>
      </w:pPr>
    </w:p>
    <w:p w14:paraId="43A1DB83" w14:textId="77777777" w:rsidR="00381599" w:rsidRPr="00D3486F" w:rsidRDefault="00381599" w:rsidP="00D3486F">
      <w:pPr>
        <w:spacing w:after="0" w:line="240" w:lineRule="auto"/>
        <w:jc w:val="center"/>
        <w:rPr>
          <w:rFonts w:ascii="Arial" w:hAnsi="Arial" w:cs="Arial"/>
          <w:b/>
          <w:color w:val="2F5496"/>
        </w:rPr>
      </w:pPr>
    </w:p>
    <w:p w14:paraId="2F94ACE1" w14:textId="28FFB093" w:rsidR="00024254" w:rsidRDefault="00024254" w:rsidP="00D3486F">
      <w:pPr>
        <w:spacing w:after="0" w:line="240" w:lineRule="auto"/>
        <w:jc w:val="center"/>
        <w:rPr>
          <w:rFonts w:ascii="Arial" w:hAnsi="Arial" w:cs="Arial"/>
          <w:b/>
          <w:color w:val="2F5496"/>
        </w:rPr>
      </w:pPr>
      <w:r w:rsidRPr="00D3486F">
        <w:rPr>
          <w:rFonts w:ascii="Arial" w:hAnsi="Arial" w:cs="Arial"/>
          <w:b/>
          <w:color w:val="2F5496"/>
        </w:rPr>
        <w:t xml:space="preserve">ARTÍCULO </w:t>
      </w:r>
      <w:r w:rsidR="00650770" w:rsidRPr="00D3486F">
        <w:rPr>
          <w:rFonts w:ascii="Arial" w:hAnsi="Arial" w:cs="Arial"/>
          <w:b/>
          <w:color w:val="2F5496"/>
        </w:rPr>
        <w:t>I</w:t>
      </w:r>
      <w:r w:rsidR="00AC4120">
        <w:rPr>
          <w:rFonts w:ascii="Arial" w:hAnsi="Arial" w:cs="Arial"/>
          <w:b/>
          <w:color w:val="2F5496"/>
        </w:rPr>
        <w:t>V</w:t>
      </w:r>
    </w:p>
    <w:p w14:paraId="5CB9C08B" w14:textId="77777777" w:rsidR="00D3486F" w:rsidRPr="00D3486F" w:rsidRDefault="00D3486F" w:rsidP="00D3486F">
      <w:pPr>
        <w:spacing w:after="0" w:line="240" w:lineRule="auto"/>
        <w:jc w:val="center"/>
        <w:rPr>
          <w:rFonts w:ascii="Arial" w:hAnsi="Arial" w:cs="Arial"/>
          <w:b/>
          <w:color w:val="2F5496"/>
        </w:rPr>
      </w:pPr>
    </w:p>
    <w:p w14:paraId="48A39616" w14:textId="59920B15" w:rsidR="00D8565A" w:rsidRDefault="00AC4120" w:rsidP="00D3486F">
      <w:pPr>
        <w:spacing w:after="0" w:line="240" w:lineRule="auto"/>
        <w:jc w:val="both"/>
        <w:rPr>
          <w:rFonts w:ascii="Arial" w:hAnsi="Arial" w:cs="Arial"/>
          <w:lang w:val="es-ES"/>
        </w:rPr>
      </w:pPr>
      <w:r>
        <w:rPr>
          <w:rFonts w:ascii="Arial" w:hAnsi="Arial" w:cs="Arial"/>
          <w:lang w:val="es-ES"/>
        </w:rPr>
        <w:t>Se hace de conocimiento al Comité Técnico, que el Subproceso de Gestión de Continuidad del Servicio realizó una serie de oficios dirigidos a los Consejos de Administración de Circuito, comunicando las responsabilidades otorgadas en el Sistema de Gestión de Continuidad del Servicio y las de declaración de crisis según fue acordado por el Consejo Superior en la sesión 87-2022, celebrada el 6 de octubre del 2022, artículo XXIV, el cual señala:</w:t>
      </w:r>
    </w:p>
    <w:p w14:paraId="52C01240" w14:textId="2D88F120" w:rsidR="00AC4120" w:rsidRDefault="00AC4120" w:rsidP="00D3486F">
      <w:pPr>
        <w:spacing w:after="0" w:line="240" w:lineRule="auto"/>
        <w:jc w:val="both"/>
        <w:rPr>
          <w:rFonts w:ascii="Arial" w:hAnsi="Arial" w:cs="Arial"/>
          <w:lang w:val="es-ES"/>
        </w:rPr>
      </w:pPr>
    </w:p>
    <w:p w14:paraId="0F537016" w14:textId="77777777" w:rsidR="00AC4120" w:rsidRPr="00AC4120" w:rsidRDefault="00AC4120" w:rsidP="00AC4120">
      <w:pPr>
        <w:autoSpaceDE w:val="0"/>
        <w:autoSpaceDN w:val="0"/>
        <w:adjustRightInd w:val="0"/>
        <w:spacing w:after="0" w:line="240" w:lineRule="auto"/>
        <w:rPr>
          <w:rFonts w:ascii="Arial" w:hAnsi="Arial" w:cs="Arial"/>
          <w:color w:val="000000"/>
          <w:sz w:val="24"/>
          <w:szCs w:val="24"/>
          <w:lang w:eastAsia="es-CR"/>
        </w:rPr>
      </w:pPr>
    </w:p>
    <w:p w14:paraId="79972439" w14:textId="219F8124" w:rsidR="00AC4120" w:rsidRDefault="00AC4120" w:rsidP="00AC4120">
      <w:pPr>
        <w:spacing w:after="0" w:line="240" w:lineRule="auto"/>
        <w:ind w:left="794" w:right="567"/>
        <w:jc w:val="both"/>
        <w:rPr>
          <w:rFonts w:ascii="Arial" w:hAnsi="Arial" w:cs="Arial"/>
          <w:lang w:val="es-ES"/>
        </w:rPr>
      </w:pPr>
      <w:r w:rsidRPr="00AC4120">
        <w:rPr>
          <w:rFonts w:ascii="Arial" w:hAnsi="Arial" w:cs="Arial"/>
          <w:b/>
          <w:bCs/>
          <w:i/>
          <w:iCs/>
          <w:color w:val="000000"/>
          <w:lang w:eastAsia="es-CR"/>
        </w:rPr>
        <w:t xml:space="preserve">2.) </w:t>
      </w:r>
      <w:r w:rsidRPr="00AC4120">
        <w:rPr>
          <w:rFonts w:ascii="Arial" w:hAnsi="Arial" w:cs="Arial"/>
          <w:i/>
          <w:iCs/>
          <w:color w:val="000000"/>
          <w:lang w:eastAsia="es-CR"/>
        </w:rPr>
        <w:t xml:space="preserve">En razón a lo resuelto en el inciso anterior, es entendido que Subproceso de Gestión de la Continuidad </w:t>
      </w:r>
      <w:r w:rsidRPr="00AC4120">
        <w:rPr>
          <w:rFonts w:ascii="Arial" w:hAnsi="Arial" w:cs="Arial"/>
          <w:i/>
          <w:iCs/>
          <w:color w:val="000000"/>
          <w:u w:val="single"/>
          <w:lang w:eastAsia="es-CR"/>
        </w:rPr>
        <w:t>remitirá lo pertinente a la Comisión Institucional de Emergencias y a los Consejos de Administración, así como a cualquier otra oficina responsable de participar en la gestión de emergencias y crisis, para que conozcan el contenido de este documento y lo apliquen, cuando sea necesario. De igual forma, gestionará espacios en sus agendas para exponerlo para facilitar su asimilación</w:t>
      </w:r>
      <w:r w:rsidRPr="00AC4120">
        <w:rPr>
          <w:rFonts w:ascii="Arial" w:hAnsi="Arial" w:cs="Arial"/>
          <w:i/>
          <w:iCs/>
          <w:color w:val="000000"/>
          <w:lang w:eastAsia="es-CR"/>
        </w:rPr>
        <w:t xml:space="preserve">. </w:t>
      </w:r>
      <w:r w:rsidRPr="00AC4120">
        <w:rPr>
          <w:rFonts w:ascii="Arial" w:hAnsi="Arial" w:cs="Arial"/>
          <w:color w:val="000000"/>
          <w:lang w:eastAsia="es-CR"/>
        </w:rPr>
        <w:t>(El Subrayado ha sido agregado).</w:t>
      </w:r>
    </w:p>
    <w:p w14:paraId="51F874C2" w14:textId="43A421A0" w:rsidR="003A65AE" w:rsidRDefault="003A65AE" w:rsidP="00D3486F">
      <w:pPr>
        <w:spacing w:after="0" w:line="240" w:lineRule="auto"/>
        <w:jc w:val="both"/>
        <w:rPr>
          <w:rFonts w:ascii="Arial" w:hAnsi="Arial" w:cs="Arial"/>
          <w:lang w:val="es-ES"/>
        </w:rPr>
      </w:pPr>
    </w:p>
    <w:p w14:paraId="46F8E372" w14:textId="77777777" w:rsidR="002244EF" w:rsidRDefault="002244EF" w:rsidP="00D3486F">
      <w:pPr>
        <w:spacing w:after="0" w:line="240" w:lineRule="auto"/>
        <w:jc w:val="both"/>
        <w:rPr>
          <w:rFonts w:ascii="Arial" w:hAnsi="Arial" w:cs="Arial"/>
          <w:lang w:val="es-ES"/>
        </w:rPr>
      </w:pPr>
    </w:p>
    <w:p w14:paraId="2490BF9A" w14:textId="35241B80" w:rsidR="002244EF" w:rsidRDefault="002244EF" w:rsidP="00D3486F">
      <w:pPr>
        <w:spacing w:after="0" w:line="240" w:lineRule="auto"/>
        <w:jc w:val="both"/>
        <w:rPr>
          <w:rFonts w:ascii="Arial" w:hAnsi="Arial" w:cs="Arial"/>
          <w:lang w:val="es-ES"/>
        </w:rPr>
      </w:pPr>
      <w:r>
        <w:rPr>
          <w:rFonts w:ascii="Arial" w:hAnsi="Arial" w:cs="Arial"/>
          <w:lang w:val="es-ES"/>
        </w:rPr>
        <w:t>A manera de ejemplo, se adjunta el oficio 20-DE-SGCS-2022 dirigido al Consejo de Administración de Cartago.</w:t>
      </w:r>
    </w:p>
    <w:p w14:paraId="453FBCD0" w14:textId="393B640F" w:rsidR="002244EF" w:rsidRDefault="002244EF" w:rsidP="00D3486F">
      <w:pPr>
        <w:spacing w:after="0" w:line="240" w:lineRule="auto"/>
        <w:jc w:val="both"/>
        <w:rPr>
          <w:rFonts w:ascii="Arial" w:hAnsi="Arial" w:cs="Arial"/>
          <w:lang w:val="es-ES"/>
        </w:rPr>
      </w:pPr>
    </w:p>
    <w:p w14:paraId="367A6DE3" w14:textId="37B0E1F2" w:rsidR="002244EF" w:rsidRDefault="002244EF" w:rsidP="002244EF">
      <w:pPr>
        <w:spacing w:after="0" w:line="240" w:lineRule="auto"/>
        <w:jc w:val="center"/>
        <w:rPr>
          <w:rFonts w:ascii="Arial" w:hAnsi="Arial" w:cs="Arial"/>
          <w:lang w:val="es-ES"/>
        </w:rPr>
      </w:pPr>
      <w:r>
        <w:rPr>
          <w:rFonts w:ascii="Arial" w:hAnsi="Arial" w:cs="Arial"/>
          <w:lang w:val="es-ES"/>
        </w:rPr>
        <w:object w:dxaOrig="1537" w:dyaOrig="997" w14:anchorId="1D1B717A">
          <v:shape id="_x0000_i1028" type="#_x0000_t75" style="width:76.3pt;height:49.95pt" o:ole="">
            <v:imagedata r:id="rId14" o:title=""/>
          </v:shape>
          <o:OLEObject Type="Embed" ProgID="Acrobat.Document.DC" ShapeID="_x0000_i1028" DrawAspect="Icon" ObjectID="_1731914381" r:id="rId15"/>
        </w:object>
      </w:r>
      <w:r>
        <w:rPr>
          <w:rFonts w:ascii="Arial" w:hAnsi="Arial" w:cs="Arial"/>
          <w:lang w:val="es-ES"/>
        </w:rPr>
        <w:t xml:space="preserve"> </w:t>
      </w:r>
    </w:p>
    <w:p w14:paraId="65428544" w14:textId="43FF7252" w:rsidR="002244EF" w:rsidRDefault="002244EF" w:rsidP="00D3486F">
      <w:pPr>
        <w:spacing w:after="0" w:line="240" w:lineRule="auto"/>
        <w:jc w:val="both"/>
        <w:rPr>
          <w:rFonts w:ascii="Arial" w:hAnsi="Arial" w:cs="Arial"/>
          <w:lang w:val="es-ES"/>
        </w:rPr>
      </w:pPr>
    </w:p>
    <w:p w14:paraId="39D18DDB" w14:textId="77777777" w:rsidR="002244EF" w:rsidRDefault="002244EF" w:rsidP="00D3486F">
      <w:pPr>
        <w:spacing w:after="0" w:line="240" w:lineRule="auto"/>
        <w:jc w:val="both"/>
        <w:rPr>
          <w:rFonts w:ascii="Arial" w:hAnsi="Arial" w:cs="Arial"/>
          <w:lang w:val="es-ES"/>
        </w:rPr>
      </w:pPr>
    </w:p>
    <w:p w14:paraId="0AAAD2B1" w14:textId="15C17916" w:rsidR="003A65AE" w:rsidRDefault="002244EF" w:rsidP="00D3486F">
      <w:pPr>
        <w:spacing w:after="0" w:line="240" w:lineRule="auto"/>
        <w:jc w:val="both"/>
        <w:rPr>
          <w:rFonts w:ascii="Arial" w:hAnsi="Arial" w:cs="Arial"/>
          <w:lang w:val="es-ES"/>
        </w:rPr>
      </w:pPr>
      <w:r>
        <w:rPr>
          <w:rFonts w:ascii="Arial" w:hAnsi="Arial" w:cs="Arial"/>
          <w:lang w:val="es-ES"/>
        </w:rPr>
        <w:lastRenderedPageBreak/>
        <w:t xml:space="preserve">Adicionalmente, en relación con el </w:t>
      </w:r>
      <w:r w:rsidR="00AC4120">
        <w:rPr>
          <w:rFonts w:ascii="Arial" w:hAnsi="Arial" w:cs="Arial"/>
          <w:lang w:val="es-ES"/>
        </w:rPr>
        <w:t>acuerdo</w:t>
      </w:r>
      <w:r>
        <w:rPr>
          <w:rFonts w:ascii="Arial" w:hAnsi="Arial" w:cs="Arial"/>
          <w:lang w:val="es-ES"/>
        </w:rPr>
        <w:t xml:space="preserve"> supra indicado</w:t>
      </w:r>
      <w:r w:rsidR="00AC4120">
        <w:rPr>
          <w:rFonts w:ascii="Arial" w:hAnsi="Arial" w:cs="Arial"/>
          <w:lang w:val="es-ES"/>
        </w:rPr>
        <w:t xml:space="preserve">, </w:t>
      </w:r>
      <w:r w:rsidR="00AC4120" w:rsidRPr="002244EF">
        <w:rPr>
          <w:rFonts w:ascii="Arial" w:hAnsi="Arial" w:cs="Arial"/>
          <w:lang w:val="es-ES"/>
        </w:rPr>
        <w:t xml:space="preserve">mediante oficio </w:t>
      </w:r>
      <w:r w:rsidRPr="002244EF">
        <w:rPr>
          <w:rFonts w:ascii="Arial" w:hAnsi="Arial" w:cs="Arial"/>
          <w:lang w:val="es-ES"/>
        </w:rPr>
        <w:t>16-DE-SGCS-2022,</w:t>
      </w:r>
      <w:r w:rsidR="00AC4120" w:rsidRPr="002244EF">
        <w:rPr>
          <w:rFonts w:ascii="Arial" w:hAnsi="Arial" w:cs="Arial"/>
          <w:lang w:val="es-ES"/>
        </w:rPr>
        <w:t xml:space="preserve"> se solicitó formalmente audiencia a la Comisión Institucional de Emergencia para presentar el “Plan de Gestión de Crisis del Poder Judicial”</w:t>
      </w:r>
      <w:r w:rsidRPr="002244EF">
        <w:rPr>
          <w:rFonts w:ascii="Arial" w:hAnsi="Arial" w:cs="Arial"/>
          <w:lang w:val="es-ES"/>
        </w:rPr>
        <w:t xml:space="preserve"> roles y responsabilidades</w:t>
      </w:r>
      <w:r>
        <w:rPr>
          <w:rFonts w:ascii="Arial" w:hAnsi="Arial" w:cs="Arial"/>
          <w:lang w:val="es-ES"/>
        </w:rPr>
        <w:t xml:space="preserve"> de las partes;</w:t>
      </w:r>
      <w:r w:rsidR="00AC4120">
        <w:rPr>
          <w:rFonts w:ascii="Arial" w:hAnsi="Arial" w:cs="Arial"/>
          <w:lang w:val="es-ES"/>
        </w:rPr>
        <w:t xml:space="preserve"> no obstante, a la fecha no se ha tenido respuesta de</w:t>
      </w:r>
      <w:r>
        <w:rPr>
          <w:rFonts w:ascii="Arial" w:hAnsi="Arial" w:cs="Arial"/>
          <w:lang w:val="es-ES"/>
        </w:rPr>
        <w:t xml:space="preserve"> dicha Comisión.</w:t>
      </w:r>
    </w:p>
    <w:bookmarkEnd w:id="1"/>
    <w:p w14:paraId="736C14E6" w14:textId="5093C165" w:rsidR="00AA5902" w:rsidRDefault="00AA5902" w:rsidP="00D3486F">
      <w:pPr>
        <w:spacing w:after="0" w:line="240" w:lineRule="auto"/>
        <w:jc w:val="both"/>
        <w:rPr>
          <w:rFonts w:ascii="Arial" w:hAnsi="Arial" w:cs="Arial"/>
          <w:color w:val="000000"/>
          <w:lang w:val="es-ES" w:eastAsia="es-ES"/>
        </w:rPr>
      </w:pPr>
    </w:p>
    <w:p w14:paraId="602558AD" w14:textId="0219F9C0" w:rsidR="00C45628" w:rsidRDefault="002244EF" w:rsidP="002244EF">
      <w:pPr>
        <w:spacing w:after="0" w:line="240" w:lineRule="auto"/>
        <w:jc w:val="center"/>
        <w:rPr>
          <w:rFonts w:ascii="Arial" w:hAnsi="Arial" w:cs="Arial"/>
          <w:color w:val="000000"/>
          <w:lang w:val="es-ES" w:eastAsia="es-ES"/>
        </w:rPr>
      </w:pPr>
      <w:r>
        <w:rPr>
          <w:rFonts w:ascii="Arial" w:hAnsi="Arial" w:cs="Arial"/>
          <w:color w:val="000000"/>
          <w:lang w:val="es-ES" w:eastAsia="es-ES"/>
        </w:rPr>
        <w:object w:dxaOrig="1537" w:dyaOrig="997" w14:anchorId="398EEB74">
          <v:shape id="_x0000_i1029" type="#_x0000_t75" style="width:76.3pt;height:49.95pt" o:ole="">
            <v:imagedata r:id="rId16" o:title=""/>
          </v:shape>
          <o:OLEObject Type="Embed" ProgID="Acrobat.Document.DC" ShapeID="_x0000_i1029" DrawAspect="Icon" ObjectID="_1731914382" r:id="rId17"/>
        </w:object>
      </w:r>
    </w:p>
    <w:p w14:paraId="64A12194" w14:textId="77777777" w:rsidR="002244EF" w:rsidRDefault="002244EF" w:rsidP="00D3486F">
      <w:pPr>
        <w:spacing w:after="0" w:line="240" w:lineRule="auto"/>
        <w:jc w:val="both"/>
        <w:rPr>
          <w:rFonts w:ascii="Arial" w:hAnsi="Arial" w:cs="Arial"/>
          <w:color w:val="000000"/>
          <w:lang w:val="es-ES" w:eastAsia="es-ES"/>
        </w:rPr>
      </w:pPr>
    </w:p>
    <w:p w14:paraId="758002D7" w14:textId="2035F072" w:rsidR="00C45628" w:rsidRDefault="00C45628" w:rsidP="00D3486F">
      <w:pPr>
        <w:spacing w:after="0" w:line="240" w:lineRule="auto"/>
        <w:jc w:val="both"/>
        <w:rPr>
          <w:rFonts w:ascii="Arial" w:eastAsia="Times New Roman" w:hAnsi="Arial" w:cs="Arial"/>
          <w:lang w:eastAsia="es-ES"/>
        </w:rPr>
      </w:pPr>
      <w:r w:rsidRPr="00A124E7">
        <w:rPr>
          <w:rFonts w:ascii="Arial" w:eastAsia="Times New Roman" w:hAnsi="Arial" w:cs="Arial"/>
          <w:b/>
          <w:bCs/>
          <w:lang w:eastAsia="es-ES"/>
        </w:rPr>
        <w:t>Se acuerda:</w:t>
      </w:r>
      <w:r w:rsidRPr="00A124E7">
        <w:rPr>
          <w:rFonts w:ascii="Arial" w:eastAsia="Times New Roman" w:hAnsi="Arial" w:cs="Arial"/>
          <w:lang w:eastAsia="es-ES"/>
        </w:rPr>
        <w:t xml:space="preserve"> </w:t>
      </w:r>
      <w:r w:rsidRPr="00A124E7">
        <w:rPr>
          <w:rFonts w:ascii="Arial" w:eastAsia="Times New Roman" w:hAnsi="Arial" w:cs="Arial"/>
          <w:b/>
          <w:bCs/>
          <w:lang w:eastAsia="es-ES"/>
        </w:rPr>
        <w:t>1)</w:t>
      </w:r>
      <w:r w:rsidRPr="00A124E7">
        <w:rPr>
          <w:rFonts w:ascii="Arial" w:eastAsia="Times New Roman" w:hAnsi="Arial" w:cs="Arial"/>
          <w:lang w:eastAsia="es-ES"/>
        </w:rPr>
        <w:t xml:space="preserve"> Tomar nota </w:t>
      </w:r>
      <w:r w:rsidR="002244EF">
        <w:rPr>
          <w:rFonts w:ascii="Arial" w:eastAsia="Times New Roman" w:hAnsi="Arial" w:cs="Arial"/>
          <w:lang w:eastAsia="es-ES"/>
        </w:rPr>
        <w:t>de los oficios realizado a l</w:t>
      </w:r>
      <w:r w:rsidR="00F75D89">
        <w:rPr>
          <w:rFonts w:ascii="Arial" w:eastAsia="Times New Roman" w:hAnsi="Arial" w:cs="Arial"/>
          <w:lang w:eastAsia="es-ES"/>
        </w:rPr>
        <w:t>o</w:t>
      </w:r>
      <w:r w:rsidR="002244EF">
        <w:rPr>
          <w:rFonts w:ascii="Arial" w:eastAsia="Times New Roman" w:hAnsi="Arial" w:cs="Arial"/>
          <w:lang w:eastAsia="es-ES"/>
        </w:rPr>
        <w:t>s Consejos de Administración de Circuito y a la Comisión Institucional de Emergencia</w:t>
      </w:r>
      <w:r w:rsidR="00735186">
        <w:rPr>
          <w:rFonts w:ascii="Arial" w:eastAsia="Times New Roman" w:hAnsi="Arial" w:cs="Arial"/>
          <w:lang w:eastAsia="es-ES"/>
        </w:rPr>
        <w:t>s</w:t>
      </w:r>
      <w:r w:rsidR="002244EF">
        <w:rPr>
          <w:rFonts w:ascii="Arial" w:eastAsia="Times New Roman" w:hAnsi="Arial" w:cs="Arial"/>
          <w:lang w:eastAsia="es-ES"/>
        </w:rPr>
        <w:t xml:space="preserve">. </w:t>
      </w:r>
      <w:r w:rsidR="002244EF" w:rsidRPr="002244EF">
        <w:rPr>
          <w:rFonts w:ascii="Arial" w:eastAsia="Times New Roman" w:hAnsi="Arial" w:cs="Arial"/>
          <w:b/>
          <w:bCs/>
          <w:lang w:eastAsia="es-ES"/>
        </w:rPr>
        <w:t>2)</w:t>
      </w:r>
      <w:r w:rsidR="002244EF">
        <w:rPr>
          <w:rFonts w:ascii="Arial" w:eastAsia="Times New Roman" w:hAnsi="Arial" w:cs="Arial"/>
          <w:lang w:eastAsia="es-ES"/>
        </w:rPr>
        <w:t xml:space="preserve"> </w:t>
      </w:r>
      <w:r w:rsidR="00F75D89">
        <w:rPr>
          <w:rFonts w:ascii="Arial" w:eastAsia="Times New Roman" w:hAnsi="Arial" w:cs="Arial"/>
          <w:lang w:eastAsia="es-ES"/>
        </w:rPr>
        <w:t>Reiterar la solicitud formal a la Comisión Institucional de Emergencia para agendar un espacio que logre la mayor participación de los integrantes de ambas instancias.</w:t>
      </w:r>
      <w:r w:rsidR="00735186">
        <w:rPr>
          <w:rFonts w:ascii="Arial" w:eastAsia="Times New Roman" w:hAnsi="Arial" w:cs="Arial"/>
          <w:lang w:eastAsia="es-ES"/>
        </w:rPr>
        <w:t xml:space="preserve"> </w:t>
      </w:r>
      <w:r w:rsidR="005F736B">
        <w:rPr>
          <w:rFonts w:ascii="Arial" w:eastAsia="Times New Roman" w:hAnsi="Arial" w:cs="Arial"/>
          <w:b/>
          <w:bCs/>
          <w:lang w:eastAsia="es-ES"/>
        </w:rPr>
        <w:t>ACUERDO FIRME</w:t>
      </w:r>
      <w:r w:rsidR="00735186" w:rsidRPr="00735186">
        <w:rPr>
          <w:rFonts w:ascii="Arial" w:eastAsia="Times New Roman" w:hAnsi="Arial" w:cs="Arial"/>
          <w:b/>
          <w:bCs/>
          <w:lang w:eastAsia="es-ES"/>
        </w:rPr>
        <w:t>.</w:t>
      </w:r>
      <w:r w:rsidR="00735186">
        <w:rPr>
          <w:rFonts w:ascii="Arial" w:eastAsia="Times New Roman" w:hAnsi="Arial" w:cs="Arial"/>
          <w:lang w:eastAsia="es-ES"/>
        </w:rPr>
        <w:t xml:space="preserve"> </w:t>
      </w:r>
    </w:p>
    <w:p w14:paraId="6279EACE" w14:textId="7A31C9A8" w:rsidR="00C45628" w:rsidRDefault="00C45628" w:rsidP="00D3486F">
      <w:pPr>
        <w:spacing w:after="0" w:line="240" w:lineRule="auto"/>
        <w:jc w:val="both"/>
        <w:rPr>
          <w:rFonts w:ascii="Arial" w:eastAsia="Times New Roman" w:hAnsi="Arial" w:cs="Arial"/>
          <w:lang w:eastAsia="es-ES"/>
        </w:rPr>
      </w:pPr>
    </w:p>
    <w:p w14:paraId="631236A7" w14:textId="1E27ED7B" w:rsidR="00C45628" w:rsidRDefault="00C45628" w:rsidP="00D3486F">
      <w:pPr>
        <w:spacing w:after="0" w:line="240" w:lineRule="auto"/>
        <w:jc w:val="both"/>
        <w:rPr>
          <w:rFonts w:ascii="Arial" w:eastAsia="Times New Roman" w:hAnsi="Arial" w:cs="Arial"/>
          <w:lang w:eastAsia="es-ES"/>
        </w:rPr>
      </w:pPr>
    </w:p>
    <w:p w14:paraId="7CCE51C9" w14:textId="12247E83" w:rsidR="00FD65AA" w:rsidRDefault="00FD65AA" w:rsidP="00D3486F">
      <w:pPr>
        <w:spacing w:after="0" w:line="240" w:lineRule="auto"/>
        <w:jc w:val="both"/>
        <w:rPr>
          <w:rFonts w:ascii="Arial" w:eastAsia="Times New Roman" w:hAnsi="Arial" w:cs="Arial"/>
          <w:lang w:eastAsia="es-ES"/>
        </w:rPr>
      </w:pPr>
    </w:p>
    <w:p w14:paraId="5B611770" w14:textId="36CCF85B" w:rsidR="00FD65AA" w:rsidRDefault="00FD65AA" w:rsidP="00FD65AA">
      <w:pPr>
        <w:spacing w:after="0" w:line="240" w:lineRule="auto"/>
        <w:jc w:val="center"/>
        <w:rPr>
          <w:rFonts w:ascii="Arial" w:hAnsi="Arial" w:cs="Arial"/>
          <w:b/>
          <w:color w:val="2F5496"/>
        </w:rPr>
      </w:pPr>
      <w:r w:rsidRPr="00D3486F">
        <w:rPr>
          <w:rFonts w:ascii="Arial" w:hAnsi="Arial" w:cs="Arial"/>
          <w:b/>
          <w:color w:val="2F5496"/>
        </w:rPr>
        <w:t xml:space="preserve">ARTÍCULO </w:t>
      </w:r>
      <w:r>
        <w:rPr>
          <w:rFonts w:ascii="Arial" w:hAnsi="Arial" w:cs="Arial"/>
          <w:b/>
          <w:color w:val="2F5496"/>
        </w:rPr>
        <w:t>V</w:t>
      </w:r>
    </w:p>
    <w:p w14:paraId="1D16300C" w14:textId="773E08A2" w:rsidR="00FD65AA" w:rsidRDefault="00FD65AA" w:rsidP="00D3486F">
      <w:pPr>
        <w:spacing w:after="0" w:line="240" w:lineRule="auto"/>
        <w:jc w:val="both"/>
        <w:rPr>
          <w:rFonts w:ascii="Arial" w:eastAsia="Times New Roman" w:hAnsi="Arial" w:cs="Arial"/>
          <w:lang w:eastAsia="es-ES"/>
        </w:rPr>
      </w:pPr>
    </w:p>
    <w:p w14:paraId="21DE2B9C" w14:textId="3F93D67D" w:rsidR="00FD65AA" w:rsidRPr="00027FE4" w:rsidRDefault="004B2859" w:rsidP="00D3486F">
      <w:pPr>
        <w:spacing w:after="0" w:line="240" w:lineRule="auto"/>
        <w:jc w:val="both"/>
        <w:rPr>
          <w:rFonts w:ascii="Arial" w:eastAsia="Times New Roman" w:hAnsi="Arial" w:cs="Arial"/>
          <w:lang w:eastAsia="es-ES"/>
        </w:rPr>
      </w:pPr>
      <w:r>
        <w:rPr>
          <w:rFonts w:ascii="Arial" w:eastAsia="Times New Roman" w:hAnsi="Arial" w:cs="Arial"/>
          <w:lang w:eastAsia="es-ES"/>
        </w:rPr>
        <w:t xml:space="preserve">Se presenta para conocimiento del Comité Técnico de Continuidad del Servicio del Poder Judicial, el </w:t>
      </w:r>
      <w:r w:rsidRPr="00027FE4">
        <w:rPr>
          <w:rFonts w:ascii="Arial" w:eastAsia="Times New Roman" w:hAnsi="Arial" w:cs="Arial"/>
          <w:b/>
          <w:bCs/>
          <w:lang w:eastAsia="es-ES"/>
        </w:rPr>
        <w:t>Reglamento</w:t>
      </w:r>
      <w:r w:rsidR="00683B0C" w:rsidRPr="00027FE4">
        <w:rPr>
          <w:rFonts w:ascii="Arial" w:eastAsia="Times New Roman" w:hAnsi="Arial" w:cs="Arial"/>
          <w:b/>
          <w:bCs/>
          <w:lang w:eastAsia="es-ES"/>
        </w:rPr>
        <w:t xml:space="preserve"> General de Comisiones del Poder Judicial</w:t>
      </w:r>
      <w:r w:rsidR="00683B0C" w:rsidRPr="00027FE4">
        <w:rPr>
          <w:rFonts w:ascii="Arial" w:eastAsia="Times New Roman" w:hAnsi="Arial" w:cs="Arial"/>
          <w:lang w:eastAsia="es-ES"/>
        </w:rPr>
        <w:t xml:space="preserve">, aprobado por </w:t>
      </w:r>
      <w:r w:rsidR="00877115" w:rsidRPr="00027FE4">
        <w:rPr>
          <w:rFonts w:ascii="Arial" w:eastAsia="Times New Roman" w:hAnsi="Arial" w:cs="Arial"/>
          <w:lang w:eastAsia="es-ES"/>
        </w:rPr>
        <w:t>Corte Plena en sesión N° 52-2022, celebrada el 17 de octubre de 2022, artículo XXIX</w:t>
      </w:r>
      <w:r w:rsidR="00704103">
        <w:rPr>
          <w:rFonts w:ascii="Arial" w:eastAsia="Times New Roman" w:hAnsi="Arial" w:cs="Arial"/>
          <w:lang w:eastAsia="es-ES"/>
        </w:rPr>
        <w:t>, el cual fue comunicado mediante la Circular 206-2022 de la Secretaría General de la Corte</w:t>
      </w:r>
      <w:r w:rsidR="00027FE4">
        <w:rPr>
          <w:rFonts w:ascii="Arial" w:eastAsia="Times New Roman" w:hAnsi="Arial" w:cs="Arial"/>
          <w:lang w:eastAsia="es-ES"/>
        </w:rPr>
        <w:t>.</w:t>
      </w:r>
    </w:p>
    <w:p w14:paraId="572171A4" w14:textId="39117C84" w:rsidR="00027FE4" w:rsidRPr="00027FE4" w:rsidRDefault="00027FE4" w:rsidP="00D3486F">
      <w:pPr>
        <w:spacing w:after="0" w:line="240" w:lineRule="auto"/>
        <w:jc w:val="both"/>
        <w:rPr>
          <w:rFonts w:ascii="Arial" w:eastAsia="Times New Roman" w:hAnsi="Arial" w:cs="Arial"/>
          <w:lang w:eastAsia="es-ES"/>
        </w:rPr>
      </w:pPr>
    </w:p>
    <w:p w14:paraId="6EE2A8EB" w14:textId="18E60A92" w:rsidR="00027FE4" w:rsidRDefault="00027FE4" w:rsidP="00D3486F">
      <w:pPr>
        <w:spacing w:after="0" w:line="240" w:lineRule="auto"/>
        <w:jc w:val="both"/>
        <w:rPr>
          <w:rFonts w:ascii="Arial" w:eastAsia="Times New Roman" w:hAnsi="Arial" w:cs="Arial"/>
          <w:lang w:eastAsia="es-ES"/>
        </w:rPr>
      </w:pPr>
      <w:r>
        <w:rPr>
          <w:rFonts w:ascii="Arial" w:eastAsia="Times New Roman" w:hAnsi="Arial" w:cs="Arial"/>
          <w:lang w:eastAsia="es-ES"/>
        </w:rPr>
        <w:t>Este reglamento</w:t>
      </w:r>
      <w:r w:rsidR="00034969">
        <w:rPr>
          <w:rFonts w:ascii="Arial" w:eastAsia="Times New Roman" w:hAnsi="Arial" w:cs="Arial"/>
          <w:lang w:eastAsia="es-ES"/>
        </w:rPr>
        <w:t xml:space="preserve"> regula la creación, organización y funcionamiento de las Comisiones del Poder Judicial</w:t>
      </w:r>
      <w:r w:rsidR="00704103">
        <w:rPr>
          <w:rFonts w:ascii="Arial" w:eastAsia="Times New Roman" w:hAnsi="Arial" w:cs="Arial"/>
          <w:lang w:eastAsia="es-ES"/>
        </w:rPr>
        <w:t>. C</w:t>
      </w:r>
      <w:r w:rsidR="00034969">
        <w:rPr>
          <w:rFonts w:ascii="Arial" w:eastAsia="Times New Roman" w:hAnsi="Arial" w:cs="Arial"/>
          <w:lang w:eastAsia="es-ES"/>
        </w:rPr>
        <w:t xml:space="preserve">onsiderando </w:t>
      </w:r>
      <w:r w:rsidR="002F6717">
        <w:rPr>
          <w:rFonts w:ascii="Arial" w:eastAsia="Times New Roman" w:hAnsi="Arial" w:cs="Arial"/>
          <w:lang w:eastAsia="es-ES"/>
        </w:rPr>
        <w:t>que los artículos son vinculantes para el C</w:t>
      </w:r>
      <w:r w:rsidR="00B010E6">
        <w:rPr>
          <w:rFonts w:ascii="Arial" w:eastAsia="Times New Roman" w:hAnsi="Arial" w:cs="Arial"/>
          <w:lang w:eastAsia="es-ES"/>
        </w:rPr>
        <w:t xml:space="preserve">TCSPJ, se presenta la necesidad de remitir a la Secretaría General de la Corte las condiciones de este Comité para que sean </w:t>
      </w:r>
      <w:r w:rsidR="005316D2">
        <w:rPr>
          <w:rFonts w:ascii="Arial" w:eastAsia="Times New Roman" w:hAnsi="Arial" w:cs="Arial"/>
          <w:lang w:eastAsia="es-ES"/>
        </w:rPr>
        <w:t>registradas según lo estipulado en la sección VI del citado Reglamento</w:t>
      </w:r>
      <w:r w:rsidR="00910142">
        <w:rPr>
          <w:rFonts w:ascii="Arial" w:eastAsia="Times New Roman" w:hAnsi="Arial" w:cs="Arial"/>
          <w:lang w:eastAsia="es-ES"/>
        </w:rPr>
        <w:t>, que señala textualmente:</w:t>
      </w:r>
    </w:p>
    <w:p w14:paraId="738B3921" w14:textId="3F1BA565" w:rsidR="00910142" w:rsidRDefault="00910142" w:rsidP="00D3486F">
      <w:pPr>
        <w:spacing w:after="0" w:line="240" w:lineRule="auto"/>
        <w:jc w:val="both"/>
        <w:rPr>
          <w:rFonts w:ascii="Arial" w:eastAsia="Times New Roman" w:hAnsi="Arial" w:cs="Arial"/>
          <w:lang w:eastAsia="es-ES"/>
        </w:rPr>
      </w:pPr>
    </w:p>
    <w:p w14:paraId="6D91448F" w14:textId="77777777" w:rsidR="005B5F8D" w:rsidRPr="00704103" w:rsidRDefault="005B5F8D" w:rsidP="005B5F8D">
      <w:pPr>
        <w:keepNext/>
        <w:spacing w:line="240" w:lineRule="auto"/>
        <w:ind w:left="794" w:right="567" w:firstLine="709"/>
        <w:jc w:val="center"/>
        <w:rPr>
          <w:rFonts w:ascii="Times New Roman" w:hAnsi="Times New Roman"/>
          <w:i/>
          <w:iCs/>
          <w:sz w:val="20"/>
          <w:szCs w:val="20"/>
          <w:u w:val="single"/>
        </w:rPr>
      </w:pPr>
      <w:r w:rsidRPr="00704103">
        <w:rPr>
          <w:rFonts w:ascii="Times New Roman" w:hAnsi="Times New Roman"/>
          <w:b/>
          <w:bCs/>
          <w:i/>
          <w:iCs/>
          <w:sz w:val="20"/>
          <w:szCs w:val="20"/>
          <w:u w:val="single"/>
        </w:rPr>
        <w:t>SECCIÓN VI</w:t>
      </w:r>
    </w:p>
    <w:p w14:paraId="79000154" w14:textId="77777777" w:rsidR="005B5F8D" w:rsidRPr="00704103" w:rsidRDefault="005B5F8D" w:rsidP="005B5F8D">
      <w:pPr>
        <w:keepNext/>
        <w:spacing w:line="240" w:lineRule="auto"/>
        <w:ind w:left="794" w:right="567" w:firstLine="709"/>
        <w:jc w:val="center"/>
        <w:rPr>
          <w:rFonts w:ascii="Times New Roman" w:hAnsi="Times New Roman"/>
          <w:b/>
          <w:bCs/>
          <w:i/>
          <w:iCs/>
          <w:sz w:val="20"/>
          <w:szCs w:val="20"/>
          <w:u w:val="single"/>
        </w:rPr>
      </w:pPr>
      <w:r w:rsidRPr="00704103">
        <w:rPr>
          <w:rFonts w:ascii="Times New Roman" w:hAnsi="Times New Roman"/>
          <w:b/>
          <w:bCs/>
          <w:i/>
          <w:iCs/>
          <w:sz w:val="20"/>
          <w:szCs w:val="20"/>
          <w:u w:val="single"/>
        </w:rPr>
        <w:t>DEL REGISTRO DE COMISIONES DEL PODER JUDICIAL</w:t>
      </w:r>
    </w:p>
    <w:p w14:paraId="645186EA" w14:textId="77777777" w:rsidR="005B5F8D" w:rsidRPr="00704103" w:rsidRDefault="005B5F8D" w:rsidP="005B5F8D">
      <w:pPr>
        <w:autoSpaceDE w:val="0"/>
        <w:autoSpaceDN w:val="0"/>
        <w:spacing w:line="240" w:lineRule="auto"/>
        <w:ind w:left="794" w:right="567"/>
        <w:jc w:val="both"/>
        <w:rPr>
          <w:rFonts w:ascii="Times New Roman" w:hAnsi="Times New Roman"/>
          <w:b/>
          <w:bCs/>
          <w:i/>
          <w:iCs/>
          <w:sz w:val="20"/>
          <w:szCs w:val="20"/>
          <w:lang w:eastAsia="es-ES"/>
        </w:rPr>
      </w:pPr>
    </w:p>
    <w:p w14:paraId="01C8DC56" w14:textId="20A490BE" w:rsidR="005B5F8D" w:rsidRPr="00704103" w:rsidRDefault="005B5F8D" w:rsidP="005B5F8D">
      <w:pPr>
        <w:autoSpaceDE w:val="0"/>
        <w:autoSpaceDN w:val="0"/>
        <w:spacing w:line="240" w:lineRule="auto"/>
        <w:ind w:left="794" w:right="567"/>
        <w:jc w:val="both"/>
        <w:rPr>
          <w:rFonts w:ascii="Times New Roman" w:hAnsi="Times New Roman"/>
          <w:b/>
          <w:bCs/>
          <w:i/>
          <w:iCs/>
          <w:sz w:val="20"/>
          <w:szCs w:val="20"/>
          <w:lang w:eastAsia="es-ES"/>
        </w:rPr>
      </w:pPr>
      <w:r w:rsidRPr="00704103">
        <w:rPr>
          <w:rFonts w:ascii="Times New Roman" w:hAnsi="Times New Roman"/>
          <w:b/>
          <w:bCs/>
          <w:i/>
          <w:iCs/>
          <w:sz w:val="20"/>
          <w:szCs w:val="20"/>
          <w:lang w:eastAsia="es-ES"/>
        </w:rPr>
        <w:t>Artículo 53. Del órgano responsable del Registro de Comisiones del Poder Judicial:</w:t>
      </w:r>
    </w:p>
    <w:p w14:paraId="11F02004" w14:textId="77777777" w:rsidR="005B5F8D" w:rsidRPr="00704103" w:rsidRDefault="005B5F8D" w:rsidP="005B5F8D">
      <w:pPr>
        <w:autoSpaceDE w:val="0"/>
        <w:autoSpaceDN w:val="0"/>
        <w:spacing w:line="240" w:lineRule="auto"/>
        <w:ind w:left="794" w:right="567" w:firstLine="709"/>
        <w:jc w:val="both"/>
        <w:rPr>
          <w:rFonts w:ascii="Times New Roman" w:hAnsi="Times New Roman"/>
          <w:i/>
          <w:iCs/>
          <w:sz w:val="20"/>
          <w:szCs w:val="20"/>
          <w:lang w:eastAsia="es-ES"/>
        </w:rPr>
      </w:pPr>
      <w:r w:rsidRPr="00704103">
        <w:rPr>
          <w:rFonts w:ascii="Times New Roman" w:hAnsi="Times New Roman"/>
          <w:i/>
          <w:iCs/>
          <w:sz w:val="20"/>
          <w:szCs w:val="20"/>
          <w:lang w:eastAsia="es-ES"/>
        </w:rPr>
        <w:t xml:space="preserve">Corresponderá a la Secretaría de la Corte Suprema de Justicia, la obligación de llevar un registro electrónico de las Comisiones creadas en el Poder Judicial. </w:t>
      </w:r>
    </w:p>
    <w:p w14:paraId="27D1DCFA" w14:textId="26E5DEB6" w:rsidR="005B5F8D" w:rsidRPr="00704103" w:rsidRDefault="005B5F8D" w:rsidP="005B5F8D">
      <w:pPr>
        <w:autoSpaceDE w:val="0"/>
        <w:autoSpaceDN w:val="0"/>
        <w:spacing w:line="240" w:lineRule="auto"/>
        <w:ind w:left="794" w:right="567"/>
        <w:jc w:val="both"/>
        <w:rPr>
          <w:rFonts w:ascii="Times New Roman" w:hAnsi="Times New Roman"/>
          <w:b/>
          <w:bCs/>
          <w:i/>
          <w:iCs/>
          <w:sz w:val="20"/>
          <w:szCs w:val="20"/>
          <w:lang w:eastAsia="es-ES"/>
        </w:rPr>
      </w:pPr>
      <w:r w:rsidRPr="00704103">
        <w:rPr>
          <w:rFonts w:ascii="Times New Roman" w:hAnsi="Times New Roman"/>
          <w:b/>
          <w:bCs/>
          <w:i/>
          <w:iCs/>
          <w:sz w:val="20"/>
          <w:szCs w:val="20"/>
          <w:lang w:eastAsia="es-ES"/>
        </w:rPr>
        <w:t>Artículo 54. Del contenido del Registro:</w:t>
      </w:r>
    </w:p>
    <w:p w14:paraId="483796D4" w14:textId="77777777" w:rsidR="005B5F8D" w:rsidRPr="00704103" w:rsidRDefault="005B5F8D" w:rsidP="005B5F8D">
      <w:pPr>
        <w:autoSpaceDE w:val="0"/>
        <w:autoSpaceDN w:val="0"/>
        <w:spacing w:line="240" w:lineRule="auto"/>
        <w:ind w:left="794" w:right="567" w:firstLine="709"/>
        <w:jc w:val="both"/>
        <w:rPr>
          <w:rFonts w:ascii="Times New Roman" w:hAnsi="Times New Roman"/>
          <w:i/>
          <w:iCs/>
          <w:sz w:val="20"/>
          <w:szCs w:val="20"/>
          <w:lang w:eastAsia="es-ES"/>
        </w:rPr>
      </w:pPr>
      <w:r w:rsidRPr="00704103">
        <w:rPr>
          <w:rFonts w:ascii="Times New Roman" w:hAnsi="Times New Roman"/>
          <w:i/>
          <w:iCs/>
          <w:sz w:val="20"/>
          <w:szCs w:val="20"/>
          <w:lang w:eastAsia="es-ES"/>
        </w:rPr>
        <w:t>El registro de comisiones del Poder Judicial, deberá contener al menos la siguiente información:</w:t>
      </w:r>
    </w:p>
    <w:p w14:paraId="4344F7B1" w14:textId="77777777" w:rsidR="005B5F8D" w:rsidRPr="00704103" w:rsidRDefault="005B5F8D" w:rsidP="005B5F8D">
      <w:pPr>
        <w:autoSpaceDE w:val="0"/>
        <w:autoSpaceDN w:val="0"/>
        <w:spacing w:line="240" w:lineRule="auto"/>
        <w:ind w:left="794" w:right="567"/>
        <w:jc w:val="both"/>
        <w:rPr>
          <w:rFonts w:ascii="Times New Roman" w:hAnsi="Times New Roman"/>
          <w:i/>
          <w:iCs/>
          <w:sz w:val="20"/>
          <w:szCs w:val="20"/>
          <w:lang w:eastAsia="es-ES_tradnl"/>
        </w:rPr>
      </w:pPr>
      <w:r w:rsidRPr="00704103">
        <w:rPr>
          <w:rFonts w:ascii="Times New Roman" w:hAnsi="Times New Roman"/>
          <w:i/>
          <w:iCs/>
          <w:sz w:val="20"/>
          <w:szCs w:val="20"/>
          <w:lang w:eastAsia="es-ES_tradnl"/>
        </w:rPr>
        <w:t>1.      Número de acuerdo que dispuso la creación de la respectiva Comisión</w:t>
      </w:r>
    </w:p>
    <w:p w14:paraId="47DF2BEC" w14:textId="77777777" w:rsidR="005B5F8D" w:rsidRPr="00704103" w:rsidRDefault="005B5F8D" w:rsidP="005B5F8D">
      <w:pPr>
        <w:autoSpaceDE w:val="0"/>
        <w:autoSpaceDN w:val="0"/>
        <w:spacing w:line="240" w:lineRule="auto"/>
        <w:ind w:left="794" w:right="567"/>
        <w:jc w:val="both"/>
        <w:rPr>
          <w:rFonts w:ascii="Times New Roman" w:hAnsi="Times New Roman"/>
          <w:i/>
          <w:iCs/>
          <w:sz w:val="20"/>
          <w:szCs w:val="20"/>
          <w:lang w:eastAsia="es-ES_tradnl"/>
        </w:rPr>
      </w:pPr>
      <w:r w:rsidRPr="00704103">
        <w:rPr>
          <w:rFonts w:ascii="Times New Roman" w:hAnsi="Times New Roman"/>
          <w:i/>
          <w:iCs/>
          <w:sz w:val="20"/>
          <w:szCs w:val="20"/>
          <w:lang w:eastAsia="es-ES_tradnl"/>
        </w:rPr>
        <w:t>2.      Objeto de la Comisión.</w:t>
      </w:r>
    </w:p>
    <w:p w14:paraId="57A4E8C8" w14:textId="77777777" w:rsidR="005B5F8D" w:rsidRPr="00704103" w:rsidRDefault="005B5F8D" w:rsidP="005B5F8D">
      <w:pPr>
        <w:autoSpaceDE w:val="0"/>
        <w:autoSpaceDN w:val="0"/>
        <w:spacing w:line="240" w:lineRule="auto"/>
        <w:ind w:left="794" w:right="567"/>
        <w:jc w:val="both"/>
        <w:rPr>
          <w:rFonts w:ascii="Times New Roman" w:hAnsi="Times New Roman"/>
          <w:i/>
          <w:iCs/>
          <w:sz w:val="20"/>
          <w:szCs w:val="20"/>
          <w:lang w:eastAsia="es-ES_tradnl"/>
        </w:rPr>
      </w:pPr>
      <w:r w:rsidRPr="00704103">
        <w:rPr>
          <w:rFonts w:ascii="Times New Roman" w:hAnsi="Times New Roman"/>
          <w:i/>
          <w:iCs/>
          <w:sz w:val="20"/>
          <w:szCs w:val="20"/>
          <w:lang w:eastAsia="es-ES_tradnl"/>
        </w:rPr>
        <w:t>3.      Personas integrantes de la Comisión y cambios operados en la integración, así como fecha de su designación.</w:t>
      </w:r>
    </w:p>
    <w:p w14:paraId="6C8317A5" w14:textId="77777777" w:rsidR="005B5F8D" w:rsidRPr="00704103" w:rsidRDefault="005B5F8D" w:rsidP="005B5F8D">
      <w:pPr>
        <w:autoSpaceDE w:val="0"/>
        <w:autoSpaceDN w:val="0"/>
        <w:spacing w:line="240" w:lineRule="auto"/>
        <w:ind w:left="794" w:right="567"/>
        <w:jc w:val="both"/>
        <w:rPr>
          <w:rFonts w:ascii="Times New Roman" w:hAnsi="Times New Roman"/>
          <w:i/>
          <w:iCs/>
          <w:sz w:val="20"/>
          <w:szCs w:val="20"/>
          <w:lang w:eastAsia="es-ES_tradnl"/>
        </w:rPr>
      </w:pPr>
      <w:r w:rsidRPr="00704103">
        <w:rPr>
          <w:rFonts w:ascii="Times New Roman" w:hAnsi="Times New Roman"/>
          <w:i/>
          <w:iCs/>
          <w:sz w:val="20"/>
          <w:szCs w:val="20"/>
          <w:lang w:eastAsia="es-ES_tradnl"/>
        </w:rPr>
        <w:lastRenderedPageBreak/>
        <w:t xml:space="preserve">4.      Persona que fue designada como Presidente o Presidenta. </w:t>
      </w:r>
    </w:p>
    <w:p w14:paraId="7C2F10B8" w14:textId="77777777" w:rsidR="005B5F8D" w:rsidRPr="00704103" w:rsidRDefault="005B5F8D" w:rsidP="005B5F8D">
      <w:pPr>
        <w:autoSpaceDE w:val="0"/>
        <w:autoSpaceDN w:val="0"/>
        <w:spacing w:line="240" w:lineRule="auto"/>
        <w:ind w:left="794" w:right="567"/>
        <w:jc w:val="both"/>
        <w:rPr>
          <w:rFonts w:ascii="Times New Roman" w:hAnsi="Times New Roman"/>
          <w:i/>
          <w:iCs/>
          <w:sz w:val="20"/>
          <w:szCs w:val="20"/>
          <w:lang w:eastAsia="es-ES_tradnl"/>
        </w:rPr>
      </w:pPr>
      <w:r w:rsidRPr="00704103">
        <w:rPr>
          <w:rFonts w:ascii="Times New Roman" w:hAnsi="Times New Roman"/>
          <w:i/>
          <w:iCs/>
          <w:sz w:val="20"/>
          <w:szCs w:val="20"/>
          <w:lang w:eastAsia="es-ES_tradnl"/>
        </w:rPr>
        <w:t xml:space="preserve">5.      Vigencia de la comisión.  </w:t>
      </w:r>
    </w:p>
    <w:p w14:paraId="34A165BF" w14:textId="77777777" w:rsidR="005B5F8D" w:rsidRPr="00704103" w:rsidRDefault="005B5F8D" w:rsidP="005B5F8D">
      <w:pPr>
        <w:autoSpaceDE w:val="0"/>
        <w:autoSpaceDN w:val="0"/>
        <w:spacing w:line="240" w:lineRule="auto"/>
        <w:ind w:left="794" w:right="567"/>
        <w:jc w:val="both"/>
        <w:rPr>
          <w:rFonts w:ascii="Times New Roman" w:hAnsi="Times New Roman"/>
          <w:i/>
          <w:iCs/>
          <w:sz w:val="20"/>
          <w:szCs w:val="20"/>
          <w:lang w:eastAsia="es-ES_tradnl"/>
        </w:rPr>
      </w:pPr>
      <w:r w:rsidRPr="00704103">
        <w:rPr>
          <w:rFonts w:ascii="Times New Roman" w:hAnsi="Times New Roman"/>
          <w:i/>
          <w:iCs/>
          <w:sz w:val="20"/>
          <w:szCs w:val="20"/>
          <w:lang w:eastAsia="es-ES_tradnl"/>
        </w:rPr>
        <w:t>6.      Los planes de trabajo de las Comisiones.</w:t>
      </w:r>
    </w:p>
    <w:p w14:paraId="2EC91074" w14:textId="77777777" w:rsidR="005B5F8D" w:rsidRPr="00704103" w:rsidRDefault="005B5F8D" w:rsidP="005B5F8D">
      <w:pPr>
        <w:autoSpaceDE w:val="0"/>
        <w:autoSpaceDN w:val="0"/>
        <w:spacing w:line="240" w:lineRule="auto"/>
        <w:ind w:left="794" w:right="567"/>
        <w:jc w:val="both"/>
        <w:rPr>
          <w:rFonts w:ascii="Times New Roman" w:hAnsi="Times New Roman"/>
          <w:i/>
          <w:iCs/>
          <w:sz w:val="20"/>
          <w:szCs w:val="20"/>
          <w:lang w:eastAsia="es-ES_tradnl"/>
        </w:rPr>
      </w:pPr>
      <w:r w:rsidRPr="00704103">
        <w:rPr>
          <w:rFonts w:ascii="Times New Roman" w:hAnsi="Times New Roman"/>
          <w:i/>
          <w:iCs/>
          <w:sz w:val="20"/>
          <w:szCs w:val="20"/>
          <w:lang w:eastAsia="es-ES_tradnl"/>
        </w:rPr>
        <w:t>7.      Los informes que presenten las Comisiones o sus personas integrantes.</w:t>
      </w:r>
    </w:p>
    <w:p w14:paraId="7288F13A" w14:textId="77777777" w:rsidR="005B5F8D" w:rsidRPr="00704103" w:rsidRDefault="005B5F8D" w:rsidP="005B5F8D">
      <w:pPr>
        <w:autoSpaceDE w:val="0"/>
        <w:autoSpaceDN w:val="0"/>
        <w:spacing w:line="240" w:lineRule="auto"/>
        <w:ind w:left="794" w:right="567"/>
        <w:jc w:val="both"/>
        <w:rPr>
          <w:rFonts w:ascii="Times New Roman" w:hAnsi="Times New Roman"/>
          <w:i/>
          <w:iCs/>
          <w:sz w:val="20"/>
          <w:szCs w:val="20"/>
          <w:lang w:eastAsia="es-ES_tradnl"/>
        </w:rPr>
      </w:pPr>
      <w:r w:rsidRPr="00704103">
        <w:rPr>
          <w:rFonts w:ascii="Times New Roman" w:hAnsi="Times New Roman"/>
          <w:i/>
          <w:iCs/>
          <w:sz w:val="20"/>
          <w:szCs w:val="20"/>
          <w:lang w:eastAsia="es-ES_tradnl"/>
        </w:rPr>
        <w:t xml:space="preserve">8.      La cuenta electrónica de cada comisión. </w:t>
      </w:r>
    </w:p>
    <w:p w14:paraId="005A990F" w14:textId="77777777" w:rsidR="005B5F8D" w:rsidRPr="00704103" w:rsidRDefault="005B5F8D" w:rsidP="005B5F8D">
      <w:pPr>
        <w:autoSpaceDE w:val="0"/>
        <w:autoSpaceDN w:val="0"/>
        <w:spacing w:line="240" w:lineRule="auto"/>
        <w:ind w:left="794" w:right="567" w:firstLine="709"/>
        <w:jc w:val="both"/>
        <w:rPr>
          <w:rFonts w:ascii="Times New Roman" w:hAnsi="Times New Roman"/>
          <w:i/>
          <w:iCs/>
          <w:sz w:val="20"/>
          <w:szCs w:val="20"/>
          <w:lang w:eastAsia="es-ES"/>
        </w:rPr>
      </w:pPr>
      <w:r w:rsidRPr="00704103">
        <w:rPr>
          <w:rFonts w:ascii="Times New Roman" w:hAnsi="Times New Roman"/>
          <w:i/>
          <w:iCs/>
          <w:sz w:val="20"/>
          <w:szCs w:val="20"/>
          <w:lang w:eastAsia="es-ES"/>
        </w:rPr>
        <w:t xml:space="preserve">Dicho registro deberá ser realizado de manera electrónica por parte del órgano responsable y deberá mantenerse debidamente actualizado.  </w:t>
      </w:r>
    </w:p>
    <w:p w14:paraId="2EAE96FD" w14:textId="77777777" w:rsidR="005B5F8D" w:rsidRDefault="005B5F8D" w:rsidP="005B5F8D">
      <w:pPr>
        <w:autoSpaceDE w:val="0"/>
        <w:autoSpaceDN w:val="0"/>
        <w:ind w:left="851" w:right="851" w:firstLine="709"/>
        <w:jc w:val="both"/>
        <w:rPr>
          <w:rFonts w:ascii="Times New Roman" w:hAnsi="Times New Roman"/>
          <w:sz w:val="24"/>
          <w:szCs w:val="24"/>
          <w:lang w:eastAsia="es-ES"/>
        </w:rPr>
      </w:pPr>
    </w:p>
    <w:p w14:paraId="247C6CE1" w14:textId="4537D8B0" w:rsidR="005B5F8D" w:rsidRDefault="005B5F8D" w:rsidP="005B5F8D">
      <w:pPr>
        <w:spacing w:after="0" w:line="240" w:lineRule="auto"/>
        <w:jc w:val="both"/>
        <w:rPr>
          <w:rFonts w:ascii="Arial" w:eastAsia="Times New Roman" w:hAnsi="Arial" w:cs="Arial"/>
          <w:lang w:eastAsia="es-ES"/>
        </w:rPr>
      </w:pPr>
      <w:r w:rsidRPr="00A124E7">
        <w:rPr>
          <w:rFonts w:ascii="Arial" w:eastAsia="Times New Roman" w:hAnsi="Arial" w:cs="Arial"/>
          <w:b/>
          <w:bCs/>
          <w:lang w:eastAsia="es-ES"/>
        </w:rPr>
        <w:t>Se acuerda:</w:t>
      </w:r>
      <w:r w:rsidRPr="00A124E7">
        <w:rPr>
          <w:rFonts w:ascii="Arial" w:eastAsia="Times New Roman" w:hAnsi="Arial" w:cs="Arial"/>
          <w:lang w:eastAsia="es-ES"/>
        </w:rPr>
        <w:t xml:space="preserve"> </w:t>
      </w:r>
      <w:r w:rsidRPr="00A124E7">
        <w:rPr>
          <w:rFonts w:ascii="Arial" w:eastAsia="Times New Roman" w:hAnsi="Arial" w:cs="Arial"/>
          <w:b/>
          <w:bCs/>
          <w:lang w:eastAsia="es-ES"/>
        </w:rPr>
        <w:t>1)</w:t>
      </w:r>
      <w:r w:rsidRPr="00A124E7">
        <w:rPr>
          <w:rFonts w:ascii="Arial" w:eastAsia="Times New Roman" w:hAnsi="Arial" w:cs="Arial"/>
          <w:lang w:eastAsia="es-ES"/>
        </w:rPr>
        <w:t xml:space="preserve"> </w:t>
      </w:r>
      <w:r w:rsidR="00D85847">
        <w:rPr>
          <w:rFonts w:ascii="Arial" w:eastAsia="Times New Roman" w:hAnsi="Arial" w:cs="Arial"/>
          <w:lang w:eastAsia="es-ES"/>
        </w:rPr>
        <w:t>Solicitar al Subproceso de Gestión de la Continuidad del Servicio, la realización del oficio para presentar a la Secretaría General de la Corte</w:t>
      </w:r>
      <w:r w:rsidR="00F16CA9">
        <w:rPr>
          <w:rFonts w:ascii="Arial" w:eastAsia="Times New Roman" w:hAnsi="Arial" w:cs="Arial"/>
          <w:lang w:eastAsia="es-ES"/>
        </w:rPr>
        <w:t>,</w:t>
      </w:r>
      <w:r w:rsidR="00D85847">
        <w:rPr>
          <w:rFonts w:ascii="Arial" w:eastAsia="Times New Roman" w:hAnsi="Arial" w:cs="Arial"/>
          <w:lang w:eastAsia="es-ES"/>
        </w:rPr>
        <w:t xml:space="preserve"> </w:t>
      </w:r>
      <w:r w:rsidR="009F2E50">
        <w:rPr>
          <w:rFonts w:ascii="Arial" w:eastAsia="Times New Roman" w:hAnsi="Arial" w:cs="Arial"/>
          <w:lang w:eastAsia="es-ES"/>
        </w:rPr>
        <w:t xml:space="preserve">el registro </w:t>
      </w:r>
      <w:r w:rsidR="002234B5">
        <w:rPr>
          <w:rFonts w:ascii="Arial" w:eastAsia="Times New Roman" w:hAnsi="Arial" w:cs="Arial"/>
          <w:lang w:eastAsia="es-ES"/>
        </w:rPr>
        <w:t xml:space="preserve">formal </w:t>
      </w:r>
      <w:r w:rsidR="009F2E50">
        <w:rPr>
          <w:rFonts w:ascii="Arial" w:eastAsia="Times New Roman" w:hAnsi="Arial" w:cs="Arial"/>
          <w:lang w:eastAsia="es-ES"/>
        </w:rPr>
        <w:t xml:space="preserve">del CTCSPJ </w:t>
      </w:r>
      <w:r w:rsidR="002234B5">
        <w:rPr>
          <w:rFonts w:ascii="Arial" w:eastAsia="Times New Roman" w:hAnsi="Arial" w:cs="Arial"/>
          <w:lang w:eastAsia="es-ES"/>
        </w:rPr>
        <w:t xml:space="preserve">como una comisión </w:t>
      </w:r>
      <w:r w:rsidR="00932001">
        <w:rPr>
          <w:rFonts w:ascii="Arial" w:eastAsia="Times New Roman" w:hAnsi="Arial" w:cs="Arial"/>
          <w:lang w:eastAsia="es-ES"/>
        </w:rPr>
        <w:t>especial</w:t>
      </w:r>
      <w:r w:rsidR="00CE437C">
        <w:rPr>
          <w:rFonts w:ascii="Arial" w:eastAsia="Times New Roman" w:hAnsi="Arial" w:cs="Arial"/>
          <w:lang w:eastAsia="es-ES"/>
        </w:rPr>
        <w:t xml:space="preserve"> (con carácter permanente)</w:t>
      </w:r>
      <w:r w:rsidR="00F16CA9">
        <w:rPr>
          <w:rFonts w:ascii="Arial" w:eastAsia="Times New Roman" w:hAnsi="Arial" w:cs="Arial"/>
          <w:lang w:eastAsia="es-ES"/>
        </w:rPr>
        <w:t>,</w:t>
      </w:r>
      <w:r w:rsidR="00A25ECE">
        <w:rPr>
          <w:rFonts w:ascii="Arial" w:eastAsia="Times New Roman" w:hAnsi="Arial" w:cs="Arial"/>
          <w:lang w:eastAsia="es-ES"/>
        </w:rPr>
        <w:t xml:space="preserve"> según lo establecido en los artículos 11 y 14 del Reglamento </w:t>
      </w:r>
      <w:r w:rsidR="00A25ECE" w:rsidRPr="00A25ECE">
        <w:rPr>
          <w:rFonts w:ascii="Arial" w:eastAsia="Times New Roman" w:hAnsi="Arial" w:cs="Arial"/>
          <w:lang w:eastAsia="es-ES"/>
        </w:rPr>
        <w:t>General de Comisiones del Poder Judicial</w:t>
      </w:r>
      <w:r w:rsidR="002234B5">
        <w:rPr>
          <w:rFonts w:ascii="Arial" w:eastAsia="Times New Roman" w:hAnsi="Arial" w:cs="Arial"/>
          <w:lang w:eastAsia="es-ES"/>
        </w:rPr>
        <w:t>, creada por el Consejo Superior</w:t>
      </w:r>
      <w:r w:rsidR="00A320D9">
        <w:rPr>
          <w:rFonts w:ascii="Arial" w:eastAsia="Times New Roman" w:hAnsi="Arial" w:cs="Arial"/>
          <w:lang w:eastAsia="es-ES"/>
        </w:rPr>
        <w:t xml:space="preserve"> según acuerdo</w:t>
      </w:r>
      <w:r w:rsidR="00853A39">
        <w:rPr>
          <w:rFonts w:ascii="Arial" w:eastAsia="Times New Roman" w:hAnsi="Arial" w:cs="Arial"/>
          <w:lang w:eastAsia="es-ES"/>
        </w:rPr>
        <w:t xml:space="preserve"> de </w:t>
      </w:r>
      <w:r w:rsidR="00853A39">
        <w:rPr>
          <w:rFonts w:ascii="Arial" w:hAnsi="Arial" w:cs="Arial"/>
        </w:rPr>
        <w:t xml:space="preserve">la sesión </w:t>
      </w:r>
      <w:r w:rsidR="00853A39">
        <w:rPr>
          <w:rFonts w:ascii="Arial" w:hAnsi="Arial" w:cs="Arial"/>
          <w:b/>
          <w:bCs/>
        </w:rPr>
        <w:t xml:space="preserve">N° 48-2022 </w:t>
      </w:r>
      <w:r w:rsidR="00853A39">
        <w:rPr>
          <w:rFonts w:ascii="Arial" w:hAnsi="Arial" w:cs="Arial"/>
        </w:rPr>
        <w:t xml:space="preserve">celebrada el </w:t>
      </w:r>
      <w:r w:rsidR="00853A39">
        <w:rPr>
          <w:rFonts w:ascii="Arial" w:hAnsi="Arial" w:cs="Arial"/>
          <w:b/>
          <w:bCs/>
        </w:rPr>
        <w:t>7 de junio del 2022, artículo LXXV</w:t>
      </w:r>
      <w:r w:rsidR="00A25ECE">
        <w:rPr>
          <w:rFonts w:ascii="Arial" w:eastAsia="Times New Roman" w:hAnsi="Arial" w:cs="Arial"/>
          <w:lang w:eastAsia="es-ES"/>
        </w:rPr>
        <w:t>.</w:t>
      </w:r>
      <w:r w:rsidR="00A320D9">
        <w:rPr>
          <w:rFonts w:ascii="Arial" w:eastAsia="Times New Roman" w:hAnsi="Arial" w:cs="Arial"/>
          <w:lang w:eastAsia="es-ES"/>
        </w:rPr>
        <w:t xml:space="preserve"> </w:t>
      </w:r>
      <w:r w:rsidR="00A320D9" w:rsidRPr="00A25ECE">
        <w:rPr>
          <w:rFonts w:ascii="Arial" w:eastAsia="Times New Roman" w:hAnsi="Arial" w:cs="Arial"/>
          <w:b/>
          <w:bCs/>
          <w:lang w:eastAsia="es-ES"/>
        </w:rPr>
        <w:t>2)</w:t>
      </w:r>
      <w:r w:rsidR="00704103">
        <w:rPr>
          <w:rFonts w:ascii="Arial" w:eastAsia="Times New Roman" w:hAnsi="Arial" w:cs="Arial"/>
          <w:b/>
          <w:bCs/>
          <w:lang w:eastAsia="es-ES"/>
        </w:rPr>
        <w:t xml:space="preserve"> </w:t>
      </w:r>
      <w:r w:rsidR="00A320D9">
        <w:rPr>
          <w:rFonts w:ascii="Arial" w:eastAsia="Times New Roman" w:hAnsi="Arial" w:cs="Arial"/>
          <w:lang w:eastAsia="es-ES"/>
        </w:rPr>
        <w:t>Para los efectos</w:t>
      </w:r>
      <w:r w:rsidR="00F16CA9">
        <w:rPr>
          <w:rFonts w:ascii="Arial" w:eastAsia="Times New Roman" w:hAnsi="Arial" w:cs="Arial"/>
          <w:lang w:eastAsia="es-ES"/>
        </w:rPr>
        <w:t>,</w:t>
      </w:r>
      <w:r w:rsidR="00A320D9">
        <w:rPr>
          <w:rFonts w:ascii="Arial" w:eastAsia="Times New Roman" w:hAnsi="Arial" w:cs="Arial"/>
          <w:lang w:eastAsia="es-ES"/>
        </w:rPr>
        <w:t xml:space="preserve"> el Subproceso de Gestión de Continuidad del Servicio</w:t>
      </w:r>
      <w:r w:rsidR="00704103">
        <w:rPr>
          <w:rFonts w:ascii="Arial" w:eastAsia="Times New Roman" w:hAnsi="Arial" w:cs="Arial"/>
          <w:lang w:eastAsia="es-ES"/>
        </w:rPr>
        <w:t>, en su función de</w:t>
      </w:r>
      <w:r w:rsidR="00A320D9">
        <w:rPr>
          <w:rFonts w:ascii="Arial" w:eastAsia="Times New Roman" w:hAnsi="Arial" w:cs="Arial"/>
          <w:lang w:eastAsia="es-ES"/>
        </w:rPr>
        <w:t xml:space="preserve"> Secretaría del Comité</w:t>
      </w:r>
      <w:r w:rsidR="00704103">
        <w:rPr>
          <w:rFonts w:ascii="Arial" w:eastAsia="Times New Roman" w:hAnsi="Arial" w:cs="Arial"/>
          <w:lang w:eastAsia="es-ES"/>
        </w:rPr>
        <w:t xml:space="preserve">, deberá </w:t>
      </w:r>
      <w:r w:rsidR="00A320D9">
        <w:rPr>
          <w:rFonts w:ascii="Arial" w:eastAsia="Times New Roman" w:hAnsi="Arial" w:cs="Arial"/>
          <w:lang w:eastAsia="es-ES"/>
        </w:rPr>
        <w:t xml:space="preserve">aplicar </w:t>
      </w:r>
      <w:r w:rsidR="00766920">
        <w:rPr>
          <w:rFonts w:ascii="Arial" w:eastAsia="Times New Roman" w:hAnsi="Arial" w:cs="Arial"/>
          <w:lang w:eastAsia="es-ES"/>
        </w:rPr>
        <w:t xml:space="preserve">el reglamento para la </w:t>
      </w:r>
      <w:r w:rsidR="005C110B">
        <w:rPr>
          <w:rFonts w:ascii="Arial" w:eastAsia="Times New Roman" w:hAnsi="Arial" w:cs="Arial"/>
          <w:lang w:eastAsia="es-ES"/>
        </w:rPr>
        <w:t>organización</w:t>
      </w:r>
      <w:r w:rsidR="00766920">
        <w:rPr>
          <w:rFonts w:ascii="Arial" w:eastAsia="Times New Roman" w:hAnsi="Arial" w:cs="Arial"/>
          <w:lang w:eastAsia="es-ES"/>
        </w:rPr>
        <w:t xml:space="preserve"> y funcionamiento de este Comité.</w:t>
      </w:r>
      <w:r w:rsidR="00735186">
        <w:rPr>
          <w:rFonts w:ascii="Arial" w:eastAsia="Times New Roman" w:hAnsi="Arial" w:cs="Arial"/>
          <w:lang w:eastAsia="es-ES"/>
        </w:rPr>
        <w:t xml:space="preserve"> </w:t>
      </w:r>
      <w:r w:rsidR="00735186" w:rsidRPr="00735186">
        <w:rPr>
          <w:rFonts w:ascii="Arial" w:eastAsia="Times New Roman" w:hAnsi="Arial" w:cs="Arial"/>
          <w:b/>
          <w:bCs/>
          <w:lang w:eastAsia="es-ES"/>
        </w:rPr>
        <w:t>ACUERDO FIRME.</w:t>
      </w:r>
    </w:p>
    <w:p w14:paraId="22A4D7A7" w14:textId="77777777" w:rsidR="00910142" w:rsidRDefault="00910142" w:rsidP="00D3486F">
      <w:pPr>
        <w:spacing w:after="0" w:line="240" w:lineRule="auto"/>
        <w:jc w:val="both"/>
        <w:rPr>
          <w:rFonts w:ascii="Arial" w:eastAsia="Times New Roman" w:hAnsi="Arial" w:cs="Arial"/>
          <w:lang w:eastAsia="es-ES"/>
        </w:rPr>
      </w:pPr>
    </w:p>
    <w:p w14:paraId="06D2ADC5" w14:textId="77777777" w:rsidR="00FD65AA" w:rsidRDefault="00FD65AA" w:rsidP="00D3486F">
      <w:pPr>
        <w:spacing w:after="0" w:line="240" w:lineRule="auto"/>
        <w:jc w:val="both"/>
        <w:rPr>
          <w:rFonts w:ascii="Arial" w:eastAsia="Times New Roman" w:hAnsi="Arial" w:cs="Arial"/>
          <w:lang w:eastAsia="es-ES"/>
        </w:rPr>
      </w:pPr>
    </w:p>
    <w:p w14:paraId="505FE7D9" w14:textId="77777777" w:rsidR="00384B91" w:rsidRDefault="00384B91" w:rsidP="00D3486F">
      <w:pPr>
        <w:spacing w:after="0" w:line="240" w:lineRule="auto"/>
        <w:jc w:val="both"/>
        <w:rPr>
          <w:rFonts w:ascii="Arial" w:eastAsia="Times New Roman" w:hAnsi="Arial" w:cs="Arial"/>
          <w:lang w:eastAsia="es-ES"/>
        </w:rPr>
      </w:pPr>
    </w:p>
    <w:p w14:paraId="5D1B9F00" w14:textId="168A02D2" w:rsidR="002244EF" w:rsidRDefault="002244EF" w:rsidP="002244EF">
      <w:pPr>
        <w:spacing w:after="0" w:line="240" w:lineRule="auto"/>
        <w:jc w:val="center"/>
        <w:rPr>
          <w:rFonts w:ascii="Arial" w:hAnsi="Arial" w:cs="Arial"/>
          <w:b/>
          <w:color w:val="2F5496"/>
        </w:rPr>
      </w:pPr>
      <w:r w:rsidRPr="00D3486F">
        <w:rPr>
          <w:rFonts w:ascii="Arial" w:hAnsi="Arial" w:cs="Arial"/>
          <w:b/>
          <w:color w:val="2F5496"/>
        </w:rPr>
        <w:t xml:space="preserve">ARTÍCULO </w:t>
      </w:r>
      <w:r>
        <w:rPr>
          <w:rFonts w:ascii="Arial" w:hAnsi="Arial" w:cs="Arial"/>
          <w:b/>
          <w:color w:val="2F5496"/>
        </w:rPr>
        <w:t>V</w:t>
      </w:r>
      <w:r w:rsidR="00FD65AA">
        <w:rPr>
          <w:rFonts w:ascii="Arial" w:hAnsi="Arial" w:cs="Arial"/>
          <w:b/>
          <w:color w:val="2F5496"/>
        </w:rPr>
        <w:t>I</w:t>
      </w:r>
    </w:p>
    <w:p w14:paraId="07AFB5B8" w14:textId="77777777" w:rsidR="002244EF" w:rsidRPr="00D3486F" w:rsidRDefault="002244EF" w:rsidP="002244EF">
      <w:pPr>
        <w:spacing w:after="0" w:line="240" w:lineRule="auto"/>
        <w:jc w:val="center"/>
        <w:rPr>
          <w:rFonts w:ascii="Arial" w:hAnsi="Arial" w:cs="Arial"/>
          <w:b/>
          <w:color w:val="2F5496"/>
        </w:rPr>
      </w:pPr>
    </w:p>
    <w:p w14:paraId="6EC96BDB" w14:textId="16491680" w:rsidR="009349EE" w:rsidRDefault="009349EE" w:rsidP="009349EE">
      <w:pPr>
        <w:spacing w:after="0" w:line="240" w:lineRule="auto"/>
        <w:jc w:val="both"/>
        <w:rPr>
          <w:rFonts w:ascii="Arial" w:eastAsia="Times New Roman" w:hAnsi="Arial" w:cs="Arial"/>
          <w:i/>
          <w:iCs/>
          <w:lang w:eastAsia="es-ES"/>
        </w:rPr>
      </w:pPr>
      <w:r>
        <w:rPr>
          <w:rFonts w:ascii="Arial" w:eastAsia="Times New Roman" w:hAnsi="Arial" w:cs="Arial"/>
          <w:lang w:eastAsia="es-ES"/>
        </w:rPr>
        <w:t xml:space="preserve">Se explica al Comité que los Sistemas de Gestión de la Continuidad entran en acción con poca frecuencia, pues solo se ponen en marcha por completo cuando se produce una interrupción. Debido a ello, la norma que aplica, hace hincapié en la necesidad de realizar pruebas o simulacros de continuidad, </w:t>
      </w:r>
      <w:r w:rsidRPr="009349EE">
        <w:rPr>
          <w:rFonts w:ascii="Arial" w:eastAsia="Times New Roman" w:hAnsi="Arial" w:cs="Arial"/>
          <w:lang w:eastAsia="es-ES"/>
        </w:rPr>
        <w:t>con el objetivo de validar el funcionamiento de los procedimientos vigentes disponibles, familiarizar a las diferentes personas involucradas en el proceso y verificar la capacidad de la</w:t>
      </w:r>
      <w:r>
        <w:rPr>
          <w:rFonts w:ascii="Arial" w:eastAsia="Times New Roman" w:hAnsi="Arial" w:cs="Arial"/>
          <w:lang w:eastAsia="es-ES"/>
        </w:rPr>
        <w:t>s</w:t>
      </w:r>
      <w:r w:rsidRPr="009349EE">
        <w:rPr>
          <w:rFonts w:ascii="Arial" w:eastAsia="Times New Roman" w:hAnsi="Arial" w:cs="Arial"/>
          <w:lang w:eastAsia="es-ES"/>
        </w:rPr>
        <w:t xml:space="preserve"> oficina</w:t>
      </w:r>
      <w:r>
        <w:rPr>
          <w:rFonts w:ascii="Arial" w:eastAsia="Times New Roman" w:hAnsi="Arial" w:cs="Arial"/>
          <w:lang w:eastAsia="es-ES"/>
        </w:rPr>
        <w:t>s o despachos</w:t>
      </w:r>
      <w:r w:rsidRPr="009349EE">
        <w:rPr>
          <w:rFonts w:ascii="Arial" w:eastAsia="Times New Roman" w:hAnsi="Arial" w:cs="Arial"/>
          <w:lang w:eastAsia="es-ES"/>
        </w:rPr>
        <w:t xml:space="preserve"> para continuar brindando el servicio durante una contingencia</w:t>
      </w:r>
      <w:r w:rsidR="00935C73">
        <w:rPr>
          <w:rFonts w:ascii="Arial" w:eastAsia="Times New Roman" w:hAnsi="Arial" w:cs="Arial"/>
          <w:lang w:eastAsia="es-ES"/>
        </w:rPr>
        <w:t xml:space="preserve"> (</w:t>
      </w:r>
      <w:r w:rsidR="00935C73" w:rsidRPr="004E5E48">
        <w:rPr>
          <w:rFonts w:ascii="Arial" w:eastAsia="Times New Roman" w:hAnsi="Arial" w:cs="Arial"/>
          <w:lang w:eastAsia="es-ES"/>
        </w:rPr>
        <w:t>INTE ISO 22313-2015-SGCN</w:t>
      </w:r>
      <w:r w:rsidR="00935C73">
        <w:rPr>
          <w:rFonts w:ascii="Arial" w:eastAsia="Times New Roman" w:hAnsi="Arial" w:cs="Arial"/>
          <w:lang w:eastAsia="es-ES"/>
        </w:rPr>
        <w:t>)</w:t>
      </w:r>
      <w:r w:rsidRPr="009349EE">
        <w:rPr>
          <w:rFonts w:ascii="Arial" w:eastAsia="Times New Roman" w:hAnsi="Arial" w:cs="Arial"/>
          <w:i/>
          <w:iCs/>
          <w:lang w:eastAsia="es-ES"/>
        </w:rPr>
        <w:t>.</w:t>
      </w:r>
    </w:p>
    <w:p w14:paraId="4C524216" w14:textId="77777777" w:rsidR="009349EE" w:rsidRDefault="009349EE" w:rsidP="009349EE">
      <w:pPr>
        <w:spacing w:after="0" w:line="240" w:lineRule="auto"/>
        <w:jc w:val="both"/>
        <w:rPr>
          <w:rFonts w:ascii="Arial" w:eastAsia="Times New Roman" w:hAnsi="Arial" w:cs="Arial"/>
          <w:lang w:eastAsia="es-ES"/>
        </w:rPr>
      </w:pPr>
    </w:p>
    <w:p w14:paraId="401605D5" w14:textId="3C3A0972" w:rsidR="009349EE" w:rsidRDefault="009349EE" w:rsidP="002244EF">
      <w:pPr>
        <w:spacing w:after="0" w:line="240" w:lineRule="auto"/>
        <w:jc w:val="both"/>
        <w:rPr>
          <w:rFonts w:ascii="Arial" w:hAnsi="Arial" w:cs="Arial"/>
          <w:lang w:val="es-ES"/>
        </w:rPr>
      </w:pPr>
      <w:r>
        <w:rPr>
          <w:rFonts w:ascii="Arial" w:hAnsi="Arial" w:cs="Arial"/>
          <w:lang w:val="es-ES"/>
        </w:rPr>
        <w:t>Al respecto</w:t>
      </w:r>
      <w:r w:rsidR="00384B91">
        <w:rPr>
          <w:rFonts w:ascii="Arial" w:hAnsi="Arial" w:cs="Arial"/>
          <w:lang w:val="es-ES"/>
        </w:rPr>
        <w:t xml:space="preserve">, </w:t>
      </w:r>
      <w:r w:rsidR="00384B91" w:rsidRPr="00AA3113">
        <w:rPr>
          <w:rFonts w:ascii="Arial" w:hAnsi="Arial" w:cs="Arial"/>
          <w:lang w:val="es-ES"/>
        </w:rPr>
        <w:t>se</w:t>
      </w:r>
      <w:r w:rsidR="00706004" w:rsidRPr="00AA3113">
        <w:rPr>
          <w:rFonts w:ascii="Arial" w:hAnsi="Arial" w:cs="Arial"/>
          <w:lang w:val="es-ES"/>
        </w:rPr>
        <w:t xml:space="preserve"> informa al Comité</w:t>
      </w:r>
      <w:r w:rsidR="00384B91" w:rsidRPr="00AA3113">
        <w:rPr>
          <w:rFonts w:ascii="Arial" w:hAnsi="Arial" w:cs="Arial"/>
          <w:lang w:val="es-ES"/>
        </w:rPr>
        <w:t xml:space="preserve"> sobre </w:t>
      </w:r>
      <w:r w:rsidR="00384B91">
        <w:rPr>
          <w:rFonts w:ascii="Arial" w:hAnsi="Arial" w:cs="Arial"/>
          <w:lang w:val="es-ES"/>
        </w:rPr>
        <w:t xml:space="preserve">la realización del primer ejercicio simulado en la </w:t>
      </w:r>
      <w:r w:rsidR="00384B91" w:rsidRPr="00384B91">
        <w:rPr>
          <w:rFonts w:ascii="Arial" w:hAnsi="Arial" w:cs="Arial"/>
          <w:b/>
          <w:bCs/>
          <w:lang w:val="es-ES"/>
        </w:rPr>
        <w:t>Oficina de Atención y Protección a la Victima del Delitos (OAPVD) – Programa 950</w:t>
      </w:r>
      <w:r w:rsidR="00384B91">
        <w:rPr>
          <w:rFonts w:ascii="Arial" w:hAnsi="Arial" w:cs="Arial"/>
          <w:lang w:val="es-ES"/>
        </w:rPr>
        <w:t>, donde</w:t>
      </w:r>
      <w:r w:rsidR="00706004">
        <w:rPr>
          <w:rFonts w:ascii="Arial" w:hAnsi="Arial" w:cs="Arial"/>
          <w:lang w:val="es-ES"/>
        </w:rPr>
        <w:t>,</w:t>
      </w:r>
      <w:r w:rsidR="00384B91">
        <w:rPr>
          <w:rFonts w:ascii="Arial" w:hAnsi="Arial" w:cs="Arial"/>
          <w:lang w:val="es-ES"/>
        </w:rPr>
        <w:t xml:space="preserve"> debido al interés expresado en los Talles de elaboración de planes de contingencia del Ministerio Público, se logró la coordinación para realizar un simulacro en la OAPVD del II Circuito Judicial de San José,</w:t>
      </w:r>
      <w:r w:rsidR="00E92266">
        <w:rPr>
          <w:rFonts w:ascii="Arial" w:hAnsi="Arial" w:cs="Arial"/>
          <w:lang w:val="es-ES"/>
        </w:rPr>
        <w:t xml:space="preserve"> el día 2</w:t>
      </w:r>
      <w:r w:rsidR="00F805EE">
        <w:rPr>
          <w:rFonts w:ascii="Arial" w:hAnsi="Arial" w:cs="Arial"/>
          <w:lang w:val="es-ES"/>
        </w:rPr>
        <w:t>4</w:t>
      </w:r>
      <w:r w:rsidR="00E92266">
        <w:rPr>
          <w:rFonts w:ascii="Arial" w:hAnsi="Arial" w:cs="Arial"/>
          <w:lang w:val="es-ES"/>
        </w:rPr>
        <w:t xml:space="preserve"> de noviembre</w:t>
      </w:r>
      <w:r w:rsidR="00704103">
        <w:rPr>
          <w:rFonts w:ascii="Arial" w:hAnsi="Arial" w:cs="Arial"/>
          <w:lang w:val="es-ES"/>
        </w:rPr>
        <w:t xml:space="preserve"> de 2022</w:t>
      </w:r>
      <w:r w:rsidR="00E92266">
        <w:rPr>
          <w:rFonts w:ascii="Arial" w:hAnsi="Arial" w:cs="Arial"/>
          <w:lang w:val="es-ES"/>
        </w:rPr>
        <w:t>,</w:t>
      </w:r>
      <w:r w:rsidR="00704103">
        <w:rPr>
          <w:rFonts w:ascii="Arial" w:hAnsi="Arial" w:cs="Arial"/>
          <w:lang w:val="es-ES"/>
        </w:rPr>
        <w:t xml:space="preserve"> considerando el escenario de indisponibilidad tecnológica total y teniendo presente que </w:t>
      </w:r>
      <w:r w:rsidR="00E92266">
        <w:rPr>
          <w:rFonts w:ascii="Arial" w:hAnsi="Arial" w:cs="Arial"/>
          <w:lang w:val="es-ES"/>
        </w:rPr>
        <w:t>est</w:t>
      </w:r>
      <w:r w:rsidR="00704103">
        <w:rPr>
          <w:rFonts w:ascii="Arial" w:hAnsi="Arial" w:cs="Arial"/>
          <w:lang w:val="es-ES"/>
        </w:rPr>
        <w:t>a</w:t>
      </w:r>
      <w:r w:rsidR="00E92266">
        <w:rPr>
          <w:rFonts w:ascii="Arial" w:hAnsi="Arial" w:cs="Arial"/>
          <w:lang w:val="es-ES"/>
        </w:rPr>
        <w:t xml:space="preserve"> oficina</w:t>
      </w:r>
      <w:r w:rsidR="00384B91">
        <w:rPr>
          <w:rFonts w:ascii="Arial" w:hAnsi="Arial" w:cs="Arial"/>
          <w:lang w:val="es-ES"/>
        </w:rPr>
        <w:t xml:space="preserve"> presenta la particularidad de tramitar </w:t>
      </w:r>
      <w:r w:rsidR="00E92266">
        <w:rPr>
          <w:rFonts w:ascii="Arial" w:hAnsi="Arial" w:cs="Arial"/>
          <w:lang w:val="es-ES"/>
        </w:rPr>
        <w:t xml:space="preserve">todos </w:t>
      </w:r>
      <w:r w:rsidR="00384B91">
        <w:rPr>
          <w:rFonts w:ascii="Arial" w:hAnsi="Arial" w:cs="Arial"/>
          <w:lang w:val="es-ES"/>
        </w:rPr>
        <w:t>sus procesos de manera electrónica.</w:t>
      </w:r>
    </w:p>
    <w:p w14:paraId="6FD659E4" w14:textId="77777777" w:rsidR="009349EE" w:rsidRDefault="009349EE" w:rsidP="002244EF">
      <w:pPr>
        <w:spacing w:after="0" w:line="240" w:lineRule="auto"/>
        <w:jc w:val="both"/>
        <w:rPr>
          <w:rFonts w:ascii="Arial" w:hAnsi="Arial" w:cs="Arial"/>
          <w:lang w:val="es-ES"/>
        </w:rPr>
      </w:pPr>
    </w:p>
    <w:p w14:paraId="2545A8CE" w14:textId="27EAA55B" w:rsidR="00384B91" w:rsidRDefault="00704103" w:rsidP="002244EF">
      <w:pPr>
        <w:spacing w:after="0" w:line="240" w:lineRule="auto"/>
        <w:jc w:val="both"/>
        <w:rPr>
          <w:rFonts w:ascii="Arial" w:hAnsi="Arial" w:cs="Arial"/>
          <w:lang w:val="es-ES"/>
        </w:rPr>
      </w:pPr>
      <w:r>
        <w:rPr>
          <w:rFonts w:ascii="Arial" w:hAnsi="Arial" w:cs="Arial"/>
          <w:lang w:val="es-ES"/>
        </w:rPr>
        <w:t>Para este simulacro, s</w:t>
      </w:r>
      <w:r w:rsidR="00384B91">
        <w:rPr>
          <w:rFonts w:ascii="Arial" w:hAnsi="Arial" w:cs="Arial"/>
          <w:lang w:val="es-ES"/>
        </w:rPr>
        <w:t>e realiza</w:t>
      </w:r>
      <w:r>
        <w:rPr>
          <w:rFonts w:ascii="Arial" w:hAnsi="Arial" w:cs="Arial"/>
          <w:lang w:val="es-ES"/>
        </w:rPr>
        <w:t>ron</w:t>
      </w:r>
      <w:r w:rsidR="00384B91">
        <w:rPr>
          <w:rFonts w:ascii="Arial" w:hAnsi="Arial" w:cs="Arial"/>
          <w:lang w:val="es-ES"/>
        </w:rPr>
        <w:t xml:space="preserve"> varias reuniones </w:t>
      </w:r>
      <w:r>
        <w:rPr>
          <w:rFonts w:ascii="Arial" w:hAnsi="Arial" w:cs="Arial"/>
          <w:lang w:val="es-ES"/>
        </w:rPr>
        <w:t>de</w:t>
      </w:r>
      <w:r w:rsidR="00384B91">
        <w:rPr>
          <w:rFonts w:ascii="Arial" w:hAnsi="Arial" w:cs="Arial"/>
          <w:lang w:val="es-ES"/>
        </w:rPr>
        <w:t xml:space="preserve"> </w:t>
      </w:r>
      <w:r w:rsidR="00E92266">
        <w:rPr>
          <w:rFonts w:ascii="Arial" w:hAnsi="Arial" w:cs="Arial"/>
          <w:lang w:val="es-ES"/>
        </w:rPr>
        <w:t>planifica</w:t>
      </w:r>
      <w:r>
        <w:rPr>
          <w:rFonts w:ascii="Arial" w:hAnsi="Arial" w:cs="Arial"/>
          <w:lang w:val="es-ES"/>
        </w:rPr>
        <w:t>ción</w:t>
      </w:r>
      <w:r w:rsidR="00E92266">
        <w:rPr>
          <w:rFonts w:ascii="Arial" w:hAnsi="Arial" w:cs="Arial"/>
          <w:lang w:val="es-ES"/>
        </w:rPr>
        <w:t xml:space="preserve"> y </w:t>
      </w:r>
      <w:r w:rsidR="00384B91">
        <w:rPr>
          <w:rFonts w:ascii="Arial" w:hAnsi="Arial" w:cs="Arial"/>
          <w:lang w:val="es-ES"/>
        </w:rPr>
        <w:t>coordina</w:t>
      </w:r>
      <w:r>
        <w:rPr>
          <w:rFonts w:ascii="Arial" w:hAnsi="Arial" w:cs="Arial"/>
          <w:lang w:val="es-ES"/>
        </w:rPr>
        <w:t>ción donde de establecieron las pautas de la</w:t>
      </w:r>
      <w:r w:rsidR="00384B91">
        <w:rPr>
          <w:rFonts w:ascii="Arial" w:hAnsi="Arial" w:cs="Arial"/>
          <w:lang w:val="es-ES"/>
        </w:rPr>
        <w:t xml:space="preserve"> dinámica, </w:t>
      </w:r>
      <w:r w:rsidR="004429BB">
        <w:rPr>
          <w:rFonts w:ascii="Arial" w:hAnsi="Arial" w:cs="Arial"/>
          <w:lang w:val="es-ES"/>
        </w:rPr>
        <w:t xml:space="preserve">el </w:t>
      </w:r>
      <w:r w:rsidR="00384B91">
        <w:rPr>
          <w:rFonts w:ascii="Arial" w:hAnsi="Arial" w:cs="Arial"/>
          <w:lang w:val="es-ES"/>
        </w:rPr>
        <w:t xml:space="preserve">escenario a simular y los controles de revisión necesarios para </w:t>
      </w:r>
      <w:r>
        <w:rPr>
          <w:rFonts w:ascii="Arial" w:hAnsi="Arial" w:cs="Arial"/>
          <w:lang w:val="es-ES"/>
        </w:rPr>
        <w:t>identificar posibles</w:t>
      </w:r>
      <w:r w:rsidR="00384B91">
        <w:rPr>
          <w:rFonts w:ascii="Arial" w:hAnsi="Arial" w:cs="Arial"/>
          <w:lang w:val="es-ES"/>
        </w:rPr>
        <w:t xml:space="preserve"> desviaciones en los p</w:t>
      </w:r>
      <w:r w:rsidR="00E92266">
        <w:rPr>
          <w:rFonts w:ascii="Arial" w:hAnsi="Arial" w:cs="Arial"/>
          <w:lang w:val="es-ES"/>
        </w:rPr>
        <w:t xml:space="preserve">lanes </w:t>
      </w:r>
      <w:r w:rsidR="00384B91">
        <w:rPr>
          <w:rFonts w:ascii="Arial" w:hAnsi="Arial" w:cs="Arial"/>
          <w:lang w:val="es-ES"/>
        </w:rPr>
        <w:t>previamente identificados.</w:t>
      </w:r>
    </w:p>
    <w:p w14:paraId="3FAD9EDE" w14:textId="02B485D7" w:rsidR="00384B91" w:rsidRDefault="00384B91" w:rsidP="002244EF">
      <w:pPr>
        <w:spacing w:after="0" w:line="240" w:lineRule="auto"/>
        <w:jc w:val="both"/>
        <w:rPr>
          <w:rFonts w:ascii="Arial" w:hAnsi="Arial" w:cs="Arial"/>
          <w:lang w:val="es-ES"/>
        </w:rPr>
      </w:pPr>
    </w:p>
    <w:p w14:paraId="627F3EC1" w14:textId="67B4B772" w:rsidR="00384B91" w:rsidRDefault="00E92266" w:rsidP="002244EF">
      <w:pPr>
        <w:spacing w:after="0" w:line="240" w:lineRule="auto"/>
        <w:jc w:val="both"/>
        <w:rPr>
          <w:rFonts w:ascii="Arial" w:hAnsi="Arial" w:cs="Arial"/>
          <w:lang w:val="es-ES"/>
        </w:rPr>
      </w:pPr>
      <w:r>
        <w:rPr>
          <w:rFonts w:ascii="Arial" w:hAnsi="Arial" w:cs="Arial"/>
          <w:lang w:val="es-ES"/>
        </w:rPr>
        <w:lastRenderedPageBreak/>
        <w:t>De manera adicional, s</w:t>
      </w:r>
      <w:r w:rsidR="00384B91">
        <w:rPr>
          <w:rFonts w:ascii="Arial" w:hAnsi="Arial" w:cs="Arial"/>
          <w:lang w:val="es-ES"/>
        </w:rPr>
        <w:t>e diseñ</w:t>
      </w:r>
      <w:r>
        <w:rPr>
          <w:rFonts w:ascii="Arial" w:hAnsi="Arial" w:cs="Arial"/>
          <w:lang w:val="es-ES"/>
        </w:rPr>
        <w:t>ó</w:t>
      </w:r>
      <w:r w:rsidR="00384B91">
        <w:rPr>
          <w:rFonts w:ascii="Arial" w:hAnsi="Arial" w:cs="Arial"/>
          <w:lang w:val="es-ES"/>
        </w:rPr>
        <w:t xml:space="preserve"> un banner y afiches para ubicar en las oficinas que se encuentren en simulacro, </w:t>
      </w:r>
      <w:r>
        <w:rPr>
          <w:rFonts w:ascii="Arial" w:hAnsi="Arial" w:cs="Arial"/>
          <w:lang w:val="es-ES"/>
        </w:rPr>
        <w:t xml:space="preserve">esto </w:t>
      </w:r>
      <w:r w:rsidR="00384B91">
        <w:rPr>
          <w:rFonts w:ascii="Arial" w:hAnsi="Arial" w:cs="Arial"/>
          <w:lang w:val="es-ES"/>
        </w:rPr>
        <w:t xml:space="preserve">con la finalidad de informar a la persona usuaria </w:t>
      </w:r>
      <w:r w:rsidR="00F75D89">
        <w:rPr>
          <w:rFonts w:ascii="Arial" w:hAnsi="Arial" w:cs="Arial"/>
          <w:lang w:val="es-ES"/>
        </w:rPr>
        <w:t xml:space="preserve">y a otras oficinas </w:t>
      </w:r>
      <w:r w:rsidR="00384B91">
        <w:rPr>
          <w:rFonts w:ascii="Arial" w:hAnsi="Arial" w:cs="Arial"/>
          <w:lang w:val="es-ES"/>
        </w:rPr>
        <w:t>sobre el ejercicio</w:t>
      </w:r>
      <w:r>
        <w:rPr>
          <w:rFonts w:ascii="Arial" w:hAnsi="Arial" w:cs="Arial"/>
          <w:lang w:val="es-ES"/>
        </w:rPr>
        <w:t xml:space="preserve"> que se está realizando</w:t>
      </w:r>
      <w:r w:rsidR="00704103">
        <w:rPr>
          <w:rFonts w:ascii="Arial" w:hAnsi="Arial" w:cs="Arial"/>
          <w:lang w:val="es-ES"/>
        </w:rPr>
        <w:t>.</w:t>
      </w:r>
    </w:p>
    <w:p w14:paraId="1AEE835B" w14:textId="4B3205F6" w:rsidR="009349EE" w:rsidRDefault="009349EE" w:rsidP="002244EF">
      <w:pPr>
        <w:spacing w:after="0" w:line="240" w:lineRule="auto"/>
        <w:jc w:val="both"/>
        <w:rPr>
          <w:rFonts w:ascii="Arial" w:hAnsi="Arial" w:cs="Arial"/>
          <w:lang w:val="es-ES"/>
        </w:rPr>
      </w:pPr>
    </w:p>
    <w:p w14:paraId="591B8848" w14:textId="7115F4A2" w:rsidR="009349EE" w:rsidRDefault="00AB2EED" w:rsidP="009349EE">
      <w:pPr>
        <w:spacing w:after="0" w:line="240" w:lineRule="auto"/>
        <w:jc w:val="center"/>
        <w:rPr>
          <w:rFonts w:ascii="Arial" w:hAnsi="Arial" w:cs="Arial"/>
          <w:lang w:val="es-ES"/>
        </w:rPr>
      </w:pPr>
      <w:r>
        <w:rPr>
          <w:noProof/>
        </w:rPr>
        <w:drawing>
          <wp:inline distT="0" distB="0" distL="0" distR="0" wp14:anchorId="449277B6" wp14:editId="025C70DE">
            <wp:extent cx="2628001" cy="1780546"/>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52669" cy="1797260"/>
                    </a:xfrm>
                    <a:prstGeom prst="rect">
                      <a:avLst/>
                    </a:prstGeom>
                  </pic:spPr>
                </pic:pic>
              </a:graphicData>
            </a:graphic>
          </wp:inline>
        </w:drawing>
      </w:r>
      <w:r w:rsidRPr="00AB2EED">
        <w:rPr>
          <w:noProof/>
        </w:rPr>
        <w:t xml:space="preserve"> </w:t>
      </w:r>
      <w:r>
        <w:rPr>
          <w:noProof/>
        </w:rPr>
        <w:drawing>
          <wp:inline distT="0" distB="0" distL="0" distR="0" wp14:anchorId="79C398E6" wp14:editId="563FBCE3">
            <wp:extent cx="2374710" cy="1781971"/>
            <wp:effectExtent l="0" t="0" r="6985" b="8890"/>
            <wp:docPr id="4" name="Imagen 4" descr="Grupo de personas posando para una f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Grupo de personas posando para una foto&#10;&#10;Descripción generada automáticamente"/>
                    <pic:cNvPicPr/>
                  </pic:nvPicPr>
                  <pic:blipFill>
                    <a:blip r:embed="rId19"/>
                    <a:stretch>
                      <a:fillRect/>
                    </a:stretch>
                  </pic:blipFill>
                  <pic:spPr>
                    <a:xfrm>
                      <a:off x="0" y="0"/>
                      <a:ext cx="2408592" cy="1807396"/>
                    </a:xfrm>
                    <a:prstGeom prst="rect">
                      <a:avLst/>
                    </a:prstGeom>
                  </pic:spPr>
                </pic:pic>
              </a:graphicData>
            </a:graphic>
          </wp:inline>
        </w:drawing>
      </w:r>
    </w:p>
    <w:p w14:paraId="678FB8DB" w14:textId="76253AE0" w:rsidR="00C45628" w:rsidRDefault="00C45628" w:rsidP="00D3486F">
      <w:pPr>
        <w:spacing w:after="0" w:line="240" w:lineRule="auto"/>
        <w:jc w:val="both"/>
        <w:rPr>
          <w:rFonts w:ascii="Arial" w:eastAsia="Times New Roman" w:hAnsi="Arial" w:cs="Arial"/>
          <w:lang w:eastAsia="es-ES"/>
        </w:rPr>
      </w:pPr>
    </w:p>
    <w:p w14:paraId="0D508CBA" w14:textId="11E7D4FF" w:rsidR="002244EF" w:rsidRDefault="002244EF" w:rsidP="00D3486F">
      <w:pPr>
        <w:spacing w:after="0" w:line="240" w:lineRule="auto"/>
        <w:jc w:val="both"/>
        <w:rPr>
          <w:rFonts w:ascii="Arial" w:eastAsia="Times New Roman" w:hAnsi="Arial" w:cs="Arial"/>
          <w:lang w:eastAsia="es-ES"/>
        </w:rPr>
      </w:pPr>
    </w:p>
    <w:p w14:paraId="4A29536E" w14:textId="0B17B00F" w:rsidR="002244EF" w:rsidRDefault="002244EF" w:rsidP="002244EF">
      <w:pPr>
        <w:spacing w:after="0" w:line="240" w:lineRule="auto"/>
        <w:jc w:val="both"/>
        <w:rPr>
          <w:rFonts w:ascii="Arial" w:eastAsia="Times New Roman" w:hAnsi="Arial" w:cs="Arial"/>
          <w:lang w:eastAsia="es-ES"/>
        </w:rPr>
      </w:pPr>
      <w:r w:rsidRPr="00A124E7">
        <w:rPr>
          <w:rFonts w:ascii="Arial" w:eastAsia="Times New Roman" w:hAnsi="Arial" w:cs="Arial"/>
          <w:b/>
          <w:bCs/>
          <w:lang w:eastAsia="es-ES"/>
        </w:rPr>
        <w:t>Se acuerda:</w:t>
      </w:r>
      <w:r w:rsidRPr="00A124E7">
        <w:rPr>
          <w:rFonts w:ascii="Arial" w:eastAsia="Times New Roman" w:hAnsi="Arial" w:cs="Arial"/>
          <w:lang w:eastAsia="es-ES"/>
        </w:rPr>
        <w:t xml:space="preserve"> </w:t>
      </w:r>
      <w:r w:rsidRPr="00A124E7">
        <w:rPr>
          <w:rFonts w:ascii="Arial" w:eastAsia="Times New Roman" w:hAnsi="Arial" w:cs="Arial"/>
          <w:b/>
          <w:bCs/>
          <w:lang w:eastAsia="es-ES"/>
        </w:rPr>
        <w:t>1)</w:t>
      </w:r>
      <w:r w:rsidRPr="00A124E7">
        <w:rPr>
          <w:rFonts w:ascii="Arial" w:eastAsia="Times New Roman" w:hAnsi="Arial" w:cs="Arial"/>
          <w:lang w:eastAsia="es-ES"/>
        </w:rPr>
        <w:t xml:space="preserve"> Tomar nota </w:t>
      </w:r>
      <w:r>
        <w:rPr>
          <w:rFonts w:ascii="Arial" w:eastAsia="Times New Roman" w:hAnsi="Arial" w:cs="Arial"/>
          <w:lang w:eastAsia="es-ES"/>
        </w:rPr>
        <w:t>de</w:t>
      </w:r>
      <w:r w:rsidR="00384B91">
        <w:rPr>
          <w:rFonts w:ascii="Arial" w:eastAsia="Times New Roman" w:hAnsi="Arial" w:cs="Arial"/>
          <w:lang w:eastAsia="es-ES"/>
        </w:rPr>
        <w:t xml:space="preserve">l simulacro </w:t>
      </w:r>
      <w:r w:rsidR="00FD65AA">
        <w:rPr>
          <w:rFonts w:ascii="Arial" w:eastAsia="Times New Roman" w:hAnsi="Arial" w:cs="Arial"/>
          <w:lang w:eastAsia="es-ES"/>
        </w:rPr>
        <w:t>realizado</w:t>
      </w:r>
      <w:r w:rsidR="00384B91">
        <w:rPr>
          <w:rFonts w:ascii="Arial" w:eastAsia="Times New Roman" w:hAnsi="Arial" w:cs="Arial"/>
          <w:lang w:eastAsia="es-ES"/>
        </w:rPr>
        <w:t xml:space="preserve"> el 2</w:t>
      </w:r>
      <w:r w:rsidR="00F805EE">
        <w:rPr>
          <w:rFonts w:ascii="Arial" w:eastAsia="Times New Roman" w:hAnsi="Arial" w:cs="Arial"/>
          <w:lang w:eastAsia="es-ES"/>
        </w:rPr>
        <w:t>4</w:t>
      </w:r>
      <w:r w:rsidR="00384B91">
        <w:rPr>
          <w:rFonts w:ascii="Arial" w:eastAsia="Times New Roman" w:hAnsi="Arial" w:cs="Arial"/>
          <w:lang w:eastAsia="es-ES"/>
        </w:rPr>
        <w:t xml:space="preserve"> de noviembre del año en curso</w:t>
      </w:r>
      <w:r w:rsidR="00E92266">
        <w:rPr>
          <w:rFonts w:ascii="Arial" w:eastAsia="Times New Roman" w:hAnsi="Arial" w:cs="Arial"/>
          <w:lang w:eastAsia="es-ES"/>
        </w:rPr>
        <w:t xml:space="preserve"> en la OAPVD del Segundo Circuito Judicial de San José</w:t>
      </w:r>
      <w:r w:rsidR="009349EE">
        <w:rPr>
          <w:rFonts w:ascii="Arial" w:eastAsia="Times New Roman" w:hAnsi="Arial" w:cs="Arial"/>
          <w:lang w:eastAsia="es-ES"/>
        </w:rPr>
        <w:t xml:space="preserve">. </w:t>
      </w:r>
      <w:r w:rsidR="009349EE" w:rsidRPr="009349EE">
        <w:rPr>
          <w:rFonts w:ascii="Arial" w:eastAsia="Times New Roman" w:hAnsi="Arial" w:cs="Arial"/>
          <w:b/>
          <w:bCs/>
          <w:lang w:eastAsia="es-ES"/>
        </w:rPr>
        <w:t>2)</w:t>
      </w:r>
      <w:r w:rsidR="00384B91">
        <w:rPr>
          <w:rFonts w:ascii="Arial" w:eastAsia="Times New Roman" w:hAnsi="Arial" w:cs="Arial"/>
          <w:lang w:eastAsia="es-ES"/>
        </w:rPr>
        <w:t xml:space="preserve"> </w:t>
      </w:r>
      <w:r w:rsidR="009349EE">
        <w:rPr>
          <w:rFonts w:ascii="Arial" w:eastAsia="Times New Roman" w:hAnsi="Arial" w:cs="Arial"/>
          <w:lang w:eastAsia="es-ES"/>
        </w:rPr>
        <w:t>S</w:t>
      </w:r>
      <w:r w:rsidR="00384B91">
        <w:rPr>
          <w:rFonts w:ascii="Arial" w:eastAsia="Times New Roman" w:hAnsi="Arial" w:cs="Arial"/>
          <w:lang w:eastAsia="es-ES"/>
        </w:rPr>
        <w:t>e insta a las oficinas y programas a considerar la apertura para realizar los ejercicios en coordinación con el Subproceso de Gestión de Continuidad del Servicio.</w:t>
      </w:r>
      <w:r w:rsidR="00DD67BE">
        <w:rPr>
          <w:rFonts w:ascii="Arial" w:eastAsia="Times New Roman" w:hAnsi="Arial" w:cs="Arial"/>
          <w:lang w:eastAsia="es-ES"/>
        </w:rPr>
        <w:t xml:space="preserve"> </w:t>
      </w:r>
      <w:r w:rsidR="00DD67BE" w:rsidRPr="00DD67BE">
        <w:rPr>
          <w:rFonts w:ascii="Arial" w:eastAsia="Times New Roman" w:hAnsi="Arial" w:cs="Arial"/>
          <w:b/>
          <w:bCs/>
          <w:lang w:eastAsia="es-ES"/>
        </w:rPr>
        <w:t>ACUERDO FIRME.</w:t>
      </w:r>
    </w:p>
    <w:p w14:paraId="2E726F64" w14:textId="77777777" w:rsidR="002244EF" w:rsidRDefault="002244EF" w:rsidP="002244EF">
      <w:pPr>
        <w:spacing w:after="0" w:line="240" w:lineRule="auto"/>
        <w:jc w:val="both"/>
        <w:rPr>
          <w:rFonts w:ascii="Arial" w:eastAsia="Times New Roman" w:hAnsi="Arial" w:cs="Arial"/>
          <w:lang w:eastAsia="es-ES"/>
        </w:rPr>
      </w:pPr>
    </w:p>
    <w:p w14:paraId="6076D72A" w14:textId="77777777" w:rsidR="002244EF" w:rsidRDefault="002244EF" w:rsidP="00D3486F">
      <w:pPr>
        <w:spacing w:after="0" w:line="240" w:lineRule="auto"/>
        <w:jc w:val="both"/>
        <w:rPr>
          <w:rFonts w:ascii="Arial" w:eastAsia="Times New Roman" w:hAnsi="Arial" w:cs="Arial"/>
          <w:lang w:eastAsia="es-ES"/>
        </w:rPr>
      </w:pPr>
    </w:p>
    <w:p w14:paraId="792B7F07" w14:textId="77777777" w:rsidR="00C45628" w:rsidRDefault="00C45628" w:rsidP="00D3486F">
      <w:pPr>
        <w:spacing w:after="0" w:line="240" w:lineRule="auto"/>
        <w:jc w:val="both"/>
        <w:rPr>
          <w:rFonts w:ascii="Arial" w:hAnsi="Arial" w:cs="Arial"/>
          <w:color w:val="000000"/>
          <w:lang w:val="es-ES" w:eastAsia="es-ES"/>
        </w:rPr>
      </w:pPr>
    </w:p>
    <w:p w14:paraId="6B875CE6" w14:textId="0749FB88" w:rsidR="00251002" w:rsidRPr="00D3486F" w:rsidRDefault="001B0E11" w:rsidP="00D3486F">
      <w:pPr>
        <w:spacing w:after="0" w:line="240" w:lineRule="auto"/>
        <w:jc w:val="both"/>
        <w:rPr>
          <w:rFonts w:ascii="Arial" w:hAnsi="Arial" w:cs="Arial"/>
          <w:color w:val="000000"/>
          <w:lang w:val="es-ES" w:eastAsia="es-ES"/>
        </w:rPr>
      </w:pPr>
      <w:r w:rsidRPr="00D3486F">
        <w:rPr>
          <w:rFonts w:ascii="Arial" w:hAnsi="Arial" w:cs="Arial"/>
          <w:color w:val="000000"/>
          <w:lang w:val="es-ES" w:eastAsia="es-ES"/>
        </w:rPr>
        <w:t xml:space="preserve">Finaliza la sesión a las </w:t>
      </w:r>
      <w:r w:rsidR="000F12AB">
        <w:rPr>
          <w:rFonts w:ascii="Arial" w:hAnsi="Arial" w:cs="Arial"/>
          <w:color w:val="000000"/>
          <w:lang w:val="es-ES" w:eastAsia="es-ES"/>
        </w:rPr>
        <w:t>diez horas con trece minutos</w:t>
      </w:r>
      <w:r w:rsidRPr="00D3486F">
        <w:rPr>
          <w:rFonts w:ascii="Arial" w:hAnsi="Arial" w:cs="Arial"/>
          <w:color w:val="000000"/>
          <w:lang w:val="es-ES" w:eastAsia="es-ES"/>
        </w:rPr>
        <w:t>.</w:t>
      </w:r>
    </w:p>
    <w:sectPr w:rsidR="00251002" w:rsidRPr="00D3486F">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0584E" w14:textId="77777777" w:rsidR="0039731D" w:rsidRDefault="0039731D" w:rsidP="00BE2826">
      <w:pPr>
        <w:spacing w:after="0" w:line="240" w:lineRule="auto"/>
      </w:pPr>
      <w:r>
        <w:separator/>
      </w:r>
    </w:p>
  </w:endnote>
  <w:endnote w:type="continuationSeparator" w:id="0">
    <w:p w14:paraId="11ACEB30" w14:textId="77777777" w:rsidR="0039731D" w:rsidRDefault="0039731D" w:rsidP="00BE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48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84FE" w14:textId="77777777" w:rsidR="00C277F9" w:rsidRDefault="00C277F9">
    <w:pPr>
      <w:pStyle w:val="Piedepgina"/>
      <w:jc w:val="center"/>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BD2DF" w14:textId="77777777" w:rsidR="0039731D" w:rsidRDefault="0039731D" w:rsidP="00BE2826">
      <w:pPr>
        <w:spacing w:after="0" w:line="240" w:lineRule="auto"/>
      </w:pPr>
      <w:r>
        <w:separator/>
      </w:r>
    </w:p>
  </w:footnote>
  <w:footnote w:type="continuationSeparator" w:id="0">
    <w:p w14:paraId="6FEB5A8E" w14:textId="77777777" w:rsidR="0039731D" w:rsidRDefault="0039731D" w:rsidP="00BE2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4BA6" w14:textId="5E0B804B" w:rsidR="00734FFE" w:rsidRPr="0034095B" w:rsidRDefault="00650770" w:rsidP="00F4405D">
    <w:pPr>
      <w:spacing w:line="240" w:lineRule="auto"/>
      <w:jc w:val="center"/>
      <w:rPr>
        <w:rFonts w:ascii="Arial" w:hAnsi="Arial" w:cs="Arial"/>
        <w:b/>
        <w:color w:val="1F3864"/>
        <w:sz w:val="24"/>
        <w:szCs w:val="24"/>
      </w:rPr>
    </w:pPr>
    <w:r w:rsidRPr="0034095B">
      <w:rPr>
        <w:noProof/>
        <w:color w:val="1F3864"/>
      </w:rPr>
      <w:drawing>
        <wp:anchor distT="0" distB="0" distL="114300" distR="114300" simplePos="0" relativeHeight="251657728" behindDoc="1" locked="0" layoutInCell="1" allowOverlap="1" wp14:anchorId="4B8EED59" wp14:editId="0BF2982F">
          <wp:simplePos x="0" y="0"/>
          <wp:positionH relativeFrom="column">
            <wp:posOffset>5804952</wp:posOffset>
          </wp:positionH>
          <wp:positionV relativeFrom="paragraph">
            <wp:posOffset>-13467</wp:posOffset>
          </wp:positionV>
          <wp:extent cx="570865" cy="636270"/>
          <wp:effectExtent l="0" t="0" r="635" b="0"/>
          <wp:wrapThrough wrapText="bothSides">
            <wp:wrapPolygon edited="0">
              <wp:start x="0" y="0"/>
              <wp:lineTo x="0" y="20695"/>
              <wp:lineTo x="20903" y="20695"/>
              <wp:lineTo x="2090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00734FFE" w:rsidRPr="0034095B">
      <w:rPr>
        <w:rFonts w:ascii="Arial" w:hAnsi="Arial" w:cs="Arial"/>
        <w:b/>
        <w:color w:val="1F3864"/>
        <w:sz w:val="24"/>
        <w:szCs w:val="24"/>
      </w:rPr>
      <w:t>PODER JUDICIAL</w:t>
    </w:r>
  </w:p>
  <w:p w14:paraId="3DC5F998"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COMITÉ TÉCNICO DE CONTINUIDAD DEL SERVICIO</w:t>
    </w:r>
  </w:p>
  <w:p w14:paraId="6F051156"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DEL PODER JUDICIAL</w:t>
    </w:r>
  </w:p>
  <w:p w14:paraId="3076F745" w14:textId="543716BF" w:rsidR="00734FFE" w:rsidRPr="00734FFE" w:rsidRDefault="00734FFE" w:rsidP="00F4405D">
    <w:pPr>
      <w:spacing w:line="240" w:lineRule="auto"/>
      <w:jc w:val="center"/>
      <w:rPr>
        <w:rFonts w:ascii="Arial" w:hAnsi="Arial" w:cs="Arial"/>
        <w:b/>
        <w:color w:val="000000"/>
        <w:sz w:val="24"/>
        <w:szCs w:val="24"/>
      </w:rPr>
    </w:pPr>
    <w:r w:rsidRPr="00654FA5">
      <w:rPr>
        <w:rFonts w:ascii="Arial" w:hAnsi="Arial" w:cs="Arial"/>
        <w:b/>
        <w:color w:val="000000"/>
        <w:sz w:val="24"/>
        <w:szCs w:val="24"/>
      </w:rPr>
      <w:t>ACTA N°</w:t>
    </w:r>
    <w:r w:rsidR="00D878F7">
      <w:rPr>
        <w:rFonts w:ascii="Arial" w:hAnsi="Arial" w:cs="Arial"/>
        <w:b/>
        <w:color w:val="000000"/>
        <w:sz w:val="24"/>
        <w:szCs w:val="24"/>
      </w:rPr>
      <w:t>4</w:t>
    </w:r>
    <w:r w:rsidRPr="00654FA5">
      <w:rPr>
        <w:rFonts w:ascii="Arial" w:hAnsi="Arial" w:cs="Arial"/>
        <w:b/>
        <w:color w:val="000000"/>
        <w:sz w:val="24"/>
        <w:szCs w:val="24"/>
      </w:rPr>
      <w:t>-202</w:t>
    </w:r>
    <w:r>
      <w:rPr>
        <w:rFonts w:ascii="Arial" w:hAnsi="Arial" w:cs="Arial"/>
        <w:b/>
        <w:color w:val="000000"/>
        <w:sz w:val="24"/>
        <w:szCs w:val="24"/>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15:restartNumberingAfterBreak="0">
    <w:nsid w:val="00A27EA7"/>
    <w:multiLevelType w:val="hybridMultilevel"/>
    <w:tmpl w:val="1EA64E1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D48E5"/>
    <w:multiLevelType w:val="hybridMultilevel"/>
    <w:tmpl w:val="ED22D40A"/>
    <w:lvl w:ilvl="0" w:tplc="0EA66396">
      <w:start w:val="1"/>
      <w:numFmt w:val="bullet"/>
      <w:lvlText w:val=""/>
      <w:lvlJc w:val="left"/>
      <w:pPr>
        <w:ind w:left="1440" w:hanging="360"/>
      </w:pPr>
      <w:rPr>
        <w:rFonts w:ascii="Wingdings" w:hAnsi="Wingdings" w:cs="Wingdings"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5" w15:restartNumberingAfterBreak="0">
    <w:nsid w:val="12F3342A"/>
    <w:multiLevelType w:val="hybridMultilevel"/>
    <w:tmpl w:val="EAC2CA3E"/>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 w15:restartNumberingAfterBreak="0">
    <w:nsid w:val="2B049EAA"/>
    <w:multiLevelType w:val="hybridMultilevel"/>
    <w:tmpl w:val="1EA64E1A"/>
    <w:lvl w:ilvl="0" w:tplc="BC00E81E">
      <w:start w:val="1"/>
      <w:numFmt w:val="decimal"/>
      <w:lvlText w:val="%1."/>
      <w:lvlJc w:val="left"/>
      <w:pPr>
        <w:ind w:left="720" w:hanging="360"/>
      </w:pPr>
      <w:rPr>
        <w:b/>
        <w:bCs/>
      </w:rPr>
    </w:lvl>
    <w:lvl w:ilvl="1" w:tplc="05B8DA2A">
      <w:start w:val="1"/>
      <w:numFmt w:val="lowerLetter"/>
      <w:lvlText w:val="%2."/>
      <w:lvlJc w:val="left"/>
      <w:pPr>
        <w:ind w:left="1440" w:hanging="360"/>
      </w:pPr>
    </w:lvl>
    <w:lvl w:ilvl="2" w:tplc="1F2A07F6">
      <w:start w:val="1"/>
      <w:numFmt w:val="lowerRoman"/>
      <w:lvlText w:val="%3."/>
      <w:lvlJc w:val="right"/>
      <w:pPr>
        <w:ind w:left="2160" w:hanging="180"/>
      </w:pPr>
    </w:lvl>
    <w:lvl w:ilvl="3" w:tplc="D2103F44">
      <w:start w:val="1"/>
      <w:numFmt w:val="decimal"/>
      <w:lvlText w:val="%4."/>
      <w:lvlJc w:val="left"/>
      <w:pPr>
        <w:ind w:left="2880" w:hanging="360"/>
      </w:pPr>
    </w:lvl>
    <w:lvl w:ilvl="4" w:tplc="70864A0E">
      <w:start w:val="1"/>
      <w:numFmt w:val="lowerLetter"/>
      <w:lvlText w:val="%5."/>
      <w:lvlJc w:val="left"/>
      <w:pPr>
        <w:ind w:left="3600" w:hanging="360"/>
      </w:pPr>
    </w:lvl>
    <w:lvl w:ilvl="5" w:tplc="77E61682">
      <w:start w:val="1"/>
      <w:numFmt w:val="lowerRoman"/>
      <w:lvlText w:val="%6."/>
      <w:lvlJc w:val="right"/>
      <w:pPr>
        <w:ind w:left="4320" w:hanging="180"/>
      </w:pPr>
    </w:lvl>
    <w:lvl w:ilvl="6" w:tplc="D398EBB2">
      <w:start w:val="1"/>
      <w:numFmt w:val="decimal"/>
      <w:lvlText w:val="%7."/>
      <w:lvlJc w:val="left"/>
      <w:pPr>
        <w:ind w:left="5040" w:hanging="360"/>
      </w:pPr>
    </w:lvl>
    <w:lvl w:ilvl="7" w:tplc="B9963054">
      <w:start w:val="1"/>
      <w:numFmt w:val="lowerLetter"/>
      <w:lvlText w:val="%8."/>
      <w:lvlJc w:val="left"/>
      <w:pPr>
        <w:ind w:left="5760" w:hanging="360"/>
      </w:pPr>
    </w:lvl>
    <w:lvl w:ilvl="8" w:tplc="739477FC">
      <w:start w:val="1"/>
      <w:numFmt w:val="lowerRoman"/>
      <w:lvlText w:val="%9."/>
      <w:lvlJc w:val="right"/>
      <w:pPr>
        <w:ind w:left="6480" w:hanging="180"/>
      </w:pPr>
    </w:lvl>
  </w:abstractNum>
  <w:abstractNum w:abstractNumId="7" w15:restartNumberingAfterBreak="0">
    <w:nsid w:val="2CCF4353"/>
    <w:multiLevelType w:val="hybridMultilevel"/>
    <w:tmpl w:val="4FD64146"/>
    <w:lvl w:ilvl="0" w:tplc="65B6867A">
      <w:start w:val="1"/>
      <w:numFmt w:val="bullet"/>
      <w:lvlText w:val=""/>
      <w:lvlJc w:val="left"/>
      <w:pPr>
        <w:ind w:left="1440" w:hanging="360"/>
      </w:pPr>
      <w:rPr>
        <w:rFonts w:ascii="Symbol" w:hAnsi="Symbol"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8" w15:restartNumberingAfterBreak="0">
    <w:nsid w:val="3E951F37"/>
    <w:multiLevelType w:val="hybridMultilevel"/>
    <w:tmpl w:val="E9F0200C"/>
    <w:lvl w:ilvl="0" w:tplc="A8B4AFC4">
      <w:start w:val="1"/>
      <w:numFmt w:val="bullet"/>
      <w:pStyle w:val="Listaconvietas"/>
      <w:lvlText w:val=""/>
      <w:legacy w:legacy="1" w:legacySpace="0" w:legacyIndent="360"/>
      <w:lvlJc w:val="left"/>
      <w:pPr>
        <w:ind w:left="414" w:hanging="360"/>
      </w:pPr>
      <w:rPr>
        <w:rFonts w:ascii="Symbol" w:hAnsi="Symbol" w:hint="default"/>
      </w:rPr>
    </w:lvl>
    <w:lvl w:ilvl="1" w:tplc="0C0A0019">
      <w:start w:val="1"/>
      <w:numFmt w:val="bullet"/>
      <w:lvlText w:val="o"/>
      <w:lvlJc w:val="left"/>
      <w:pPr>
        <w:tabs>
          <w:tab w:val="num" w:pos="131"/>
        </w:tabs>
        <w:ind w:left="131" w:hanging="360"/>
      </w:pPr>
      <w:rPr>
        <w:rFonts w:ascii="Courier New" w:hAnsi="Courier New" w:hint="default"/>
      </w:rPr>
    </w:lvl>
    <w:lvl w:ilvl="2" w:tplc="0C0A001B">
      <w:start w:val="1"/>
      <w:numFmt w:val="bullet"/>
      <w:lvlText w:val=""/>
      <w:lvlJc w:val="left"/>
      <w:pPr>
        <w:tabs>
          <w:tab w:val="num" w:pos="1740"/>
        </w:tabs>
        <w:ind w:left="1740" w:hanging="360"/>
      </w:pPr>
      <w:rPr>
        <w:rFonts w:ascii="Wingdings" w:hAnsi="Wingdings" w:hint="default"/>
      </w:rPr>
    </w:lvl>
    <w:lvl w:ilvl="3" w:tplc="0C0A000F" w:tentative="1">
      <w:start w:val="1"/>
      <w:numFmt w:val="bullet"/>
      <w:lvlText w:val=""/>
      <w:lvlJc w:val="left"/>
      <w:pPr>
        <w:tabs>
          <w:tab w:val="num" w:pos="2460"/>
        </w:tabs>
        <w:ind w:left="2460" w:hanging="360"/>
      </w:pPr>
      <w:rPr>
        <w:rFonts w:ascii="Symbol" w:hAnsi="Symbol" w:hint="default"/>
      </w:rPr>
    </w:lvl>
    <w:lvl w:ilvl="4" w:tplc="0C0A0019" w:tentative="1">
      <w:start w:val="1"/>
      <w:numFmt w:val="bullet"/>
      <w:lvlText w:val="o"/>
      <w:lvlJc w:val="left"/>
      <w:pPr>
        <w:tabs>
          <w:tab w:val="num" w:pos="3180"/>
        </w:tabs>
        <w:ind w:left="3180" w:hanging="360"/>
      </w:pPr>
      <w:rPr>
        <w:rFonts w:ascii="Courier New" w:hAnsi="Courier New" w:hint="default"/>
      </w:rPr>
    </w:lvl>
    <w:lvl w:ilvl="5" w:tplc="0C0A001B" w:tentative="1">
      <w:start w:val="1"/>
      <w:numFmt w:val="bullet"/>
      <w:lvlText w:val=""/>
      <w:lvlJc w:val="left"/>
      <w:pPr>
        <w:tabs>
          <w:tab w:val="num" w:pos="3900"/>
        </w:tabs>
        <w:ind w:left="3900" w:hanging="360"/>
      </w:pPr>
      <w:rPr>
        <w:rFonts w:ascii="Wingdings" w:hAnsi="Wingdings" w:hint="default"/>
      </w:rPr>
    </w:lvl>
    <w:lvl w:ilvl="6" w:tplc="0C0A000F">
      <w:start w:val="1"/>
      <w:numFmt w:val="bullet"/>
      <w:lvlText w:val=""/>
      <w:lvlJc w:val="left"/>
      <w:pPr>
        <w:tabs>
          <w:tab w:val="num" w:pos="4620"/>
        </w:tabs>
        <w:ind w:left="4620" w:hanging="360"/>
      </w:pPr>
      <w:rPr>
        <w:rFonts w:ascii="Symbol" w:hAnsi="Symbol" w:hint="default"/>
      </w:rPr>
    </w:lvl>
    <w:lvl w:ilvl="7" w:tplc="0C0A0019" w:tentative="1">
      <w:start w:val="1"/>
      <w:numFmt w:val="bullet"/>
      <w:lvlText w:val="o"/>
      <w:lvlJc w:val="left"/>
      <w:pPr>
        <w:tabs>
          <w:tab w:val="num" w:pos="5340"/>
        </w:tabs>
        <w:ind w:left="5340" w:hanging="360"/>
      </w:pPr>
      <w:rPr>
        <w:rFonts w:ascii="Courier New" w:hAnsi="Courier New" w:hint="default"/>
      </w:rPr>
    </w:lvl>
    <w:lvl w:ilvl="8" w:tplc="0C0A001B" w:tentative="1">
      <w:start w:val="1"/>
      <w:numFmt w:val="bullet"/>
      <w:lvlText w:val=""/>
      <w:lvlJc w:val="left"/>
      <w:pPr>
        <w:tabs>
          <w:tab w:val="num" w:pos="6060"/>
        </w:tabs>
        <w:ind w:left="6060" w:hanging="360"/>
      </w:pPr>
      <w:rPr>
        <w:rFonts w:ascii="Wingdings" w:hAnsi="Wingdings" w:hint="default"/>
      </w:rPr>
    </w:lvl>
  </w:abstractNum>
  <w:abstractNum w:abstractNumId="9" w15:restartNumberingAfterBreak="0">
    <w:nsid w:val="44C0312B"/>
    <w:multiLevelType w:val="hybridMultilevel"/>
    <w:tmpl w:val="0CBE18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50C2645E"/>
    <w:multiLevelType w:val="hybridMultilevel"/>
    <w:tmpl w:val="556ED48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1" w15:restartNumberingAfterBreak="0">
    <w:nsid w:val="51270101"/>
    <w:multiLevelType w:val="hybridMultilevel"/>
    <w:tmpl w:val="573850B4"/>
    <w:lvl w:ilvl="0" w:tplc="7820C712">
      <w:start w:val="1"/>
      <w:numFmt w:val="bullet"/>
      <w:lvlText w:val=""/>
      <w:lvlJc w:val="left"/>
      <w:pPr>
        <w:ind w:left="1440" w:hanging="360"/>
      </w:pPr>
      <w:rPr>
        <w:rFonts w:ascii="Symbol" w:hAnsi="Symbol" w:cs="Symbol"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12" w15:restartNumberingAfterBreak="0">
    <w:nsid w:val="53B6249F"/>
    <w:multiLevelType w:val="hybridMultilevel"/>
    <w:tmpl w:val="48AC4778"/>
    <w:lvl w:ilvl="0" w:tplc="140A000F">
      <w:start w:val="1"/>
      <w:numFmt w:val="decimal"/>
      <w:lvlText w:val="%1."/>
      <w:lvlJc w:val="left"/>
      <w:pPr>
        <w:ind w:left="1400" w:hanging="360"/>
      </w:pPr>
    </w:lvl>
    <w:lvl w:ilvl="1" w:tplc="140A0019" w:tentative="1">
      <w:start w:val="1"/>
      <w:numFmt w:val="lowerLetter"/>
      <w:lvlText w:val="%2."/>
      <w:lvlJc w:val="left"/>
      <w:pPr>
        <w:ind w:left="2120" w:hanging="360"/>
      </w:pPr>
    </w:lvl>
    <w:lvl w:ilvl="2" w:tplc="140A001B" w:tentative="1">
      <w:start w:val="1"/>
      <w:numFmt w:val="lowerRoman"/>
      <w:lvlText w:val="%3."/>
      <w:lvlJc w:val="right"/>
      <w:pPr>
        <w:ind w:left="2840" w:hanging="180"/>
      </w:pPr>
    </w:lvl>
    <w:lvl w:ilvl="3" w:tplc="140A000F" w:tentative="1">
      <w:start w:val="1"/>
      <w:numFmt w:val="decimal"/>
      <w:lvlText w:val="%4."/>
      <w:lvlJc w:val="left"/>
      <w:pPr>
        <w:ind w:left="3560" w:hanging="360"/>
      </w:pPr>
    </w:lvl>
    <w:lvl w:ilvl="4" w:tplc="140A0019" w:tentative="1">
      <w:start w:val="1"/>
      <w:numFmt w:val="lowerLetter"/>
      <w:lvlText w:val="%5."/>
      <w:lvlJc w:val="left"/>
      <w:pPr>
        <w:ind w:left="4280" w:hanging="360"/>
      </w:pPr>
    </w:lvl>
    <w:lvl w:ilvl="5" w:tplc="140A001B" w:tentative="1">
      <w:start w:val="1"/>
      <w:numFmt w:val="lowerRoman"/>
      <w:lvlText w:val="%6."/>
      <w:lvlJc w:val="right"/>
      <w:pPr>
        <w:ind w:left="5000" w:hanging="180"/>
      </w:pPr>
    </w:lvl>
    <w:lvl w:ilvl="6" w:tplc="140A000F" w:tentative="1">
      <w:start w:val="1"/>
      <w:numFmt w:val="decimal"/>
      <w:lvlText w:val="%7."/>
      <w:lvlJc w:val="left"/>
      <w:pPr>
        <w:ind w:left="5720" w:hanging="360"/>
      </w:pPr>
    </w:lvl>
    <w:lvl w:ilvl="7" w:tplc="140A0019" w:tentative="1">
      <w:start w:val="1"/>
      <w:numFmt w:val="lowerLetter"/>
      <w:lvlText w:val="%8."/>
      <w:lvlJc w:val="left"/>
      <w:pPr>
        <w:ind w:left="6440" w:hanging="360"/>
      </w:pPr>
    </w:lvl>
    <w:lvl w:ilvl="8" w:tplc="140A001B" w:tentative="1">
      <w:start w:val="1"/>
      <w:numFmt w:val="lowerRoman"/>
      <w:lvlText w:val="%9."/>
      <w:lvlJc w:val="right"/>
      <w:pPr>
        <w:ind w:left="7160" w:hanging="180"/>
      </w:pPr>
    </w:lvl>
  </w:abstractNum>
  <w:abstractNum w:abstractNumId="13" w15:restartNumberingAfterBreak="0">
    <w:nsid w:val="66455F06"/>
    <w:multiLevelType w:val="hybridMultilevel"/>
    <w:tmpl w:val="7076E034"/>
    <w:lvl w:ilvl="0" w:tplc="C0B43C32">
      <w:start w:val="1"/>
      <w:numFmt w:val="upperRoman"/>
      <w:lvlText w:val="%1."/>
      <w:lvlJc w:val="left"/>
      <w:pPr>
        <w:ind w:left="720" w:hanging="360"/>
      </w:pPr>
    </w:lvl>
    <w:lvl w:ilvl="1" w:tplc="B76C30E4">
      <w:start w:val="1"/>
      <w:numFmt w:val="lowerLetter"/>
      <w:lvlText w:val="%2."/>
      <w:lvlJc w:val="left"/>
      <w:pPr>
        <w:ind w:left="1440" w:hanging="360"/>
      </w:pPr>
    </w:lvl>
    <w:lvl w:ilvl="2" w:tplc="EF843F4C">
      <w:start w:val="1"/>
      <w:numFmt w:val="lowerRoman"/>
      <w:lvlText w:val="%3."/>
      <w:lvlJc w:val="right"/>
      <w:pPr>
        <w:ind w:left="2160" w:hanging="180"/>
      </w:pPr>
    </w:lvl>
    <w:lvl w:ilvl="3" w:tplc="B53067A8">
      <w:start w:val="1"/>
      <w:numFmt w:val="decimal"/>
      <w:lvlText w:val="%4."/>
      <w:lvlJc w:val="left"/>
      <w:pPr>
        <w:ind w:left="2880" w:hanging="360"/>
      </w:pPr>
    </w:lvl>
    <w:lvl w:ilvl="4" w:tplc="F266E458">
      <w:start w:val="1"/>
      <w:numFmt w:val="lowerLetter"/>
      <w:lvlText w:val="%5."/>
      <w:lvlJc w:val="left"/>
      <w:pPr>
        <w:ind w:left="3600" w:hanging="360"/>
      </w:pPr>
    </w:lvl>
    <w:lvl w:ilvl="5" w:tplc="886C2BC8">
      <w:start w:val="1"/>
      <w:numFmt w:val="lowerRoman"/>
      <w:lvlText w:val="%6."/>
      <w:lvlJc w:val="right"/>
      <w:pPr>
        <w:ind w:left="4320" w:hanging="180"/>
      </w:pPr>
    </w:lvl>
    <w:lvl w:ilvl="6" w:tplc="F2B00458">
      <w:start w:val="1"/>
      <w:numFmt w:val="decimal"/>
      <w:lvlText w:val="%7."/>
      <w:lvlJc w:val="left"/>
      <w:pPr>
        <w:ind w:left="5040" w:hanging="360"/>
      </w:pPr>
    </w:lvl>
    <w:lvl w:ilvl="7" w:tplc="25627852">
      <w:start w:val="1"/>
      <w:numFmt w:val="lowerLetter"/>
      <w:lvlText w:val="%8."/>
      <w:lvlJc w:val="left"/>
      <w:pPr>
        <w:ind w:left="5760" w:hanging="360"/>
      </w:pPr>
    </w:lvl>
    <w:lvl w:ilvl="8" w:tplc="65807F00">
      <w:start w:val="1"/>
      <w:numFmt w:val="lowerRoman"/>
      <w:lvlText w:val="%9."/>
      <w:lvlJc w:val="right"/>
      <w:pPr>
        <w:ind w:left="6480" w:hanging="180"/>
      </w:pPr>
    </w:lvl>
  </w:abstractNum>
  <w:abstractNum w:abstractNumId="14" w15:restartNumberingAfterBreak="0">
    <w:nsid w:val="6D936170"/>
    <w:multiLevelType w:val="hybridMultilevel"/>
    <w:tmpl w:val="91CCAD0A"/>
    <w:lvl w:ilvl="0" w:tplc="FA0EAFF4">
      <w:start w:val="1"/>
      <w:numFmt w:val="bullet"/>
      <w:lvlText w:val="•"/>
      <w:lvlJc w:val="left"/>
      <w:pPr>
        <w:tabs>
          <w:tab w:val="num" w:pos="720"/>
        </w:tabs>
        <w:ind w:left="720" w:hanging="360"/>
      </w:pPr>
      <w:rPr>
        <w:rFonts w:ascii="Arial" w:hAnsi="Arial" w:hint="default"/>
      </w:rPr>
    </w:lvl>
    <w:lvl w:ilvl="1" w:tplc="B23C36CA" w:tentative="1">
      <w:start w:val="1"/>
      <w:numFmt w:val="bullet"/>
      <w:lvlText w:val="•"/>
      <w:lvlJc w:val="left"/>
      <w:pPr>
        <w:tabs>
          <w:tab w:val="num" w:pos="1440"/>
        </w:tabs>
        <w:ind w:left="1440" w:hanging="360"/>
      </w:pPr>
      <w:rPr>
        <w:rFonts w:ascii="Arial" w:hAnsi="Arial" w:hint="default"/>
      </w:rPr>
    </w:lvl>
    <w:lvl w:ilvl="2" w:tplc="541C3C62" w:tentative="1">
      <w:start w:val="1"/>
      <w:numFmt w:val="bullet"/>
      <w:lvlText w:val="•"/>
      <w:lvlJc w:val="left"/>
      <w:pPr>
        <w:tabs>
          <w:tab w:val="num" w:pos="2160"/>
        </w:tabs>
        <w:ind w:left="2160" w:hanging="360"/>
      </w:pPr>
      <w:rPr>
        <w:rFonts w:ascii="Arial" w:hAnsi="Arial" w:hint="default"/>
      </w:rPr>
    </w:lvl>
    <w:lvl w:ilvl="3" w:tplc="0D2459EE" w:tentative="1">
      <w:start w:val="1"/>
      <w:numFmt w:val="bullet"/>
      <w:lvlText w:val="•"/>
      <w:lvlJc w:val="left"/>
      <w:pPr>
        <w:tabs>
          <w:tab w:val="num" w:pos="2880"/>
        </w:tabs>
        <w:ind w:left="2880" w:hanging="360"/>
      </w:pPr>
      <w:rPr>
        <w:rFonts w:ascii="Arial" w:hAnsi="Arial" w:hint="default"/>
      </w:rPr>
    </w:lvl>
    <w:lvl w:ilvl="4" w:tplc="56E05E26" w:tentative="1">
      <w:start w:val="1"/>
      <w:numFmt w:val="bullet"/>
      <w:lvlText w:val="•"/>
      <w:lvlJc w:val="left"/>
      <w:pPr>
        <w:tabs>
          <w:tab w:val="num" w:pos="3600"/>
        </w:tabs>
        <w:ind w:left="3600" w:hanging="360"/>
      </w:pPr>
      <w:rPr>
        <w:rFonts w:ascii="Arial" w:hAnsi="Arial" w:hint="default"/>
      </w:rPr>
    </w:lvl>
    <w:lvl w:ilvl="5" w:tplc="4574DE48" w:tentative="1">
      <w:start w:val="1"/>
      <w:numFmt w:val="bullet"/>
      <w:lvlText w:val="•"/>
      <w:lvlJc w:val="left"/>
      <w:pPr>
        <w:tabs>
          <w:tab w:val="num" w:pos="4320"/>
        </w:tabs>
        <w:ind w:left="4320" w:hanging="360"/>
      </w:pPr>
      <w:rPr>
        <w:rFonts w:ascii="Arial" w:hAnsi="Arial" w:hint="default"/>
      </w:rPr>
    </w:lvl>
    <w:lvl w:ilvl="6" w:tplc="FA1A3F98" w:tentative="1">
      <w:start w:val="1"/>
      <w:numFmt w:val="bullet"/>
      <w:lvlText w:val="•"/>
      <w:lvlJc w:val="left"/>
      <w:pPr>
        <w:tabs>
          <w:tab w:val="num" w:pos="5040"/>
        </w:tabs>
        <w:ind w:left="5040" w:hanging="360"/>
      </w:pPr>
      <w:rPr>
        <w:rFonts w:ascii="Arial" w:hAnsi="Arial" w:hint="default"/>
      </w:rPr>
    </w:lvl>
    <w:lvl w:ilvl="7" w:tplc="1116F150" w:tentative="1">
      <w:start w:val="1"/>
      <w:numFmt w:val="bullet"/>
      <w:lvlText w:val="•"/>
      <w:lvlJc w:val="left"/>
      <w:pPr>
        <w:tabs>
          <w:tab w:val="num" w:pos="5760"/>
        </w:tabs>
        <w:ind w:left="5760" w:hanging="360"/>
      </w:pPr>
      <w:rPr>
        <w:rFonts w:ascii="Arial" w:hAnsi="Arial" w:hint="default"/>
      </w:rPr>
    </w:lvl>
    <w:lvl w:ilvl="8" w:tplc="43603CA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E316878"/>
    <w:multiLevelType w:val="hybridMultilevel"/>
    <w:tmpl w:val="32DC683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16cid:durableId="659962755">
    <w:abstractNumId w:val="0"/>
  </w:num>
  <w:num w:numId="2" w16cid:durableId="63576803">
    <w:abstractNumId w:val="8"/>
  </w:num>
  <w:num w:numId="3" w16cid:durableId="2101443455">
    <w:abstractNumId w:val="3"/>
  </w:num>
  <w:num w:numId="4" w16cid:durableId="429856557">
    <w:abstractNumId w:val="10"/>
  </w:num>
  <w:num w:numId="5" w16cid:durableId="1508866464">
    <w:abstractNumId w:val="14"/>
  </w:num>
  <w:num w:numId="6" w16cid:durableId="20999829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71849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8525205">
    <w:abstractNumId w:val="11"/>
  </w:num>
  <w:num w:numId="9" w16cid:durableId="2045935492">
    <w:abstractNumId w:val="4"/>
  </w:num>
  <w:num w:numId="10" w16cid:durableId="135731160">
    <w:abstractNumId w:val="7"/>
  </w:num>
  <w:num w:numId="11" w16cid:durableId="566184530">
    <w:abstractNumId w:val="15"/>
  </w:num>
  <w:num w:numId="12" w16cid:durableId="2135175061">
    <w:abstractNumId w:val="6"/>
  </w:num>
  <w:num w:numId="13" w16cid:durableId="439493509">
    <w:abstractNumId w:val="4"/>
  </w:num>
  <w:num w:numId="14" w16cid:durableId="1392843932">
    <w:abstractNumId w:val="2"/>
  </w:num>
  <w:num w:numId="15" w16cid:durableId="1754400606">
    <w:abstractNumId w:val="12"/>
  </w:num>
  <w:num w:numId="16" w16cid:durableId="239022154">
    <w:abstractNumId w:val="9"/>
  </w:num>
  <w:num w:numId="17" w16cid:durableId="1118181537">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5E"/>
    <w:rsid w:val="00004209"/>
    <w:rsid w:val="000061FB"/>
    <w:rsid w:val="00015CD1"/>
    <w:rsid w:val="00016D50"/>
    <w:rsid w:val="00021602"/>
    <w:rsid w:val="00024254"/>
    <w:rsid w:val="0002758F"/>
    <w:rsid w:val="00027FE4"/>
    <w:rsid w:val="00031275"/>
    <w:rsid w:val="000331B3"/>
    <w:rsid w:val="00033915"/>
    <w:rsid w:val="00033B43"/>
    <w:rsid w:val="000347F0"/>
    <w:rsid w:val="00034969"/>
    <w:rsid w:val="00046E9C"/>
    <w:rsid w:val="00051A6B"/>
    <w:rsid w:val="0005411F"/>
    <w:rsid w:val="000612E7"/>
    <w:rsid w:val="00064484"/>
    <w:rsid w:val="000655C0"/>
    <w:rsid w:val="00067082"/>
    <w:rsid w:val="000760B6"/>
    <w:rsid w:val="0008137A"/>
    <w:rsid w:val="000828CE"/>
    <w:rsid w:val="00082F32"/>
    <w:rsid w:val="000861D5"/>
    <w:rsid w:val="00086B55"/>
    <w:rsid w:val="00091AFD"/>
    <w:rsid w:val="00094097"/>
    <w:rsid w:val="000948D8"/>
    <w:rsid w:val="0009612A"/>
    <w:rsid w:val="000A2E63"/>
    <w:rsid w:val="000A38D7"/>
    <w:rsid w:val="000A50F9"/>
    <w:rsid w:val="000B25A3"/>
    <w:rsid w:val="000B43F8"/>
    <w:rsid w:val="000B4E3C"/>
    <w:rsid w:val="000B68C1"/>
    <w:rsid w:val="000B784A"/>
    <w:rsid w:val="000C0505"/>
    <w:rsid w:val="000C36C5"/>
    <w:rsid w:val="000C693A"/>
    <w:rsid w:val="000D2770"/>
    <w:rsid w:val="000D4EEB"/>
    <w:rsid w:val="000E158D"/>
    <w:rsid w:val="000E1A83"/>
    <w:rsid w:val="000E4F0A"/>
    <w:rsid w:val="000E5436"/>
    <w:rsid w:val="000E6CD4"/>
    <w:rsid w:val="000F12AB"/>
    <w:rsid w:val="000F17FD"/>
    <w:rsid w:val="000F3979"/>
    <w:rsid w:val="0010109A"/>
    <w:rsid w:val="0010265C"/>
    <w:rsid w:val="00103A1E"/>
    <w:rsid w:val="00106388"/>
    <w:rsid w:val="00115A9B"/>
    <w:rsid w:val="0011705D"/>
    <w:rsid w:val="00120BAF"/>
    <w:rsid w:val="0012335F"/>
    <w:rsid w:val="00123569"/>
    <w:rsid w:val="00123DD6"/>
    <w:rsid w:val="00123E7A"/>
    <w:rsid w:val="001309A4"/>
    <w:rsid w:val="00131B45"/>
    <w:rsid w:val="00133FB5"/>
    <w:rsid w:val="00147EB9"/>
    <w:rsid w:val="00152240"/>
    <w:rsid w:val="0016019A"/>
    <w:rsid w:val="0016338E"/>
    <w:rsid w:val="0016765C"/>
    <w:rsid w:val="00170D56"/>
    <w:rsid w:val="00175D7B"/>
    <w:rsid w:val="001940EB"/>
    <w:rsid w:val="001A29FE"/>
    <w:rsid w:val="001A34E1"/>
    <w:rsid w:val="001A3899"/>
    <w:rsid w:val="001A5586"/>
    <w:rsid w:val="001B0E11"/>
    <w:rsid w:val="001B4712"/>
    <w:rsid w:val="001B4E9B"/>
    <w:rsid w:val="001B7815"/>
    <w:rsid w:val="001C1770"/>
    <w:rsid w:val="001C5531"/>
    <w:rsid w:val="001C5FDB"/>
    <w:rsid w:val="001C688B"/>
    <w:rsid w:val="001C7628"/>
    <w:rsid w:val="001D3E59"/>
    <w:rsid w:val="001D7DDA"/>
    <w:rsid w:val="001E0EDB"/>
    <w:rsid w:val="001E5C4E"/>
    <w:rsid w:val="001E6A27"/>
    <w:rsid w:val="001F03B5"/>
    <w:rsid w:val="001F252F"/>
    <w:rsid w:val="001F2EF1"/>
    <w:rsid w:val="001F7CE8"/>
    <w:rsid w:val="002017E0"/>
    <w:rsid w:val="00202C8B"/>
    <w:rsid w:val="00203D94"/>
    <w:rsid w:val="002046D3"/>
    <w:rsid w:val="00205674"/>
    <w:rsid w:val="00206526"/>
    <w:rsid w:val="0020707F"/>
    <w:rsid w:val="002070FF"/>
    <w:rsid w:val="0021203E"/>
    <w:rsid w:val="00214613"/>
    <w:rsid w:val="0021480C"/>
    <w:rsid w:val="00214CFB"/>
    <w:rsid w:val="00216991"/>
    <w:rsid w:val="002234B5"/>
    <w:rsid w:val="002244EF"/>
    <w:rsid w:val="00225231"/>
    <w:rsid w:val="00225664"/>
    <w:rsid w:val="00225F6B"/>
    <w:rsid w:val="00230128"/>
    <w:rsid w:val="00231080"/>
    <w:rsid w:val="002316E6"/>
    <w:rsid w:val="00231D7A"/>
    <w:rsid w:val="00234BD8"/>
    <w:rsid w:val="00237297"/>
    <w:rsid w:val="00240083"/>
    <w:rsid w:val="002428BC"/>
    <w:rsid w:val="00250065"/>
    <w:rsid w:val="002502C3"/>
    <w:rsid w:val="00250C3B"/>
    <w:rsid w:val="00251002"/>
    <w:rsid w:val="00255618"/>
    <w:rsid w:val="0025657A"/>
    <w:rsid w:val="002575A9"/>
    <w:rsid w:val="00260BA3"/>
    <w:rsid w:val="00263A7F"/>
    <w:rsid w:val="00265BAC"/>
    <w:rsid w:val="00267E0D"/>
    <w:rsid w:val="002711AA"/>
    <w:rsid w:val="00271401"/>
    <w:rsid w:val="002735EB"/>
    <w:rsid w:val="002761A0"/>
    <w:rsid w:val="0027674D"/>
    <w:rsid w:val="00281C6B"/>
    <w:rsid w:val="00281C94"/>
    <w:rsid w:val="00283A13"/>
    <w:rsid w:val="00286961"/>
    <w:rsid w:val="00291B11"/>
    <w:rsid w:val="00294FCE"/>
    <w:rsid w:val="00297F49"/>
    <w:rsid w:val="002A0D14"/>
    <w:rsid w:val="002A1C97"/>
    <w:rsid w:val="002A1CD5"/>
    <w:rsid w:val="002A5C85"/>
    <w:rsid w:val="002A5FEB"/>
    <w:rsid w:val="002A70D9"/>
    <w:rsid w:val="002A7367"/>
    <w:rsid w:val="002B0B7D"/>
    <w:rsid w:val="002B0D3F"/>
    <w:rsid w:val="002B2E31"/>
    <w:rsid w:val="002B5968"/>
    <w:rsid w:val="002B5CA1"/>
    <w:rsid w:val="002B78C3"/>
    <w:rsid w:val="002B7AA4"/>
    <w:rsid w:val="002C2D17"/>
    <w:rsid w:val="002D13A4"/>
    <w:rsid w:val="002D14EF"/>
    <w:rsid w:val="002D569D"/>
    <w:rsid w:val="002D6861"/>
    <w:rsid w:val="002D785E"/>
    <w:rsid w:val="002E27EA"/>
    <w:rsid w:val="002E3CEE"/>
    <w:rsid w:val="002F1BFA"/>
    <w:rsid w:val="002F3DC4"/>
    <w:rsid w:val="002F6717"/>
    <w:rsid w:val="002F6AAA"/>
    <w:rsid w:val="00305001"/>
    <w:rsid w:val="0030659C"/>
    <w:rsid w:val="00307988"/>
    <w:rsid w:val="00310216"/>
    <w:rsid w:val="00310C29"/>
    <w:rsid w:val="003140CB"/>
    <w:rsid w:val="00316749"/>
    <w:rsid w:val="00317C42"/>
    <w:rsid w:val="00323991"/>
    <w:rsid w:val="0032542B"/>
    <w:rsid w:val="003257E3"/>
    <w:rsid w:val="00330184"/>
    <w:rsid w:val="00333477"/>
    <w:rsid w:val="003344EF"/>
    <w:rsid w:val="003354A8"/>
    <w:rsid w:val="0034095B"/>
    <w:rsid w:val="00343417"/>
    <w:rsid w:val="00353077"/>
    <w:rsid w:val="00354142"/>
    <w:rsid w:val="00356B1E"/>
    <w:rsid w:val="00360078"/>
    <w:rsid w:val="003614B2"/>
    <w:rsid w:val="00361FFA"/>
    <w:rsid w:val="003637EE"/>
    <w:rsid w:val="003677A4"/>
    <w:rsid w:val="003726ED"/>
    <w:rsid w:val="00381599"/>
    <w:rsid w:val="00381AAD"/>
    <w:rsid w:val="00384B91"/>
    <w:rsid w:val="00387A3F"/>
    <w:rsid w:val="00390965"/>
    <w:rsid w:val="00391068"/>
    <w:rsid w:val="00391D53"/>
    <w:rsid w:val="0039251D"/>
    <w:rsid w:val="00392A56"/>
    <w:rsid w:val="003952FB"/>
    <w:rsid w:val="00396AD1"/>
    <w:rsid w:val="0039731D"/>
    <w:rsid w:val="003A1459"/>
    <w:rsid w:val="003A2CF9"/>
    <w:rsid w:val="003A65AE"/>
    <w:rsid w:val="003A70F7"/>
    <w:rsid w:val="003B2FE7"/>
    <w:rsid w:val="003B4058"/>
    <w:rsid w:val="003B4655"/>
    <w:rsid w:val="003B5F5E"/>
    <w:rsid w:val="003C190D"/>
    <w:rsid w:val="003C1FB3"/>
    <w:rsid w:val="003C25B7"/>
    <w:rsid w:val="003C3292"/>
    <w:rsid w:val="003C5A82"/>
    <w:rsid w:val="003C683E"/>
    <w:rsid w:val="003C79B5"/>
    <w:rsid w:val="003E5216"/>
    <w:rsid w:val="003F6325"/>
    <w:rsid w:val="003F6A17"/>
    <w:rsid w:val="00400D8A"/>
    <w:rsid w:val="00401125"/>
    <w:rsid w:val="00404BA3"/>
    <w:rsid w:val="00410A9B"/>
    <w:rsid w:val="0041385B"/>
    <w:rsid w:val="00413BB4"/>
    <w:rsid w:val="004141D1"/>
    <w:rsid w:val="00414CD4"/>
    <w:rsid w:val="00414D84"/>
    <w:rsid w:val="00417163"/>
    <w:rsid w:val="0042139A"/>
    <w:rsid w:val="0042153F"/>
    <w:rsid w:val="00421C6D"/>
    <w:rsid w:val="0042529A"/>
    <w:rsid w:val="00431622"/>
    <w:rsid w:val="00435655"/>
    <w:rsid w:val="00436DBB"/>
    <w:rsid w:val="00437054"/>
    <w:rsid w:val="00441DF0"/>
    <w:rsid w:val="004429BB"/>
    <w:rsid w:val="00442EA7"/>
    <w:rsid w:val="00443431"/>
    <w:rsid w:val="0044463F"/>
    <w:rsid w:val="0045022C"/>
    <w:rsid w:val="00454BA3"/>
    <w:rsid w:val="00455B0C"/>
    <w:rsid w:val="004563A1"/>
    <w:rsid w:val="004579A0"/>
    <w:rsid w:val="00460347"/>
    <w:rsid w:val="0046628E"/>
    <w:rsid w:val="0046734D"/>
    <w:rsid w:val="00470618"/>
    <w:rsid w:val="00472047"/>
    <w:rsid w:val="0047336E"/>
    <w:rsid w:val="00474C79"/>
    <w:rsid w:val="00475267"/>
    <w:rsid w:val="00477CC0"/>
    <w:rsid w:val="004815D3"/>
    <w:rsid w:val="00482FAF"/>
    <w:rsid w:val="00484018"/>
    <w:rsid w:val="0048437A"/>
    <w:rsid w:val="00492504"/>
    <w:rsid w:val="004A202A"/>
    <w:rsid w:val="004A45DA"/>
    <w:rsid w:val="004B016F"/>
    <w:rsid w:val="004B1AA2"/>
    <w:rsid w:val="004B2859"/>
    <w:rsid w:val="004B4F39"/>
    <w:rsid w:val="004B54E9"/>
    <w:rsid w:val="004B6B40"/>
    <w:rsid w:val="004C429C"/>
    <w:rsid w:val="004D091F"/>
    <w:rsid w:val="004D1A3A"/>
    <w:rsid w:val="004D2C35"/>
    <w:rsid w:val="004D39D5"/>
    <w:rsid w:val="004E5E48"/>
    <w:rsid w:val="004E6351"/>
    <w:rsid w:val="004E7B27"/>
    <w:rsid w:val="004F109E"/>
    <w:rsid w:val="004F3FB5"/>
    <w:rsid w:val="004F4B08"/>
    <w:rsid w:val="004F56C8"/>
    <w:rsid w:val="004F6872"/>
    <w:rsid w:val="004F7DA3"/>
    <w:rsid w:val="00503402"/>
    <w:rsid w:val="00507C98"/>
    <w:rsid w:val="00510E8C"/>
    <w:rsid w:val="00511BC1"/>
    <w:rsid w:val="00516472"/>
    <w:rsid w:val="00517456"/>
    <w:rsid w:val="00520139"/>
    <w:rsid w:val="00520E6E"/>
    <w:rsid w:val="0052265E"/>
    <w:rsid w:val="00523CF5"/>
    <w:rsid w:val="00525BD0"/>
    <w:rsid w:val="00525F08"/>
    <w:rsid w:val="005316D2"/>
    <w:rsid w:val="00531BD7"/>
    <w:rsid w:val="0053340A"/>
    <w:rsid w:val="00533F97"/>
    <w:rsid w:val="00536B7B"/>
    <w:rsid w:val="00540E0A"/>
    <w:rsid w:val="00545AA2"/>
    <w:rsid w:val="00551F71"/>
    <w:rsid w:val="00553C98"/>
    <w:rsid w:val="00555846"/>
    <w:rsid w:val="005565B7"/>
    <w:rsid w:val="00556727"/>
    <w:rsid w:val="00565FCC"/>
    <w:rsid w:val="00567E17"/>
    <w:rsid w:val="00571F0F"/>
    <w:rsid w:val="00573EF6"/>
    <w:rsid w:val="0057450A"/>
    <w:rsid w:val="005776E8"/>
    <w:rsid w:val="00581A95"/>
    <w:rsid w:val="00582881"/>
    <w:rsid w:val="00582FA4"/>
    <w:rsid w:val="00584012"/>
    <w:rsid w:val="0059173F"/>
    <w:rsid w:val="00591FF9"/>
    <w:rsid w:val="00594C76"/>
    <w:rsid w:val="00595329"/>
    <w:rsid w:val="00597682"/>
    <w:rsid w:val="005A07B6"/>
    <w:rsid w:val="005A311A"/>
    <w:rsid w:val="005A3F39"/>
    <w:rsid w:val="005B3F67"/>
    <w:rsid w:val="005B5B3E"/>
    <w:rsid w:val="005B5F8D"/>
    <w:rsid w:val="005B79CB"/>
    <w:rsid w:val="005B7E20"/>
    <w:rsid w:val="005C110B"/>
    <w:rsid w:val="005C25BF"/>
    <w:rsid w:val="005D031E"/>
    <w:rsid w:val="005D335C"/>
    <w:rsid w:val="005D68C2"/>
    <w:rsid w:val="005E1EF4"/>
    <w:rsid w:val="005E2E8E"/>
    <w:rsid w:val="005E3029"/>
    <w:rsid w:val="005E3581"/>
    <w:rsid w:val="005E5EB5"/>
    <w:rsid w:val="005E6C07"/>
    <w:rsid w:val="005F36B1"/>
    <w:rsid w:val="005F3ED5"/>
    <w:rsid w:val="005F736B"/>
    <w:rsid w:val="005F7837"/>
    <w:rsid w:val="005F7C74"/>
    <w:rsid w:val="00605073"/>
    <w:rsid w:val="006064DE"/>
    <w:rsid w:val="006070FF"/>
    <w:rsid w:val="006130FB"/>
    <w:rsid w:val="00613E95"/>
    <w:rsid w:val="00615F6C"/>
    <w:rsid w:val="006168FD"/>
    <w:rsid w:val="0062397B"/>
    <w:rsid w:val="0062461E"/>
    <w:rsid w:val="00624883"/>
    <w:rsid w:val="006370AA"/>
    <w:rsid w:val="00637E68"/>
    <w:rsid w:val="006405B4"/>
    <w:rsid w:val="006425DC"/>
    <w:rsid w:val="00642C81"/>
    <w:rsid w:val="006437AB"/>
    <w:rsid w:val="00645BDA"/>
    <w:rsid w:val="00650770"/>
    <w:rsid w:val="00651AC8"/>
    <w:rsid w:val="00652FE5"/>
    <w:rsid w:val="00653166"/>
    <w:rsid w:val="00654FA5"/>
    <w:rsid w:val="0065630C"/>
    <w:rsid w:val="00656F11"/>
    <w:rsid w:val="006607FB"/>
    <w:rsid w:val="00664991"/>
    <w:rsid w:val="00664BC5"/>
    <w:rsid w:val="00666C4D"/>
    <w:rsid w:val="00667E87"/>
    <w:rsid w:val="00674E96"/>
    <w:rsid w:val="0067685D"/>
    <w:rsid w:val="0068037F"/>
    <w:rsid w:val="00683B0C"/>
    <w:rsid w:val="006849F0"/>
    <w:rsid w:val="00694E9A"/>
    <w:rsid w:val="0069685B"/>
    <w:rsid w:val="0069776A"/>
    <w:rsid w:val="006A1EAC"/>
    <w:rsid w:val="006A3600"/>
    <w:rsid w:val="006A3C00"/>
    <w:rsid w:val="006A56B8"/>
    <w:rsid w:val="006B0A06"/>
    <w:rsid w:val="006B5FCB"/>
    <w:rsid w:val="006C04AC"/>
    <w:rsid w:val="006C44AB"/>
    <w:rsid w:val="006D2955"/>
    <w:rsid w:val="006D3401"/>
    <w:rsid w:val="006D49BC"/>
    <w:rsid w:val="006D4A56"/>
    <w:rsid w:val="006D4D56"/>
    <w:rsid w:val="006D670E"/>
    <w:rsid w:val="006D7456"/>
    <w:rsid w:val="006E2856"/>
    <w:rsid w:val="006E4714"/>
    <w:rsid w:val="006E6CA2"/>
    <w:rsid w:val="006F0232"/>
    <w:rsid w:val="006F0A5B"/>
    <w:rsid w:val="006F290A"/>
    <w:rsid w:val="006F5DD2"/>
    <w:rsid w:val="007036C9"/>
    <w:rsid w:val="00704103"/>
    <w:rsid w:val="00704309"/>
    <w:rsid w:val="007053DA"/>
    <w:rsid w:val="00706004"/>
    <w:rsid w:val="00711B38"/>
    <w:rsid w:val="00720329"/>
    <w:rsid w:val="007205B0"/>
    <w:rsid w:val="00720D0A"/>
    <w:rsid w:val="007213F6"/>
    <w:rsid w:val="00721EAD"/>
    <w:rsid w:val="00727716"/>
    <w:rsid w:val="00734D1B"/>
    <w:rsid w:val="00734D22"/>
    <w:rsid w:val="00734FFE"/>
    <w:rsid w:val="00735186"/>
    <w:rsid w:val="00736C27"/>
    <w:rsid w:val="00741B09"/>
    <w:rsid w:val="007438BD"/>
    <w:rsid w:val="0074793A"/>
    <w:rsid w:val="007511BD"/>
    <w:rsid w:val="007527E0"/>
    <w:rsid w:val="0075609B"/>
    <w:rsid w:val="00763B77"/>
    <w:rsid w:val="00764EDF"/>
    <w:rsid w:val="00766920"/>
    <w:rsid w:val="0077171C"/>
    <w:rsid w:val="00771951"/>
    <w:rsid w:val="00777110"/>
    <w:rsid w:val="00777394"/>
    <w:rsid w:val="007870A9"/>
    <w:rsid w:val="00787FAC"/>
    <w:rsid w:val="0079061A"/>
    <w:rsid w:val="00793C68"/>
    <w:rsid w:val="00794341"/>
    <w:rsid w:val="00794820"/>
    <w:rsid w:val="007948EB"/>
    <w:rsid w:val="0079676E"/>
    <w:rsid w:val="0079772F"/>
    <w:rsid w:val="007A08B3"/>
    <w:rsid w:val="007A164C"/>
    <w:rsid w:val="007A6867"/>
    <w:rsid w:val="007B1392"/>
    <w:rsid w:val="007B143C"/>
    <w:rsid w:val="007B42A3"/>
    <w:rsid w:val="007B6E07"/>
    <w:rsid w:val="007C122E"/>
    <w:rsid w:val="007C1532"/>
    <w:rsid w:val="007C26B7"/>
    <w:rsid w:val="007C4DE1"/>
    <w:rsid w:val="007C6F1C"/>
    <w:rsid w:val="007C70E4"/>
    <w:rsid w:val="007D012C"/>
    <w:rsid w:val="007D63E6"/>
    <w:rsid w:val="007D650F"/>
    <w:rsid w:val="007E1B10"/>
    <w:rsid w:val="007E2F6B"/>
    <w:rsid w:val="007E4C93"/>
    <w:rsid w:val="007E6D20"/>
    <w:rsid w:val="007F5E54"/>
    <w:rsid w:val="007F626B"/>
    <w:rsid w:val="007F7D33"/>
    <w:rsid w:val="00803906"/>
    <w:rsid w:val="00806302"/>
    <w:rsid w:val="00806854"/>
    <w:rsid w:val="0080698F"/>
    <w:rsid w:val="008134BE"/>
    <w:rsid w:val="00813B82"/>
    <w:rsid w:val="00816DA2"/>
    <w:rsid w:val="0081767F"/>
    <w:rsid w:val="00820970"/>
    <w:rsid w:val="00820D32"/>
    <w:rsid w:val="00823260"/>
    <w:rsid w:val="00824F02"/>
    <w:rsid w:val="00826169"/>
    <w:rsid w:val="00830110"/>
    <w:rsid w:val="008301CD"/>
    <w:rsid w:val="00834886"/>
    <w:rsid w:val="00834C8F"/>
    <w:rsid w:val="0083526C"/>
    <w:rsid w:val="008373FD"/>
    <w:rsid w:val="00837658"/>
    <w:rsid w:val="008460F7"/>
    <w:rsid w:val="00850573"/>
    <w:rsid w:val="00850D13"/>
    <w:rsid w:val="00851133"/>
    <w:rsid w:val="00853A39"/>
    <w:rsid w:val="008562D1"/>
    <w:rsid w:val="00863BB0"/>
    <w:rsid w:val="008671FA"/>
    <w:rsid w:val="0087265A"/>
    <w:rsid w:val="008726A8"/>
    <w:rsid w:val="008739D5"/>
    <w:rsid w:val="00877115"/>
    <w:rsid w:val="00883B8C"/>
    <w:rsid w:val="008845FF"/>
    <w:rsid w:val="008862AA"/>
    <w:rsid w:val="00887A4A"/>
    <w:rsid w:val="0089029A"/>
    <w:rsid w:val="008A02B2"/>
    <w:rsid w:val="008C6C19"/>
    <w:rsid w:val="008D315C"/>
    <w:rsid w:val="008D429F"/>
    <w:rsid w:val="008E3E1D"/>
    <w:rsid w:val="008E4FAE"/>
    <w:rsid w:val="008E7AC6"/>
    <w:rsid w:val="008E7C9C"/>
    <w:rsid w:val="008F1C15"/>
    <w:rsid w:val="008F3B04"/>
    <w:rsid w:val="008F6140"/>
    <w:rsid w:val="008F77DA"/>
    <w:rsid w:val="008F7A29"/>
    <w:rsid w:val="0090684F"/>
    <w:rsid w:val="00910142"/>
    <w:rsid w:val="00911311"/>
    <w:rsid w:val="009125BD"/>
    <w:rsid w:val="009178AD"/>
    <w:rsid w:val="009205D7"/>
    <w:rsid w:val="009209E3"/>
    <w:rsid w:val="00920B3E"/>
    <w:rsid w:val="00920F75"/>
    <w:rsid w:val="009236FE"/>
    <w:rsid w:val="00925F87"/>
    <w:rsid w:val="00926E05"/>
    <w:rsid w:val="00932001"/>
    <w:rsid w:val="00932673"/>
    <w:rsid w:val="009336EA"/>
    <w:rsid w:val="009338D4"/>
    <w:rsid w:val="00933FC4"/>
    <w:rsid w:val="009349EE"/>
    <w:rsid w:val="0093508F"/>
    <w:rsid w:val="00935C73"/>
    <w:rsid w:val="0093728A"/>
    <w:rsid w:val="0094186F"/>
    <w:rsid w:val="00942FEC"/>
    <w:rsid w:val="009527D7"/>
    <w:rsid w:val="009568D5"/>
    <w:rsid w:val="00957092"/>
    <w:rsid w:val="00966DB3"/>
    <w:rsid w:val="00972A98"/>
    <w:rsid w:val="00975069"/>
    <w:rsid w:val="00976C38"/>
    <w:rsid w:val="00977412"/>
    <w:rsid w:val="009822B5"/>
    <w:rsid w:val="00986825"/>
    <w:rsid w:val="00995831"/>
    <w:rsid w:val="009A3A1D"/>
    <w:rsid w:val="009A45DF"/>
    <w:rsid w:val="009A4B61"/>
    <w:rsid w:val="009A7058"/>
    <w:rsid w:val="009B1FAF"/>
    <w:rsid w:val="009C1169"/>
    <w:rsid w:val="009C4F3F"/>
    <w:rsid w:val="009C50DB"/>
    <w:rsid w:val="009C6DD1"/>
    <w:rsid w:val="009D03A6"/>
    <w:rsid w:val="009D061F"/>
    <w:rsid w:val="009D0C50"/>
    <w:rsid w:val="009D1B86"/>
    <w:rsid w:val="009D3977"/>
    <w:rsid w:val="009D4FFB"/>
    <w:rsid w:val="009E7348"/>
    <w:rsid w:val="009F2E50"/>
    <w:rsid w:val="009F5484"/>
    <w:rsid w:val="00A001B8"/>
    <w:rsid w:val="00A03D88"/>
    <w:rsid w:val="00A076A7"/>
    <w:rsid w:val="00A10B39"/>
    <w:rsid w:val="00A111A4"/>
    <w:rsid w:val="00A11AD1"/>
    <w:rsid w:val="00A124E7"/>
    <w:rsid w:val="00A12535"/>
    <w:rsid w:val="00A14557"/>
    <w:rsid w:val="00A20A8F"/>
    <w:rsid w:val="00A21EC3"/>
    <w:rsid w:val="00A23439"/>
    <w:rsid w:val="00A23EFA"/>
    <w:rsid w:val="00A25ECE"/>
    <w:rsid w:val="00A26013"/>
    <w:rsid w:val="00A26307"/>
    <w:rsid w:val="00A26A41"/>
    <w:rsid w:val="00A320D9"/>
    <w:rsid w:val="00A35121"/>
    <w:rsid w:val="00A36187"/>
    <w:rsid w:val="00A40734"/>
    <w:rsid w:val="00A42621"/>
    <w:rsid w:val="00A43404"/>
    <w:rsid w:val="00A43D90"/>
    <w:rsid w:val="00A4530B"/>
    <w:rsid w:val="00A46223"/>
    <w:rsid w:val="00A5165F"/>
    <w:rsid w:val="00A521E2"/>
    <w:rsid w:val="00A564A0"/>
    <w:rsid w:val="00A56C6A"/>
    <w:rsid w:val="00A62919"/>
    <w:rsid w:val="00A63555"/>
    <w:rsid w:val="00A6448B"/>
    <w:rsid w:val="00A6572E"/>
    <w:rsid w:val="00A720BC"/>
    <w:rsid w:val="00A7484F"/>
    <w:rsid w:val="00A77D02"/>
    <w:rsid w:val="00A816EE"/>
    <w:rsid w:val="00A91227"/>
    <w:rsid w:val="00A92AA4"/>
    <w:rsid w:val="00A951C0"/>
    <w:rsid w:val="00A96B16"/>
    <w:rsid w:val="00A96E9E"/>
    <w:rsid w:val="00A97365"/>
    <w:rsid w:val="00A9749E"/>
    <w:rsid w:val="00AA235F"/>
    <w:rsid w:val="00AA3113"/>
    <w:rsid w:val="00AA487D"/>
    <w:rsid w:val="00AA5902"/>
    <w:rsid w:val="00AA61E6"/>
    <w:rsid w:val="00AB019A"/>
    <w:rsid w:val="00AB2347"/>
    <w:rsid w:val="00AB2B1A"/>
    <w:rsid w:val="00AB2DA2"/>
    <w:rsid w:val="00AB2EED"/>
    <w:rsid w:val="00AB3069"/>
    <w:rsid w:val="00AB49B1"/>
    <w:rsid w:val="00AC2A1D"/>
    <w:rsid w:val="00AC35AF"/>
    <w:rsid w:val="00AC4120"/>
    <w:rsid w:val="00AC4816"/>
    <w:rsid w:val="00AC651E"/>
    <w:rsid w:val="00AC6BBB"/>
    <w:rsid w:val="00AD0EAE"/>
    <w:rsid w:val="00AD1428"/>
    <w:rsid w:val="00AD347E"/>
    <w:rsid w:val="00AD49E0"/>
    <w:rsid w:val="00AD6B58"/>
    <w:rsid w:val="00AE0FA4"/>
    <w:rsid w:val="00AE4383"/>
    <w:rsid w:val="00AE46B1"/>
    <w:rsid w:val="00AE7C42"/>
    <w:rsid w:val="00AF1BF1"/>
    <w:rsid w:val="00AF2806"/>
    <w:rsid w:val="00AF73EC"/>
    <w:rsid w:val="00B010E6"/>
    <w:rsid w:val="00B05735"/>
    <w:rsid w:val="00B07D02"/>
    <w:rsid w:val="00B12D5C"/>
    <w:rsid w:val="00B151E5"/>
    <w:rsid w:val="00B154A3"/>
    <w:rsid w:val="00B16DC3"/>
    <w:rsid w:val="00B21F93"/>
    <w:rsid w:val="00B33E8F"/>
    <w:rsid w:val="00B33E9A"/>
    <w:rsid w:val="00B42F67"/>
    <w:rsid w:val="00B468F0"/>
    <w:rsid w:val="00B51452"/>
    <w:rsid w:val="00B5256B"/>
    <w:rsid w:val="00B52DAF"/>
    <w:rsid w:val="00B55BA3"/>
    <w:rsid w:val="00B5616C"/>
    <w:rsid w:val="00B63145"/>
    <w:rsid w:val="00B6374A"/>
    <w:rsid w:val="00B65DC6"/>
    <w:rsid w:val="00B66001"/>
    <w:rsid w:val="00B705FC"/>
    <w:rsid w:val="00B710A5"/>
    <w:rsid w:val="00B77765"/>
    <w:rsid w:val="00B81F7F"/>
    <w:rsid w:val="00B82604"/>
    <w:rsid w:val="00B82A8E"/>
    <w:rsid w:val="00B863DD"/>
    <w:rsid w:val="00B87CBE"/>
    <w:rsid w:val="00B91070"/>
    <w:rsid w:val="00B93162"/>
    <w:rsid w:val="00B94D32"/>
    <w:rsid w:val="00B96188"/>
    <w:rsid w:val="00B97EE3"/>
    <w:rsid w:val="00BA2652"/>
    <w:rsid w:val="00BA76A9"/>
    <w:rsid w:val="00BB0356"/>
    <w:rsid w:val="00BB1E41"/>
    <w:rsid w:val="00BB5784"/>
    <w:rsid w:val="00BB7E8C"/>
    <w:rsid w:val="00BC0820"/>
    <w:rsid w:val="00BC382C"/>
    <w:rsid w:val="00BC4288"/>
    <w:rsid w:val="00BC4BE4"/>
    <w:rsid w:val="00BD09D9"/>
    <w:rsid w:val="00BD3526"/>
    <w:rsid w:val="00BE0C95"/>
    <w:rsid w:val="00BE2826"/>
    <w:rsid w:val="00BE3220"/>
    <w:rsid w:val="00BF0589"/>
    <w:rsid w:val="00BF17A7"/>
    <w:rsid w:val="00BF207A"/>
    <w:rsid w:val="00BF24C2"/>
    <w:rsid w:val="00BF4D64"/>
    <w:rsid w:val="00C10978"/>
    <w:rsid w:val="00C125A6"/>
    <w:rsid w:val="00C134EE"/>
    <w:rsid w:val="00C14012"/>
    <w:rsid w:val="00C1505E"/>
    <w:rsid w:val="00C15722"/>
    <w:rsid w:val="00C159BD"/>
    <w:rsid w:val="00C16268"/>
    <w:rsid w:val="00C167B6"/>
    <w:rsid w:val="00C21369"/>
    <w:rsid w:val="00C23337"/>
    <w:rsid w:val="00C242BD"/>
    <w:rsid w:val="00C24465"/>
    <w:rsid w:val="00C26317"/>
    <w:rsid w:val="00C26701"/>
    <w:rsid w:val="00C277F9"/>
    <w:rsid w:val="00C3100F"/>
    <w:rsid w:val="00C340CA"/>
    <w:rsid w:val="00C34C04"/>
    <w:rsid w:val="00C3603E"/>
    <w:rsid w:val="00C36F40"/>
    <w:rsid w:val="00C37EF8"/>
    <w:rsid w:val="00C4065C"/>
    <w:rsid w:val="00C41583"/>
    <w:rsid w:val="00C434CF"/>
    <w:rsid w:val="00C438CA"/>
    <w:rsid w:val="00C45628"/>
    <w:rsid w:val="00C47014"/>
    <w:rsid w:val="00C47BC4"/>
    <w:rsid w:val="00C47FE5"/>
    <w:rsid w:val="00C5362E"/>
    <w:rsid w:val="00C552C9"/>
    <w:rsid w:val="00C61A26"/>
    <w:rsid w:val="00C72B38"/>
    <w:rsid w:val="00C72E0C"/>
    <w:rsid w:val="00C74136"/>
    <w:rsid w:val="00C767B1"/>
    <w:rsid w:val="00C77653"/>
    <w:rsid w:val="00C801D9"/>
    <w:rsid w:val="00C828C3"/>
    <w:rsid w:val="00C86B33"/>
    <w:rsid w:val="00C86E34"/>
    <w:rsid w:val="00C90A85"/>
    <w:rsid w:val="00C92784"/>
    <w:rsid w:val="00C93055"/>
    <w:rsid w:val="00C93FB8"/>
    <w:rsid w:val="00C969E2"/>
    <w:rsid w:val="00C976B4"/>
    <w:rsid w:val="00CA54C7"/>
    <w:rsid w:val="00CB1C8C"/>
    <w:rsid w:val="00CB30A1"/>
    <w:rsid w:val="00CB3F10"/>
    <w:rsid w:val="00CB562C"/>
    <w:rsid w:val="00CC0957"/>
    <w:rsid w:val="00CC168B"/>
    <w:rsid w:val="00CC3920"/>
    <w:rsid w:val="00CC4C6E"/>
    <w:rsid w:val="00CC715A"/>
    <w:rsid w:val="00CD0B2F"/>
    <w:rsid w:val="00CD2217"/>
    <w:rsid w:val="00CD39D7"/>
    <w:rsid w:val="00CD6BDA"/>
    <w:rsid w:val="00CE1A47"/>
    <w:rsid w:val="00CE437C"/>
    <w:rsid w:val="00CE4DFF"/>
    <w:rsid w:val="00CE6C66"/>
    <w:rsid w:val="00CE7D11"/>
    <w:rsid w:val="00CE7FC4"/>
    <w:rsid w:val="00CF0038"/>
    <w:rsid w:val="00CF2A76"/>
    <w:rsid w:val="00CF2A9A"/>
    <w:rsid w:val="00CF2CBE"/>
    <w:rsid w:val="00CF3844"/>
    <w:rsid w:val="00CF6620"/>
    <w:rsid w:val="00CF6E69"/>
    <w:rsid w:val="00CF7EFF"/>
    <w:rsid w:val="00CF7F9F"/>
    <w:rsid w:val="00D00045"/>
    <w:rsid w:val="00D02BD7"/>
    <w:rsid w:val="00D066B4"/>
    <w:rsid w:val="00D07958"/>
    <w:rsid w:val="00D12908"/>
    <w:rsid w:val="00D15300"/>
    <w:rsid w:val="00D16FCD"/>
    <w:rsid w:val="00D2393B"/>
    <w:rsid w:val="00D3486F"/>
    <w:rsid w:val="00D37019"/>
    <w:rsid w:val="00D401BC"/>
    <w:rsid w:val="00D40B6C"/>
    <w:rsid w:val="00D40BE8"/>
    <w:rsid w:val="00D41901"/>
    <w:rsid w:val="00D461F3"/>
    <w:rsid w:val="00D46A56"/>
    <w:rsid w:val="00D53BCF"/>
    <w:rsid w:val="00D56649"/>
    <w:rsid w:val="00D63C88"/>
    <w:rsid w:val="00D65835"/>
    <w:rsid w:val="00D70C0C"/>
    <w:rsid w:val="00D71766"/>
    <w:rsid w:val="00D71ADA"/>
    <w:rsid w:val="00D720C2"/>
    <w:rsid w:val="00D723F6"/>
    <w:rsid w:val="00D72CD0"/>
    <w:rsid w:val="00D808C5"/>
    <w:rsid w:val="00D84F07"/>
    <w:rsid w:val="00D8565A"/>
    <w:rsid w:val="00D85847"/>
    <w:rsid w:val="00D878F7"/>
    <w:rsid w:val="00D878FD"/>
    <w:rsid w:val="00D87D33"/>
    <w:rsid w:val="00D901EB"/>
    <w:rsid w:val="00D94107"/>
    <w:rsid w:val="00DA3944"/>
    <w:rsid w:val="00DA3AF4"/>
    <w:rsid w:val="00DA7E08"/>
    <w:rsid w:val="00DC10F6"/>
    <w:rsid w:val="00DC2805"/>
    <w:rsid w:val="00DC2E90"/>
    <w:rsid w:val="00DC4F9B"/>
    <w:rsid w:val="00DC6CEC"/>
    <w:rsid w:val="00DC7695"/>
    <w:rsid w:val="00DD07FC"/>
    <w:rsid w:val="00DD20AF"/>
    <w:rsid w:val="00DD28FA"/>
    <w:rsid w:val="00DD56C8"/>
    <w:rsid w:val="00DD6007"/>
    <w:rsid w:val="00DD67BE"/>
    <w:rsid w:val="00DE011B"/>
    <w:rsid w:val="00DE5B50"/>
    <w:rsid w:val="00DE60FC"/>
    <w:rsid w:val="00DE77C8"/>
    <w:rsid w:val="00E04EF6"/>
    <w:rsid w:val="00E05DA8"/>
    <w:rsid w:val="00E068E6"/>
    <w:rsid w:val="00E072CF"/>
    <w:rsid w:val="00E1529E"/>
    <w:rsid w:val="00E17727"/>
    <w:rsid w:val="00E17938"/>
    <w:rsid w:val="00E24370"/>
    <w:rsid w:val="00E2516A"/>
    <w:rsid w:val="00E25341"/>
    <w:rsid w:val="00E26B71"/>
    <w:rsid w:val="00E348E1"/>
    <w:rsid w:val="00E40780"/>
    <w:rsid w:val="00E42952"/>
    <w:rsid w:val="00E42F37"/>
    <w:rsid w:val="00E509E3"/>
    <w:rsid w:val="00E51C31"/>
    <w:rsid w:val="00E52636"/>
    <w:rsid w:val="00E53F7C"/>
    <w:rsid w:val="00E559F4"/>
    <w:rsid w:val="00E62219"/>
    <w:rsid w:val="00E628C1"/>
    <w:rsid w:val="00E6548C"/>
    <w:rsid w:val="00E65495"/>
    <w:rsid w:val="00E6766E"/>
    <w:rsid w:val="00E70918"/>
    <w:rsid w:val="00E72C21"/>
    <w:rsid w:val="00E7491B"/>
    <w:rsid w:val="00E81128"/>
    <w:rsid w:val="00E85BF2"/>
    <w:rsid w:val="00E903F6"/>
    <w:rsid w:val="00E92266"/>
    <w:rsid w:val="00E93114"/>
    <w:rsid w:val="00E93FB1"/>
    <w:rsid w:val="00E96E6A"/>
    <w:rsid w:val="00EA4A29"/>
    <w:rsid w:val="00EA5343"/>
    <w:rsid w:val="00EA6F0D"/>
    <w:rsid w:val="00EA733C"/>
    <w:rsid w:val="00EB0DB8"/>
    <w:rsid w:val="00EB0E6E"/>
    <w:rsid w:val="00EB5325"/>
    <w:rsid w:val="00EC0583"/>
    <w:rsid w:val="00EC47ED"/>
    <w:rsid w:val="00EC79ED"/>
    <w:rsid w:val="00ED2AA9"/>
    <w:rsid w:val="00ED4DE6"/>
    <w:rsid w:val="00ED5652"/>
    <w:rsid w:val="00EE3DCF"/>
    <w:rsid w:val="00EE52D3"/>
    <w:rsid w:val="00EF0F83"/>
    <w:rsid w:val="00EF1581"/>
    <w:rsid w:val="00EF2348"/>
    <w:rsid w:val="00EF41FF"/>
    <w:rsid w:val="00EF49FB"/>
    <w:rsid w:val="00EF5605"/>
    <w:rsid w:val="00F008AE"/>
    <w:rsid w:val="00F01E10"/>
    <w:rsid w:val="00F07DFC"/>
    <w:rsid w:val="00F11098"/>
    <w:rsid w:val="00F110D3"/>
    <w:rsid w:val="00F141F0"/>
    <w:rsid w:val="00F15160"/>
    <w:rsid w:val="00F16B23"/>
    <w:rsid w:val="00F16BD2"/>
    <w:rsid w:val="00F16CA9"/>
    <w:rsid w:val="00F2086E"/>
    <w:rsid w:val="00F22109"/>
    <w:rsid w:val="00F25DCD"/>
    <w:rsid w:val="00F261D7"/>
    <w:rsid w:val="00F271F9"/>
    <w:rsid w:val="00F30516"/>
    <w:rsid w:val="00F35E40"/>
    <w:rsid w:val="00F36C94"/>
    <w:rsid w:val="00F37743"/>
    <w:rsid w:val="00F41560"/>
    <w:rsid w:val="00F4405D"/>
    <w:rsid w:val="00F46B18"/>
    <w:rsid w:val="00F50D85"/>
    <w:rsid w:val="00F51862"/>
    <w:rsid w:val="00F52C50"/>
    <w:rsid w:val="00F5372E"/>
    <w:rsid w:val="00F54DA9"/>
    <w:rsid w:val="00F55457"/>
    <w:rsid w:val="00F60154"/>
    <w:rsid w:val="00F614A3"/>
    <w:rsid w:val="00F646D3"/>
    <w:rsid w:val="00F651D0"/>
    <w:rsid w:val="00F677A0"/>
    <w:rsid w:val="00F729AE"/>
    <w:rsid w:val="00F72ABA"/>
    <w:rsid w:val="00F75D89"/>
    <w:rsid w:val="00F805EE"/>
    <w:rsid w:val="00F81AED"/>
    <w:rsid w:val="00F8400A"/>
    <w:rsid w:val="00F87542"/>
    <w:rsid w:val="00F927E2"/>
    <w:rsid w:val="00F92A2C"/>
    <w:rsid w:val="00F9610B"/>
    <w:rsid w:val="00F96C44"/>
    <w:rsid w:val="00FA5270"/>
    <w:rsid w:val="00FA63E8"/>
    <w:rsid w:val="00FB2913"/>
    <w:rsid w:val="00FC1C84"/>
    <w:rsid w:val="00FC51BC"/>
    <w:rsid w:val="00FC5642"/>
    <w:rsid w:val="00FC7B66"/>
    <w:rsid w:val="00FD2BC2"/>
    <w:rsid w:val="00FD38E0"/>
    <w:rsid w:val="00FD48C7"/>
    <w:rsid w:val="00FD4D55"/>
    <w:rsid w:val="00FD65AA"/>
    <w:rsid w:val="00FD6BD8"/>
    <w:rsid w:val="00FE0A32"/>
    <w:rsid w:val="00FE1C8B"/>
    <w:rsid w:val="00FE29F4"/>
    <w:rsid w:val="00FF3576"/>
    <w:rsid w:val="00FF3A12"/>
    <w:rsid w:val="00FF6289"/>
    <w:rsid w:val="00FF785E"/>
    <w:rsid w:val="00FF7A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A1CD8"/>
  <w15:chartTrackingRefBased/>
  <w15:docId w15:val="{889C3136-7BE0-489E-87A0-9FCB82AF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aliases w:val="Título Principal,CAPITULO 1,000000,1. Texto Base,heading 1"/>
    <w:basedOn w:val="Normal"/>
    <w:next w:val="Normal"/>
    <w:link w:val="Ttulo1Car"/>
    <w:qFormat/>
    <w:rsid w:val="00A03D88"/>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2A7367"/>
    <w:pPr>
      <w:keepNext/>
      <w:widowControl w:val="0"/>
      <w:autoSpaceDE w:val="0"/>
      <w:autoSpaceDN w:val="0"/>
      <w:adjustRightInd w:val="0"/>
      <w:spacing w:before="240" w:after="60" w:line="240" w:lineRule="auto"/>
      <w:outlineLvl w:val="1"/>
    </w:pPr>
    <w:rPr>
      <w:rFonts w:ascii="Calibri Light" w:eastAsia="Times New Roman" w:hAnsi="Calibri Light"/>
      <w:b/>
      <w:bCs/>
      <w:i/>
      <w:iCs/>
      <w:color w:val="000000"/>
      <w:sz w:val="28"/>
      <w:szCs w:val="28"/>
      <w:lang w:val="es-ES" w:eastAsia="es-ES"/>
    </w:rPr>
  </w:style>
  <w:style w:type="paragraph" w:styleId="Ttulo3">
    <w:name w:val="heading 3"/>
    <w:basedOn w:val="Normal"/>
    <w:next w:val="Normal"/>
    <w:link w:val="Ttulo3Car"/>
    <w:uiPriority w:val="9"/>
    <w:semiHidden/>
    <w:unhideWhenUsed/>
    <w:qFormat/>
    <w:rsid w:val="00BF24C2"/>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semiHidden/>
    <w:unhideWhenUsed/>
    <w:qFormat/>
    <w:rsid w:val="0020707F"/>
    <w:pPr>
      <w:keepNext/>
      <w:spacing w:before="240" w:after="60"/>
      <w:outlineLvl w:val="3"/>
    </w:pPr>
    <w:rPr>
      <w:rFonts w:eastAsia="Times New Roman"/>
      <w:b/>
      <w:bCs/>
      <w:sz w:val="28"/>
      <w:szCs w:val="28"/>
    </w:rPr>
  </w:style>
  <w:style w:type="paragraph" w:styleId="Ttulo7">
    <w:name w:val="heading 7"/>
    <w:basedOn w:val="Normal"/>
    <w:next w:val="Normal"/>
    <w:link w:val="Ttulo7Car1"/>
    <w:qFormat/>
    <w:rsid w:val="00A03D88"/>
    <w:pPr>
      <w:keepNext/>
      <w:widowControl w:val="0"/>
      <w:numPr>
        <w:ilvl w:val="6"/>
        <w:numId w:val="1"/>
      </w:numPr>
      <w:tabs>
        <w:tab w:val="left" w:pos="0"/>
      </w:tabs>
      <w:suppressAutoHyphens/>
      <w:autoSpaceDE w:val="0"/>
      <w:spacing w:after="0" w:line="240" w:lineRule="auto"/>
      <w:jc w:val="right"/>
      <w:outlineLvl w:val="6"/>
    </w:pPr>
    <w:rPr>
      <w:rFonts w:ascii="Arial" w:eastAsia="Times New Roman" w:hAnsi="Arial"/>
      <w:b/>
      <w:bCs/>
      <w:sz w:val="24"/>
      <w:szCs w:val="24"/>
      <w:u w:val="single"/>
      <w:shd w:val="clear" w:color="auto" w:fill="FFFFFF"/>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next w:val="Normal"/>
    <w:qFormat/>
    <w:rsid w:val="00FF785E"/>
    <w:pPr>
      <w:widowControl w:val="0"/>
      <w:autoSpaceDE w:val="0"/>
      <w:autoSpaceDN w:val="0"/>
      <w:adjustRightInd w:val="0"/>
    </w:pPr>
    <w:rPr>
      <w:rFonts w:ascii="Arial" w:eastAsia="Times New Roman" w:hAnsi="Arial" w:cs="Arial"/>
      <w:sz w:val="24"/>
      <w:szCs w:val="24"/>
      <w:u w:color="000000"/>
      <w:lang w:val="es-ES" w:eastAsia="es-ES"/>
    </w:rPr>
  </w:style>
  <w:style w:type="character" w:styleId="Textoennegrita">
    <w:name w:val="Strong"/>
    <w:uiPriority w:val="22"/>
    <w:qFormat/>
    <w:rsid w:val="00FF785E"/>
    <w:rPr>
      <w:b/>
      <w:bCs/>
    </w:rPr>
  </w:style>
  <w:style w:type="table" w:styleId="Tablaconcuadrcula">
    <w:name w:val="Table Grid"/>
    <w:basedOn w:val="Tablanormal"/>
    <w:uiPriority w:val="39"/>
    <w:rsid w:val="000E6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Cuerpodetexto"/>
    <w:locked/>
    <w:rsid w:val="00E96E6A"/>
    <w:rPr>
      <w:rFonts w:ascii="Times New Roman" w:eastAsia="Times New Roman" w:hAnsi="Times New Roman"/>
      <w:sz w:val="24"/>
      <w:lang w:val="en-US" w:eastAsia="es-ES"/>
    </w:rPr>
  </w:style>
  <w:style w:type="paragraph" w:customStyle="1" w:styleId="Cuerpodetexto">
    <w:name w:val="Cuerpo de texto"/>
    <w:basedOn w:val="Normal"/>
    <w:link w:val="TextoindependienteCar"/>
    <w:rsid w:val="00E96E6A"/>
    <w:pPr>
      <w:suppressAutoHyphens/>
      <w:spacing w:after="0" w:line="288" w:lineRule="auto"/>
      <w:jc w:val="both"/>
    </w:pPr>
    <w:rPr>
      <w:rFonts w:ascii="Times New Roman" w:eastAsia="Times New Roman" w:hAnsi="Times New Roman"/>
      <w:sz w:val="24"/>
      <w:szCs w:val="20"/>
      <w:lang w:val="en-US" w:eastAsia="es-ES"/>
    </w:rPr>
  </w:style>
  <w:style w:type="paragraph" w:styleId="Sinespaciado">
    <w:name w:val="No Spacing"/>
    <w:uiPriority w:val="1"/>
    <w:qFormat/>
    <w:rsid w:val="00E96E6A"/>
    <w:rPr>
      <w:sz w:val="22"/>
      <w:szCs w:val="22"/>
      <w:lang w:eastAsia="en-US"/>
    </w:rPr>
  </w:style>
  <w:style w:type="character" w:customStyle="1" w:styleId="Ttulo7Car">
    <w:name w:val="Título 7 Car"/>
    <w:uiPriority w:val="9"/>
    <w:semiHidden/>
    <w:rsid w:val="00A03D88"/>
    <w:rPr>
      <w:rFonts w:ascii="Calibri" w:eastAsia="Times New Roman" w:hAnsi="Calibri" w:cs="Times New Roman"/>
      <w:sz w:val="24"/>
      <w:szCs w:val="24"/>
      <w:lang w:eastAsia="en-US"/>
    </w:rPr>
  </w:style>
  <w:style w:type="character" w:customStyle="1" w:styleId="Ttulo7Car1">
    <w:name w:val="Título 7 Car1"/>
    <w:link w:val="Ttulo7"/>
    <w:rsid w:val="00A03D88"/>
    <w:rPr>
      <w:rFonts w:ascii="Arial" w:eastAsia="Times New Roman" w:hAnsi="Arial"/>
      <w:b/>
      <w:bCs/>
      <w:sz w:val="24"/>
      <w:szCs w:val="24"/>
      <w:u w:val="single"/>
      <w:lang w:val="es-ES" w:eastAsia="ar-SA"/>
    </w:rPr>
  </w:style>
  <w:style w:type="paragraph" w:customStyle="1" w:styleId="Ttulo51">
    <w:name w:val="Título 51"/>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31">
    <w:name w:val="Título 31"/>
    <w:next w:val="Normal"/>
    <w:rsid w:val="00A03D88"/>
    <w:pPr>
      <w:widowControl w:val="0"/>
      <w:numPr>
        <w:ilvl w:val="2"/>
        <w:numId w:val="1"/>
      </w:numPr>
      <w:suppressAutoHyphens/>
      <w:outlineLvl w:val="2"/>
    </w:pPr>
    <w:rPr>
      <w:rFonts w:ascii="Times New Roman" w:eastAsia="Arial Unicode MS" w:hAnsi="Times New Roman"/>
      <w:sz w:val="24"/>
      <w:szCs w:val="24"/>
      <w:u w:val="single"/>
      <w:shd w:val="clear" w:color="auto" w:fill="FFFFFF"/>
      <w:lang w:val="es-ES_tradnl" w:eastAsia="es-ES"/>
    </w:rPr>
  </w:style>
  <w:style w:type="paragraph" w:customStyle="1" w:styleId="SUBPROGRAMA">
    <w:name w:val="SUBPROGRAMA"/>
    <w:basedOn w:val="Ttulo1"/>
    <w:next w:val="Normal"/>
    <w:qFormat/>
    <w:rsid w:val="00A03D88"/>
    <w:pPr>
      <w:numPr>
        <w:numId w:val="1"/>
      </w:numPr>
      <w:tabs>
        <w:tab w:val="clear" w:pos="0"/>
      </w:tabs>
      <w:spacing w:line="240" w:lineRule="auto"/>
      <w:ind w:left="703"/>
      <w:jc w:val="both"/>
    </w:pPr>
    <w:rPr>
      <w:rFonts w:ascii="Bookman Old Style" w:hAnsi="Bookman Old Style"/>
      <w:bCs w:val="0"/>
      <w:smallCaps/>
      <w:color w:val="000080"/>
      <w:kern w:val="28"/>
      <w:sz w:val="28"/>
      <w:szCs w:val="20"/>
      <w:u w:val="single"/>
      <w:lang w:val="es-ES" w:eastAsia="es-ES"/>
    </w:rPr>
  </w:style>
  <w:style w:type="paragraph" w:customStyle="1" w:styleId="Ttulo53">
    <w:name w:val="Título 53"/>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52">
    <w:name w:val="Título 52"/>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character" w:customStyle="1" w:styleId="Ttulo1Car">
    <w:name w:val="Título 1 Car"/>
    <w:aliases w:val="Título Principal Car,CAPITULO 1 Car,000000 Car,1. Texto Base Car,heading 1 Car"/>
    <w:link w:val="Ttulo1"/>
    <w:uiPriority w:val="9"/>
    <w:rsid w:val="00A03D88"/>
    <w:rPr>
      <w:rFonts w:ascii="Calibri Light" w:eastAsia="Times New Roman" w:hAnsi="Calibri Light" w:cs="Times New Roman"/>
      <w:b/>
      <w:bCs/>
      <w:kern w:val="32"/>
      <w:sz w:val="32"/>
      <w:szCs w:val="32"/>
      <w:lang w:eastAsia="en-US"/>
    </w:rPr>
  </w:style>
  <w:style w:type="paragraph" w:styleId="Listaconvietas">
    <w:name w:val="List Bullet"/>
    <w:aliases w:val="UL"/>
    <w:basedOn w:val="Normal"/>
    <w:rsid w:val="0074793A"/>
    <w:pPr>
      <w:keepLines/>
      <w:widowControl w:val="0"/>
      <w:numPr>
        <w:numId w:val="2"/>
      </w:numPr>
      <w:tabs>
        <w:tab w:val="num" w:pos="1080"/>
      </w:tabs>
      <w:autoSpaceDE w:val="0"/>
      <w:autoSpaceDN w:val="0"/>
      <w:adjustRightInd w:val="0"/>
      <w:spacing w:before="60" w:after="60" w:line="240" w:lineRule="auto"/>
      <w:ind w:left="1208" w:hanging="357"/>
      <w:jc w:val="both"/>
    </w:pPr>
    <w:rPr>
      <w:rFonts w:ascii="Tahoma" w:eastAsia="Times New Roman" w:hAnsi="Tahoma" w:cs="Tahoma"/>
      <w:sz w:val="20"/>
      <w:szCs w:val="20"/>
      <w:lang w:val="es-ES" w:eastAsia="es-ES"/>
    </w:rPr>
  </w:style>
  <w:style w:type="paragraph" w:styleId="Textoindependiente2">
    <w:name w:val="Body Text 2"/>
    <w:basedOn w:val="Normal"/>
    <w:link w:val="Textoindependiente2Car"/>
    <w:rsid w:val="00656F11"/>
    <w:pPr>
      <w:spacing w:after="0" w:line="240" w:lineRule="auto"/>
      <w:jc w:val="both"/>
    </w:pPr>
    <w:rPr>
      <w:rFonts w:ascii="Bookman Old Style" w:eastAsia="Times New Roman" w:hAnsi="Bookman Old Style"/>
      <w:sz w:val="24"/>
      <w:szCs w:val="24"/>
      <w:lang w:val="es-ES_tradnl" w:eastAsia="es-ES"/>
    </w:rPr>
  </w:style>
  <w:style w:type="character" w:customStyle="1" w:styleId="Textoindependiente2Car">
    <w:name w:val="Texto independiente 2 Car"/>
    <w:link w:val="Textoindependiente2"/>
    <w:rsid w:val="00656F11"/>
    <w:rPr>
      <w:rFonts w:ascii="Bookman Old Style" w:eastAsia="Times New Roman" w:hAnsi="Bookman Old Style"/>
      <w:sz w:val="24"/>
      <w:szCs w:val="24"/>
      <w:lang w:val="es-ES_tradnl" w:eastAsia="es-ES"/>
    </w:rPr>
  </w:style>
  <w:style w:type="character" w:styleId="Hipervnculo">
    <w:name w:val="Hyperlink"/>
    <w:uiPriority w:val="99"/>
    <w:rsid w:val="00656F11"/>
    <w:rPr>
      <w:rFonts w:cs="Times New Roman"/>
      <w:color w:val="0000FF"/>
      <w:u w:val="single"/>
    </w:rPr>
  </w:style>
  <w:style w:type="character" w:customStyle="1" w:styleId="Ttulo2Car">
    <w:name w:val="Título 2 Car"/>
    <w:link w:val="Ttulo2"/>
    <w:uiPriority w:val="9"/>
    <w:semiHidden/>
    <w:rsid w:val="002A7367"/>
    <w:rPr>
      <w:rFonts w:ascii="Calibri Light" w:eastAsia="Times New Roman" w:hAnsi="Calibri Light"/>
      <w:b/>
      <w:bCs/>
      <w:i/>
      <w:iCs/>
      <w:color w:val="000000"/>
      <w:sz w:val="28"/>
      <w:szCs w:val="28"/>
      <w:lang w:val="es-ES" w:eastAsia="es-ES"/>
    </w:rPr>
  </w:style>
  <w:style w:type="numbering" w:customStyle="1" w:styleId="Sinlista1">
    <w:name w:val="Sin lista1"/>
    <w:next w:val="Sinlista"/>
    <w:uiPriority w:val="99"/>
    <w:semiHidden/>
    <w:unhideWhenUsed/>
    <w:rsid w:val="002A7367"/>
  </w:style>
  <w:style w:type="paragraph" w:styleId="Textodeglobo">
    <w:name w:val="Balloon Text"/>
    <w:basedOn w:val="Normal"/>
    <w:link w:val="TextodegloboCar"/>
    <w:uiPriority w:val="99"/>
    <w:semiHidden/>
    <w:rsid w:val="002A7367"/>
    <w:pPr>
      <w:widowControl w:val="0"/>
      <w:autoSpaceDE w:val="0"/>
      <w:autoSpaceDN w:val="0"/>
      <w:adjustRightInd w:val="0"/>
      <w:spacing w:after="0" w:line="240" w:lineRule="auto"/>
    </w:pPr>
    <w:rPr>
      <w:rFonts w:ascii="Times New Roman" w:eastAsia="Times New Roman" w:hAnsi="Times New Roman"/>
      <w:color w:val="000000"/>
      <w:sz w:val="0"/>
      <w:szCs w:val="0"/>
      <w:lang w:val="es-ES" w:eastAsia="es-ES"/>
    </w:rPr>
  </w:style>
  <w:style w:type="character" w:customStyle="1" w:styleId="TextodegloboCar">
    <w:name w:val="Texto de globo Car"/>
    <w:link w:val="Textodeglobo"/>
    <w:uiPriority w:val="99"/>
    <w:semiHidden/>
    <w:rsid w:val="002A7367"/>
    <w:rPr>
      <w:rFonts w:ascii="Times New Roman" w:eastAsia="Times New Roman" w:hAnsi="Times New Roman"/>
      <w:color w:val="000000"/>
      <w:sz w:val="0"/>
      <w:szCs w:val="0"/>
      <w:lang w:val="es-ES" w:eastAsia="es-ES"/>
    </w:rPr>
  </w:style>
  <w:style w:type="paragraph" w:customStyle="1" w:styleId="Car">
    <w:name w:val="Car"/>
    <w:basedOn w:val="Normal"/>
    <w:semiHidden/>
    <w:rsid w:val="002A7367"/>
    <w:pPr>
      <w:spacing w:line="240" w:lineRule="exact"/>
    </w:pPr>
    <w:rPr>
      <w:rFonts w:ascii="Verdana" w:eastAsia="Times New Roman" w:hAnsi="Verdana" w:cs="Verdana"/>
      <w:sz w:val="20"/>
      <w:szCs w:val="20"/>
      <w:lang w:val="en-AU"/>
    </w:rPr>
  </w:style>
  <w:style w:type="paragraph" w:customStyle="1" w:styleId="Car1">
    <w:name w:val="Car1"/>
    <w:basedOn w:val="Normal"/>
    <w:uiPriority w:val="99"/>
    <w:semiHidden/>
    <w:rsid w:val="002A7367"/>
    <w:pPr>
      <w:spacing w:line="240" w:lineRule="exact"/>
    </w:pPr>
    <w:rPr>
      <w:rFonts w:ascii="Verdana" w:eastAsia="Times New Roman" w:hAnsi="Verdana" w:cs="Verdana"/>
      <w:sz w:val="20"/>
      <w:szCs w:val="20"/>
      <w:lang w:val="en-AU"/>
    </w:rPr>
  </w:style>
  <w:style w:type="character" w:customStyle="1" w:styleId="apple-converted-space">
    <w:name w:val="apple-converted-space"/>
    <w:uiPriority w:val="99"/>
    <w:rsid w:val="002A7367"/>
    <w:rPr>
      <w:rFonts w:cs="Times New Roman"/>
    </w:rPr>
  </w:style>
  <w:style w:type="paragraph" w:styleId="Textosinformato">
    <w:name w:val="Plain Text"/>
    <w:basedOn w:val="Normal"/>
    <w:link w:val="TextosinformatoCar"/>
    <w:uiPriority w:val="99"/>
    <w:rsid w:val="002A7367"/>
    <w:pPr>
      <w:overflowPunct w:val="0"/>
      <w:autoSpaceDE w:val="0"/>
      <w:autoSpaceDN w:val="0"/>
      <w:adjustRightInd w:val="0"/>
      <w:spacing w:after="0" w:line="240" w:lineRule="auto"/>
      <w:textAlignment w:val="baseline"/>
    </w:pPr>
    <w:rPr>
      <w:rFonts w:ascii="Courier New" w:eastAsia="Times New Roman" w:hAnsi="Courier New"/>
      <w:color w:val="000000"/>
      <w:sz w:val="20"/>
      <w:szCs w:val="20"/>
      <w:lang w:val="es-ES" w:eastAsia="es-ES"/>
    </w:rPr>
  </w:style>
  <w:style w:type="character" w:customStyle="1" w:styleId="TextosinformatoCar">
    <w:name w:val="Texto sin formato Car"/>
    <w:link w:val="Textosinformato"/>
    <w:uiPriority w:val="99"/>
    <w:rsid w:val="002A7367"/>
    <w:rPr>
      <w:rFonts w:ascii="Courier New" w:eastAsia="Times New Roman" w:hAnsi="Courier New"/>
      <w:color w:val="000000"/>
      <w:lang w:val="es-ES" w:eastAsia="es-ES"/>
    </w:rPr>
  </w:style>
  <w:style w:type="paragraph" w:customStyle="1" w:styleId="Default">
    <w:name w:val="Default"/>
    <w:rsid w:val="002A7367"/>
    <w:pPr>
      <w:autoSpaceDE w:val="0"/>
      <w:autoSpaceDN w:val="0"/>
      <w:adjustRightInd w:val="0"/>
    </w:pPr>
    <w:rPr>
      <w:rFonts w:ascii="Arial" w:eastAsia="Times New Roman" w:hAnsi="Arial" w:cs="Arial"/>
      <w:color w:val="000000"/>
      <w:sz w:val="24"/>
      <w:szCs w:val="24"/>
      <w:lang w:val="es-ES" w:eastAsia="es-ES"/>
    </w:rPr>
  </w:style>
  <w:style w:type="paragraph" w:styleId="Textoindependiente">
    <w:name w:val="Body Text"/>
    <w:basedOn w:val="Normal"/>
    <w:uiPriority w:val="99"/>
    <w:rsid w:val="002A7367"/>
    <w:pPr>
      <w:widowControl w:val="0"/>
      <w:autoSpaceDE w:val="0"/>
      <w:autoSpaceDN w:val="0"/>
      <w:adjustRightInd w:val="0"/>
      <w:spacing w:after="120" w:line="240" w:lineRule="auto"/>
      <w:jc w:val="both"/>
    </w:pPr>
    <w:rPr>
      <w:rFonts w:ascii="Arial" w:eastAsia="Times New Roman" w:hAnsi="Arial"/>
      <w:color w:val="000000"/>
      <w:sz w:val="28"/>
      <w:szCs w:val="28"/>
      <w:lang w:val="es-ES" w:eastAsia="es-ES"/>
    </w:rPr>
  </w:style>
  <w:style w:type="character" w:customStyle="1" w:styleId="TextoindependienteCar1">
    <w:name w:val="Texto independiente Car1"/>
    <w:uiPriority w:val="99"/>
    <w:semiHidden/>
    <w:rsid w:val="002A7367"/>
    <w:rPr>
      <w:sz w:val="22"/>
      <w:szCs w:val="22"/>
      <w:lang w:eastAsia="en-US"/>
    </w:rPr>
  </w:style>
  <w:style w:type="paragraph" w:styleId="Prrafodelista">
    <w:name w:val="List Paragraph"/>
    <w:aliases w:val="Bullet 1,Use Case List Paragraph,Lista vistosa - Énfasis 11,Párrafo de lista Car Car Car,List Paragraph,Footnote,List Paragraph2,Informe,FooterText,numbered,Paragraphe de liste1,Bulletr List Paragraph,列出段落,列出段落1,lp1,lp11"/>
    <w:basedOn w:val="Normal"/>
    <w:link w:val="PrrafodelistaCar"/>
    <w:uiPriority w:val="34"/>
    <w:qFormat/>
    <w:rsid w:val="002A7367"/>
    <w:pPr>
      <w:widowControl w:val="0"/>
      <w:autoSpaceDE w:val="0"/>
      <w:autoSpaceDN w:val="0"/>
      <w:adjustRightInd w:val="0"/>
      <w:spacing w:after="0" w:line="240" w:lineRule="auto"/>
      <w:ind w:left="708"/>
      <w:jc w:val="both"/>
    </w:pPr>
    <w:rPr>
      <w:rFonts w:eastAsia="Times New Roman" w:cs="Calibri"/>
      <w:lang w:val="es-ES" w:eastAsia="es-ES"/>
    </w:rPr>
  </w:style>
  <w:style w:type="paragraph" w:customStyle="1" w:styleId="Prrafodelista1">
    <w:name w:val="Párrafo de lista1"/>
    <w:rsid w:val="002A7367"/>
    <w:pPr>
      <w:widowControl w:val="0"/>
      <w:autoSpaceDE w:val="0"/>
      <w:autoSpaceDN w:val="0"/>
      <w:adjustRightInd w:val="0"/>
      <w:ind w:left="720"/>
      <w:jc w:val="both"/>
    </w:pPr>
    <w:rPr>
      <w:rFonts w:eastAsia="Times New Roman" w:cs="Calibri"/>
      <w:sz w:val="22"/>
      <w:szCs w:val="22"/>
      <w:lang w:val="es-ES" w:eastAsia="es-ES"/>
    </w:rPr>
  </w:style>
  <w:style w:type="table" w:customStyle="1" w:styleId="Tablaconcuadrcula1">
    <w:name w:val="Tabla con cuadrícula1"/>
    <w:basedOn w:val="Tablanormal"/>
    <w:next w:val="Tablaconcuadrcula"/>
    <w:rsid w:val="002A736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qFormat/>
    <w:rsid w:val="002A7367"/>
    <w:pPr>
      <w:widowControl w:val="0"/>
      <w:autoSpaceDE w:val="0"/>
      <w:autoSpaceDN w:val="0"/>
      <w:adjustRightInd w:val="0"/>
      <w:spacing w:before="100" w:after="100" w:line="240" w:lineRule="auto"/>
    </w:pPr>
    <w:rPr>
      <w:rFonts w:eastAsia="Times New Roman" w:cs="Calibri"/>
      <w:sz w:val="24"/>
      <w:szCs w:val="24"/>
      <w:lang w:val="es-ES" w:eastAsia="es-ES"/>
    </w:rPr>
  </w:style>
  <w:style w:type="paragraph" w:customStyle="1" w:styleId="Prrafodelista2">
    <w:name w:val="Párrafo de lista2"/>
    <w:rsid w:val="002A7367"/>
    <w:pPr>
      <w:widowControl w:val="0"/>
      <w:autoSpaceDE w:val="0"/>
      <w:autoSpaceDN w:val="0"/>
      <w:adjustRightInd w:val="0"/>
      <w:ind w:left="708"/>
      <w:jc w:val="both"/>
    </w:pPr>
    <w:rPr>
      <w:rFonts w:eastAsia="Times New Roman" w:cs="Calibri"/>
      <w:sz w:val="22"/>
      <w:szCs w:val="22"/>
      <w:lang w:val="es-ES" w:eastAsia="es-ES"/>
    </w:rPr>
  </w:style>
  <w:style w:type="paragraph" w:styleId="Textonotapie">
    <w:name w:val="footnote text"/>
    <w:basedOn w:val="Normal"/>
    <w:link w:val="TextonotapieCar"/>
    <w:rsid w:val="002A7367"/>
    <w:pPr>
      <w:widowControl w:val="0"/>
      <w:autoSpaceDE w:val="0"/>
      <w:autoSpaceDN w:val="0"/>
      <w:adjustRightInd w:val="0"/>
      <w:spacing w:after="0" w:line="240" w:lineRule="auto"/>
      <w:jc w:val="both"/>
    </w:pPr>
    <w:rPr>
      <w:rFonts w:ascii="Times New Roman" w:eastAsia="Times New Roman" w:hAnsi="Times New Roman"/>
      <w:sz w:val="20"/>
      <w:szCs w:val="20"/>
      <w:lang w:val="es-ES" w:eastAsia="es-ES"/>
    </w:rPr>
  </w:style>
  <w:style w:type="character" w:customStyle="1" w:styleId="TextonotapieCar">
    <w:name w:val="Texto nota pie Car"/>
    <w:link w:val="Textonotapie"/>
    <w:rsid w:val="002A7367"/>
    <w:rPr>
      <w:rFonts w:ascii="Times New Roman" w:eastAsia="Times New Roman" w:hAnsi="Times New Roman"/>
      <w:lang w:val="es-ES" w:eastAsia="es-ES"/>
    </w:rPr>
  </w:style>
  <w:style w:type="character" w:customStyle="1" w:styleId="Mencinsinresolver1">
    <w:name w:val="Mención sin resolver1"/>
    <w:uiPriority w:val="99"/>
    <w:semiHidden/>
    <w:unhideWhenUsed/>
    <w:rsid w:val="002A7367"/>
    <w:rPr>
      <w:color w:val="808080"/>
      <w:shd w:val="clear" w:color="auto" w:fill="E6E6E6"/>
    </w:rPr>
  </w:style>
  <w:style w:type="character" w:styleId="nfasis">
    <w:name w:val="Emphasis"/>
    <w:qFormat/>
    <w:rsid w:val="002A7367"/>
    <w:rPr>
      <w:i/>
      <w:iCs/>
    </w:rPr>
  </w:style>
  <w:style w:type="paragraph" w:customStyle="1" w:styleId="Style">
    <w:name w:val="Style"/>
    <w:basedOn w:val="Normal"/>
    <w:next w:val="Normal"/>
    <w:qFormat/>
    <w:rsid w:val="002A7367"/>
    <w:pPr>
      <w:spacing w:after="0" w:line="240" w:lineRule="auto"/>
    </w:pPr>
    <w:rPr>
      <w:rFonts w:ascii="Times New Roman" w:eastAsia="Times New Roman" w:hAnsi="Times New Roman"/>
      <w:b/>
      <w:bCs/>
      <w:sz w:val="20"/>
      <w:szCs w:val="20"/>
      <w:lang w:val="es-ES" w:eastAsia="es-ES"/>
    </w:rPr>
  </w:style>
  <w:style w:type="character" w:styleId="Refdenotaalpie">
    <w:name w:val="footnote reference"/>
    <w:uiPriority w:val="99"/>
    <w:semiHidden/>
    <w:unhideWhenUsed/>
    <w:rsid w:val="002A7367"/>
    <w:rPr>
      <w:vertAlign w:val="superscript"/>
    </w:rPr>
  </w:style>
  <w:style w:type="paragraph" w:styleId="Encabezado">
    <w:name w:val="header"/>
    <w:basedOn w:val="Normal"/>
    <w:link w:val="Encabezado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EncabezadoCar">
    <w:name w:val="Encabezado Car"/>
    <w:link w:val="Encabezado"/>
    <w:uiPriority w:val="99"/>
    <w:rsid w:val="002A7367"/>
    <w:rPr>
      <w:rFonts w:ascii="Arial" w:eastAsia="Times New Roman" w:hAnsi="Arial" w:cs="Arial"/>
      <w:color w:val="000000"/>
      <w:sz w:val="28"/>
      <w:szCs w:val="28"/>
      <w:lang w:val="es-ES" w:eastAsia="es-ES"/>
    </w:rPr>
  </w:style>
  <w:style w:type="paragraph" w:styleId="Piedepgina">
    <w:name w:val="footer"/>
    <w:basedOn w:val="Normal"/>
    <w:link w:val="Piedepgina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PiedepginaCar">
    <w:name w:val="Pie de página Car"/>
    <w:link w:val="Piedepgina"/>
    <w:uiPriority w:val="99"/>
    <w:rsid w:val="002A7367"/>
    <w:rPr>
      <w:rFonts w:ascii="Arial" w:eastAsia="Times New Roman" w:hAnsi="Arial" w:cs="Arial"/>
      <w:color w:val="000000"/>
      <w:sz w:val="28"/>
      <w:szCs w:val="28"/>
      <w:lang w:val="es-ES" w:eastAsia="es-ES"/>
    </w:rPr>
  </w:style>
  <w:style w:type="paragraph" w:customStyle="1" w:styleId="WW-Predeterminado11">
    <w:name w:val="WW-Predeterminado11"/>
    <w:rsid w:val="002A7367"/>
    <w:pPr>
      <w:widowControl w:val="0"/>
      <w:suppressAutoHyphens/>
    </w:pPr>
    <w:rPr>
      <w:rFonts w:ascii="Times New Roman" w:eastAsia="font487" w:hAnsi="Times New Roman"/>
      <w:color w:val="000000"/>
      <w:sz w:val="24"/>
      <w:szCs w:val="24"/>
      <w:lang w:eastAsia="zh-CN" w:bidi="hi-IN"/>
    </w:rPr>
  </w:style>
  <w:style w:type="paragraph" w:customStyle="1" w:styleId="app-page-detaildocumentany">
    <w:name w:val="app-page-detail_document_any"/>
    <w:basedOn w:val="Normal"/>
    <w:rsid w:val="002A7367"/>
    <w:pPr>
      <w:widowControl w:val="0"/>
      <w:spacing w:after="0" w:line="300" w:lineRule="atLeast"/>
    </w:pPr>
    <w:rPr>
      <w:rFonts w:ascii="Arial" w:eastAsia="Times New Roman" w:hAnsi="Arial" w:cs="Arial"/>
      <w:color w:val="000000"/>
      <w:sz w:val="21"/>
      <w:szCs w:val="21"/>
      <w:lang w:eastAsia="es-CR"/>
    </w:rPr>
  </w:style>
  <w:style w:type="character" w:customStyle="1" w:styleId="app-page-detaildocumentanyCharacter">
    <w:name w:val="app-page-detail_document_any Character"/>
    <w:rsid w:val="002A7367"/>
    <w:rPr>
      <w:rFonts w:ascii="Arial" w:eastAsia="Times New Roman" w:hAnsi="Arial" w:cs="Arial"/>
      <w:color w:val="000000"/>
      <w:sz w:val="21"/>
      <w:szCs w:val="21"/>
      <w:bdr w:val="none" w:sz="0" w:space="0" w:color="auto"/>
    </w:rPr>
  </w:style>
  <w:style w:type="character" w:customStyle="1" w:styleId="example1">
    <w:name w:val="example1"/>
    <w:rsid w:val="002A7367"/>
  </w:style>
  <w:style w:type="character" w:styleId="nfasisintenso">
    <w:name w:val="Intense Emphasis"/>
    <w:uiPriority w:val="21"/>
    <w:qFormat/>
    <w:rsid w:val="002A7367"/>
    <w:rPr>
      <w:i/>
      <w:iCs/>
      <w:color w:val="4472C4"/>
    </w:rPr>
  </w:style>
  <w:style w:type="character" w:customStyle="1" w:styleId="NormalWebCar">
    <w:name w:val="Normal (Web) Car"/>
    <w:link w:val="NormalWeb"/>
    <w:uiPriority w:val="99"/>
    <w:qFormat/>
    <w:locked/>
    <w:rsid w:val="002A7367"/>
    <w:rPr>
      <w:rFonts w:eastAsia="Times New Roman" w:cs="Calibri"/>
      <w:sz w:val="24"/>
      <w:szCs w:val="24"/>
      <w:lang w:val="es-ES" w:eastAsia="es-ES"/>
    </w:rPr>
  </w:style>
  <w:style w:type="paragraph" w:customStyle="1" w:styleId="Autocorrecci3f">
    <w:name w:val="Autocorrecci?3f"/>
    <w:uiPriority w:val="99"/>
    <w:qFormat/>
    <w:rsid w:val="002A7367"/>
    <w:pPr>
      <w:autoSpaceDE w:val="0"/>
      <w:autoSpaceDN w:val="0"/>
      <w:adjustRightInd w:val="0"/>
    </w:pPr>
    <w:rPr>
      <w:rFonts w:ascii="Arial" w:eastAsia="Times New Roman" w:hAnsi="Arial" w:cs="Arial"/>
      <w:color w:val="000000"/>
      <w:u w:val="single"/>
      <w:lang w:val="es-ES" w:eastAsia="es-ES"/>
    </w:rPr>
  </w:style>
  <w:style w:type="character" w:styleId="Refdecomentario">
    <w:name w:val="annotation reference"/>
    <w:uiPriority w:val="99"/>
    <w:unhideWhenUsed/>
    <w:qFormat/>
    <w:rsid w:val="002A7367"/>
    <w:rPr>
      <w:sz w:val="16"/>
      <w:szCs w:val="16"/>
    </w:rPr>
  </w:style>
  <w:style w:type="paragraph" w:styleId="Textocomentario">
    <w:name w:val="annotation text"/>
    <w:basedOn w:val="Normal"/>
    <w:link w:val="TextocomentarioCar"/>
    <w:uiPriority w:val="99"/>
    <w:unhideWhenUsed/>
    <w:qFormat/>
    <w:rsid w:val="002A7367"/>
    <w:pPr>
      <w:widowControl w:val="0"/>
      <w:autoSpaceDE w:val="0"/>
      <w:autoSpaceDN w:val="0"/>
      <w:adjustRightInd w:val="0"/>
      <w:spacing w:after="0" w:line="240" w:lineRule="auto"/>
    </w:pPr>
    <w:rPr>
      <w:rFonts w:ascii="Arial" w:eastAsia="Times New Roman" w:hAnsi="Arial" w:cs="Arial"/>
      <w:color w:val="000000"/>
      <w:sz w:val="20"/>
      <w:szCs w:val="20"/>
      <w:lang w:val="es-ES" w:eastAsia="es-ES"/>
    </w:rPr>
  </w:style>
  <w:style w:type="character" w:customStyle="1" w:styleId="TextocomentarioCar">
    <w:name w:val="Texto comentario Car"/>
    <w:link w:val="Textocomentario"/>
    <w:uiPriority w:val="99"/>
    <w:qFormat/>
    <w:rsid w:val="002A7367"/>
    <w:rPr>
      <w:rFonts w:ascii="Arial" w:eastAsia="Times New Roman" w:hAnsi="Arial" w:cs="Arial"/>
      <w:color w:val="000000"/>
      <w:lang w:val="es-ES" w:eastAsia="es-ES"/>
    </w:rPr>
  </w:style>
  <w:style w:type="paragraph" w:styleId="Asuntodelcomentario">
    <w:name w:val="annotation subject"/>
    <w:basedOn w:val="Textocomentario"/>
    <w:next w:val="Textocomentario"/>
    <w:link w:val="AsuntodelcomentarioCar"/>
    <w:uiPriority w:val="99"/>
    <w:semiHidden/>
    <w:unhideWhenUsed/>
    <w:rsid w:val="002A7367"/>
    <w:rPr>
      <w:b/>
      <w:bCs/>
    </w:rPr>
  </w:style>
  <w:style w:type="character" w:customStyle="1" w:styleId="AsuntodelcomentarioCar">
    <w:name w:val="Asunto del comentario Car"/>
    <w:link w:val="Asuntodelcomentario"/>
    <w:uiPriority w:val="99"/>
    <w:semiHidden/>
    <w:rsid w:val="002A7367"/>
    <w:rPr>
      <w:rFonts w:ascii="Arial" w:eastAsia="Times New Roman" w:hAnsi="Arial" w:cs="Arial"/>
      <w:b/>
      <w:bCs/>
      <w:color w:val="000000"/>
      <w:lang w:val="es-ES" w:eastAsia="es-ES"/>
    </w:rPr>
  </w:style>
  <w:style w:type="paragraph" w:customStyle="1" w:styleId="Predeterminado">
    <w:name w:val="Predeterminado"/>
    <w:rsid w:val="002A7367"/>
    <w:pPr>
      <w:widowControl w:val="0"/>
      <w:autoSpaceDE w:val="0"/>
      <w:autoSpaceDN w:val="0"/>
      <w:adjustRightInd w:val="0"/>
    </w:pPr>
    <w:rPr>
      <w:rFonts w:ascii="Arial" w:eastAsia="Times New Roman" w:hAnsi="Arial" w:cs="Arial"/>
      <w:kern w:val="1"/>
      <w:sz w:val="24"/>
      <w:szCs w:val="24"/>
      <w:lang w:val="es-ES" w:eastAsia="es-ES"/>
    </w:rPr>
  </w:style>
  <w:style w:type="table" w:customStyle="1" w:styleId="TableGrid">
    <w:name w:val="TableGrid"/>
    <w:rsid w:val="001C1770"/>
    <w:rPr>
      <w:rFonts w:eastAsia="Times New Roman"/>
      <w:sz w:val="22"/>
      <w:szCs w:val="22"/>
      <w:lang w:val="es-ES" w:eastAsia="es-ES"/>
    </w:rPr>
    <w:tblPr>
      <w:tblCellMar>
        <w:top w:w="0" w:type="dxa"/>
        <w:left w:w="0" w:type="dxa"/>
        <w:bottom w:w="0" w:type="dxa"/>
        <w:right w:w="0" w:type="dxa"/>
      </w:tblCellMar>
    </w:tblPr>
  </w:style>
  <w:style w:type="table" w:customStyle="1" w:styleId="TableGrid1">
    <w:name w:val="TableGrid1"/>
    <w:rsid w:val="00031275"/>
    <w:rPr>
      <w:rFonts w:eastAsia="Times New Roman"/>
      <w:sz w:val="22"/>
      <w:szCs w:val="22"/>
    </w:r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D15300"/>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D4D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uiPriority w:val="9"/>
    <w:semiHidden/>
    <w:rsid w:val="00BF24C2"/>
    <w:rPr>
      <w:rFonts w:ascii="Calibri Light" w:eastAsia="Times New Roman" w:hAnsi="Calibri Light" w:cs="Times New Roman"/>
      <w:b/>
      <w:bCs/>
      <w:sz w:val="26"/>
      <w:szCs w:val="26"/>
      <w:lang w:eastAsia="en-US"/>
    </w:rPr>
  </w:style>
  <w:style w:type="paragraph" w:customStyle="1" w:styleId="heading5">
    <w:name w:val="heading5"/>
    <w:basedOn w:val="Normal"/>
    <w:rsid w:val="008C6C19"/>
    <w:pPr>
      <w:keepNext/>
      <w:numPr>
        <w:numId w:val="3"/>
      </w:numPr>
      <w:shd w:val="clear" w:color="auto" w:fill="FFFFFF"/>
      <w:spacing w:after="0" w:line="240" w:lineRule="auto"/>
      <w:ind w:left="0" w:firstLine="0"/>
      <w:jc w:val="center"/>
    </w:pPr>
    <w:rPr>
      <w:rFonts w:ascii="Times New Roman" w:eastAsia="Times New Roman" w:hAnsi="Times New Roman"/>
      <w:b/>
      <w:bCs/>
      <w:i/>
      <w:iCs/>
      <w:sz w:val="26"/>
      <w:szCs w:val="26"/>
      <w:u w:val="single"/>
      <w:lang w:val="es-ES" w:eastAsia="es-ES"/>
    </w:rPr>
  </w:style>
  <w:style w:type="paragraph" w:customStyle="1" w:styleId="xmsonormal">
    <w:name w:val="x_msonormal"/>
    <w:basedOn w:val="Normal"/>
    <w:rsid w:val="006D2955"/>
    <w:pPr>
      <w:spacing w:after="0" w:line="240" w:lineRule="auto"/>
    </w:pPr>
    <w:rPr>
      <w:rFonts w:cs="Calibri"/>
      <w:lang w:eastAsia="es-CR"/>
    </w:rPr>
  </w:style>
  <w:style w:type="character" w:customStyle="1" w:styleId="Ttulo4Car">
    <w:name w:val="Título 4 Car"/>
    <w:link w:val="Ttulo4"/>
    <w:uiPriority w:val="9"/>
    <w:semiHidden/>
    <w:rsid w:val="0020707F"/>
    <w:rPr>
      <w:rFonts w:ascii="Calibri" w:eastAsia="Times New Roman" w:hAnsi="Calibri" w:cs="Times New Roman"/>
      <w:b/>
      <w:bCs/>
      <w:sz w:val="28"/>
      <w:szCs w:val="28"/>
      <w:lang w:eastAsia="en-US"/>
    </w:rPr>
  </w:style>
  <w:style w:type="table" w:customStyle="1" w:styleId="TableGrid2">
    <w:name w:val="TableGrid2"/>
    <w:rsid w:val="00DC4F9B"/>
    <w:rPr>
      <w:rFonts w:eastAsia="Times New Roman"/>
      <w:sz w:val="22"/>
      <w:szCs w:val="22"/>
    </w:rPr>
    <w:tblPr>
      <w:tblCellMar>
        <w:top w:w="0" w:type="dxa"/>
        <w:left w:w="0" w:type="dxa"/>
        <w:bottom w:w="0" w:type="dxa"/>
        <w:right w:w="0" w:type="dxa"/>
      </w:tblCellMar>
    </w:tblPr>
  </w:style>
  <w:style w:type="paragraph" w:customStyle="1" w:styleId="Bencabezado">
    <w:name w:val="B  encabezado"/>
    <w:basedOn w:val="Normal"/>
    <w:link w:val="BencabezadoCar"/>
    <w:qFormat/>
    <w:rsid w:val="00666C4D"/>
    <w:pPr>
      <w:suppressAutoHyphens/>
      <w:spacing w:after="0" w:line="480" w:lineRule="auto"/>
      <w:ind w:firstLine="708"/>
      <w:jc w:val="both"/>
    </w:pPr>
    <w:rPr>
      <w:rFonts w:ascii="Times New Roman" w:eastAsia="Times New Roman" w:hAnsi="Times New Roman"/>
      <w:color w:val="000099"/>
      <w:sz w:val="28"/>
      <w:szCs w:val="28"/>
      <w:lang w:val="es-ES_tradnl" w:eastAsia="ar-SA"/>
    </w:rPr>
  </w:style>
  <w:style w:type="character" w:customStyle="1" w:styleId="BencabezadoCar">
    <w:name w:val="B  encabezado Car"/>
    <w:link w:val="Bencabezado"/>
    <w:qFormat/>
    <w:rsid w:val="00666C4D"/>
    <w:rPr>
      <w:rFonts w:ascii="Times New Roman" w:eastAsia="Times New Roman" w:hAnsi="Times New Roman"/>
      <w:color w:val="000099"/>
      <w:sz w:val="28"/>
      <w:szCs w:val="28"/>
      <w:lang w:val="es-ES_tradnl" w:eastAsia="ar-SA"/>
    </w:rPr>
  </w:style>
  <w:style w:type="paragraph" w:customStyle="1" w:styleId="Car0">
    <w:name w:val="Car"/>
    <w:basedOn w:val="Normal"/>
    <w:semiHidden/>
    <w:rsid w:val="001A29FE"/>
    <w:pPr>
      <w:spacing w:line="240" w:lineRule="exact"/>
    </w:pPr>
    <w:rPr>
      <w:rFonts w:ascii="Verdana" w:eastAsia="Times New Roman" w:hAnsi="Verdana"/>
      <w:sz w:val="20"/>
      <w:szCs w:val="21"/>
      <w:lang w:val="en-AU"/>
    </w:rPr>
  </w:style>
  <w:style w:type="paragraph" w:customStyle="1" w:styleId="Normal2">
    <w:name w:val="Normal2"/>
    <w:rsid w:val="00F11098"/>
    <w:pPr>
      <w:suppressAutoHyphens/>
    </w:pPr>
    <w:rPr>
      <w:rFonts w:ascii="Times New Roman" w:eastAsia="Times New Roman" w:hAnsi="Times New Roman"/>
      <w:sz w:val="24"/>
      <w:lang w:val="es-ES"/>
    </w:rPr>
  </w:style>
  <w:style w:type="paragraph" w:customStyle="1" w:styleId="Textoindependiente21">
    <w:name w:val="Texto independiente 21"/>
    <w:basedOn w:val="Normal"/>
    <w:rsid w:val="00F11098"/>
    <w:pPr>
      <w:suppressAutoHyphens/>
      <w:spacing w:after="0" w:line="360" w:lineRule="auto"/>
      <w:jc w:val="both"/>
    </w:pPr>
    <w:rPr>
      <w:rFonts w:ascii="Bookman Old Style" w:eastAsia="Times New Roman" w:hAnsi="Bookman Old Style" w:cs="Bookman Old Style"/>
      <w:i/>
      <w:spacing w:val="-3"/>
      <w:sz w:val="24"/>
      <w:szCs w:val="20"/>
      <w:lang w:val="es-ES" w:eastAsia="zh-CN"/>
    </w:rPr>
  </w:style>
  <w:style w:type="paragraph" w:customStyle="1" w:styleId="Ttulo30">
    <w:name w:val="T’tulo 3"/>
    <w:basedOn w:val="Normal"/>
    <w:next w:val="Normal"/>
    <w:rsid w:val="000B25A3"/>
    <w:pPr>
      <w:keepNext/>
      <w:suppressAutoHyphens/>
      <w:overflowPunct w:val="0"/>
      <w:autoSpaceDE w:val="0"/>
      <w:spacing w:after="0" w:line="240" w:lineRule="auto"/>
      <w:jc w:val="center"/>
      <w:textAlignment w:val="baseline"/>
    </w:pPr>
    <w:rPr>
      <w:rFonts w:ascii="Times New Roman" w:eastAsia="Times New Roman" w:hAnsi="Times New Roman"/>
      <w:b/>
      <w:sz w:val="24"/>
      <w:szCs w:val="20"/>
      <w:lang w:val="es-ES" w:eastAsia="zh-CN"/>
    </w:rPr>
  </w:style>
  <w:style w:type="table" w:customStyle="1" w:styleId="TableGrid3">
    <w:name w:val="TableGrid3"/>
    <w:rsid w:val="00AC2A1D"/>
    <w:rPr>
      <w:rFonts w:eastAsia="Times New Roman"/>
      <w:sz w:val="22"/>
      <w:szCs w:val="22"/>
    </w:rPr>
    <w:tblPr>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D41901"/>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1 Car,Use Case List Paragraph Car,Lista vistosa - Énfasis 11 Car,Párrafo de lista Car Car Car Car,List Paragraph Car,Footnote Car,List Paragraph2 Car,Informe Car,FooterText Car,numbered Car,Paragraphe de liste1 Car,列出段落 Car"/>
    <w:link w:val="Prrafodelista"/>
    <w:uiPriority w:val="34"/>
    <w:locked/>
    <w:rsid w:val="00C16268"/>
    <w:rPr>
      <w:rFonts w:eastAsia="Times New Roman" w:cs="Calibri"/>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7248">
      <w:bodyDiv w:val="1"/>
      <w:marLeft w:val="0"/>
      <w:marRight w:val="0"/>
      <w:marTop w:val="0"/>
      <w:marBottom w:val="0"/>
      <w:divBdr>
        <w:top w:val="none" w:sz="0" w:space="0" w:color="auto"/>
        <w:left w:val="none" w:sz="0" w:space="0" w:color="auto"/>
        <w:bottom w:val="none" w:sz="0" w:space="0" w:color="auto"/>
        <w:right w:val="none" w:sz="0" w:space="0" w:color="auto"/>
      </w:divBdr>
    </w:div>
    <w:div w:id="119308205">
      <w:bodyDiv w:val="1"/>
      <w:marLeft w:val="0"/>
      <w:marRight w:val="0"/>
      <w:marTop w:val="0"/>
      <w:marBottom w:val="0"/>
      <w:divBdr>
        <w:top w:val="none" w:sz="0" w:space="0" w:color="auto"/>
        <w:left w:val="none" w:sz="0" w:space="0" w:color="auto"/>
        <w:bottom w:val="none" w:sz="0" w:space="0" w:color="auto"/>
        <w:right w:val="none" w:sz="0" w:space="0" w:color="auto"/>
      </w:divBdr>
    </w:div>
    <w:div w:id="123550734">
      <w:bodyDiv w:val="1"/>
      <w:marLeft w:val="0"/>
      <w:marRight w:val="0"/>
      <w:marTop w:val="0"/>
      <w:marBottom w:val="0"/>
      <w:divBdr>
        <w:top w:val="none" w:sz="0" w:space="0" w:color="auto"/>
        <w:left w:val="none" w:sz="0" w:space="0" w:color="auto"/>
        <w:bottom w:val="none" w:sz="0" w:space="0" w:color="auto"/>
        <w:right w:val="none" w:sz="0" w:space="0" w:color="auto"/>
      </w:divBdr>
    </w:div>
    <w:div w:id="184246407">
      <w:bodyDiv w:val="1"/>
      <w:marLeft w:val="0"/>
      <w:marRight w:val="0"/>
      <w:marTop w:val="0"/>
      <w:marBottom w:val="0"/>
      <w:divBdr>
        <w:top w:val="none" w:sz="0" w:space="0" w:color="auto"/>
        <w:left w:val="none" w:sz="0" w:space="0" w:color="auto"/>
        <w:bottom w:val="none" w:sz="0" w:space="0" w:color="auto"/>
        <w:right w:val="none" w:sz="0" w:space="0" w:color="auto"/>
      </w:divBdr>
    </w:div>
    <w:div w:id="206766908">
      <w:bodyDiv w:val="1"/>
      <w:marLeft w:val="0"/>
      <w:marRight w:val="0"/>
      <w:marTop w:val="0"/>
      <w:marBottom w:val="0"/>
      <w:divBdr>
        <w:top w:val="none" w:sz="0" w:space="0" w:color="auto"/>
        <w:left w:val="none" w:sz="0" w:space="0" w:color="auto"/>
        <w:bottom w:val="none" w:sz="0" w:space="0" w:color="auto"/>
        <w:right w:val="none" w:sz="0" w:space="0" w:color="auto"/>
      </w:divBdr>
    </w:div>
    <w:div w:id="211038902">
      <w:bodyDiv w:val="1"/>
      <w:marLeft w:val="0"/>
      <w:marRight w:val="0"/>
      <w:marTop w:val="0"/>
      <w:marBottom w:val="0"/>
      <w:divBdr>
        <w:top w:val="none" w:sz="0" w:space="0" w:color="auto"/>
        <w:left w:val="none" w:sz="0" w:space="0" w:color="auto"/>
        <w:bottom w:val="none" w:sz="0" w:space="0" w:color="auto"/>
        <w:right w:val="none" w:sz="0" w:space="0" w:color="auto"/>
      </w:divBdr>
    </w:div>
    <w:div w:id="384452907">
      <w:bodyDiv w:val="1"/>
      <w:marLeft w:val="0"/>
      <w:marRight w:val="0"/>
      <w:marTop w:val="0"/>
      <w:marBottom w:val="0"/>
      <w:divBdr>
        <w:top w:val="none" w:sz="0" w:space="0" w:color="auto"/>
        <w:left w:val="none" w:sz="0" w:space="0" w:color="auto"/>
        <w:bottom w:val="none" w:sz="0" w:space="0" w:color="auto"/>
        <w:right w:val="none" w:sz="0" w:space="0" w:color="auto"/>
      </w:divBdr>
    </w:div>
    <w:div w:id="446047632">
      <w:bodyDiv w:val="1"/>
      <w:marLeft w:val="0"/>
      <w:marRight w:val="0"/>
      <w:marTop w:val="0"/>
      <w:marBottom w:val="0"/>
      <w:divBdr>
        <w:top w:val="none" w:sz="0" w:space="0" w:color="auto"/>
        <w:left w:val="none" w:sz="0" w:space="0" w:color="auto"/>
        <w:bottom w:val="none" w:sz="0" w:space="0" w:color="auto"/>
        <w:right w:val="none" w:sz="0" w:space="0" w:color="auto"/>
      </w:divBdr>
    </w:div>
    <w:div w:id="507063011">
      <w:bodyDiv w:val="1"/>
      <w:marLeft w:val="0"/>
      <w:marRight w:val="0"/>
      <w:marTop w:val="0"/>
      <w:marBottom w:val="0"/>
      <w:divBdr>
        <w:top w:val="none" w:sz="0" w:space="0" w:color="auto"/>
        <w:left w:val="none" w:sz="0" w:space="0" w:color="auto"/>
        <w:bottom w:val="none" w:sz="0" w:space="0" w:color="auto"/>
        <w:right w:val="none" w:sz="0" w:space="0" w:color="auto"/>
      </w:divBdr>
    </w:div>
    <w:div w:id="550581615">
      <w:bodyDiv w:val="1"/>
      <w:marLeft w:val="0"/>
      <w:marRight w:val="0"/>
      <w:marTop w:val="0"/>
      <w:marBottom w:val="0"/>
      <w:divBdr>
        <w:top w:val="none" w:sz="0" w:space="0" w:color="auto"/>
        <w:left w:val="none" w:sz="0" w:space="0" w:color="auto"/>
        <w:bottom w:val="none" w:sz="0" w:space="0" w:color="auto"/>
        <w:right w:val="none" w:sz="0" w:space="0" w:color="auto"/>
      </w:divBdr>
    </w:div>
    <w:div w:id="553782009">
      <w:bodyDiv w:val="1"/>
      <w:marLeft w:val="0"/>
      <w:marRight w:val="0"/>
      <w:marTop w:val="0"/>
      <w:marBottom w:val="0"/>
      <w:divBdr>
        <w:top w:val="none" w:sz="0" w:space="0" w:color="auto"/>
        <w:left w:val="none" w:sz="0" w:space="0" w:color="auto"/>
        <w:bottom w:val="none" w:sz="0" w:space="0" w:color="auto"/>
        <w:right w:val="none" w:sz="0" w:space="0" w:color="auto"/>
      </w:divBdr>
    </w:div>
    <w:div w:id="589967823">
      <w:bodyDiv w:val="1"/>
      <w:marLeft w:val="0"/>
      <w:marRight w:val="0"/>
      <w:marTop w:val="0"/>
      <w:marBottom w:val="0"/>
      <w:divBdr>
        <w:top w:val="none" w:sz="0" w:space="0" w:color="auto"/>
        <w:left w:val="none" w:sz="0" w:space="0" w:color="auto"/>
        <w:bottom w:val="none" w:sz="0" w:space="0" w:color="auto"/>
        <w:right w:val="none" w:sz="0" w:space="0" w:color="auto"/>
      </w:divBdr>
    </w:div>
    <w:div w:id="690423988">
      <w:bodyDiv w:val="1"/>
      <w:marLeft w:val="0"/>
      <w:marRight w:val="0"/>
      <w:marTop w:val="0"/>
      <w:marBottom w:val="0"/>
      <w:divBdr>
        <w:top w:val="none" w:sz="0" w:space="0" w:color="auto"/>
        <w:left w:val="none" w:sz="0" w:space="0" w:color="auto"/>
        <w:bottom w:val="none" w:sz="0" w:space="0" w:color="auto"/>
        <w:right w:val="none" w:sz="0" w:space="0" w:color="auto"/>
      </w:divBdr>
    </w:div>
    <w:div w:id="838815785">
      <w:bodyDiv w:val="1"/>
      <w:marLeft w:val="0"/>
      <w:marRight w:val="0"/>
      <w:marTop w:val="0"/>
      <w:marBottom w:val="0"/>
      <w:divBdr>
        <w:top w:val="none" w:sz="0" w:space="0" w:color="auto"/>
        <w:left w:val="none" w:sz="0" w:space="0" w:color="auto"/>
        <w:bottom w:val="none" w:sz="0" w:space="0" w:color="auto"/>
        <w:right w:val="none" w:sz="0" w:space="0" w:color="auto"/>
      </w:divBdr>
    </w:div>
    <w:div w:id="883256388">
      <w:bodyDiv w:val="1"/>
      <w:marLeft w:val="0"/>
      <w:marRight w:val="0"/>
      <w:marTop w:val="0"/>
      <w:marBottom w:val="0"/>
      <w:divBdr>
        <w:top w:val="none" w:sz="0" w:space="0" w:color="auto"/>
        <w:left w:val="none" w:sz="0" w:space="0" w:color="auto"/>
        <w:bottom w:val="none" w:sz="0" w:space="0" w:color="auto"/>
        <w:right w:val="none" w:sz="0" w:space="0" w:color="auto"/>
      </w:divBdr>
    </w:div>
    <w:div w:id="1071123256">
      <w:bodyDiv w:val="1"/>
      <w:marLeft w:val="0"/>
      <w:marRight w:val="0"/>
      <w:marTop w:val="0"/>
      <w:marBottom w:val="0"/>
      <w:divBdr>
        <w:top w:val="none" w:sz="0" w:space="0" w:color="auto"/>
        <w:left w:val="none" w:sz="0" w:space="0" w:color="auto"/>
        <w:bottom w:val="none" w:sz="0" w:space="0" w:color="auto"/>
        <w:right w:val="none" w:sz="0" w:space="0" w:color="auto"/>
      </w:divBdr>
    </w:div>
    <w:div w:id="1253396108">
      <w:bodyDiv w:val="1"/>
      <w:marLeft w:val="0"/>
      <w:marRight w:val="0"/>
      <w:marTop w:val="0"/>
      <w:marBottom w:val="0"/>
      <w:divBdr>
        <w:top w:val="none" w:sz="0" w:space="0" w:color="auto"/>
        <w:left w:val="none" w:sz="0" w:space="0" w:color="auto"/>
        <w:bottom w:val="none" w:sz="0" w:space="0" w:color="auto"/>
        <w:right w:val="none" w:sz="0" w:space="0" w:color="auto"/>
      </w:divBdr>
    </w:div>
    <w:div w:id="1409691786">
      <w:bodyDiv w:val="1"/>
      <w:marLeft w:val="0"/>
      <w:marRight w:val="0"/>
      <w:marTop w:val="0"/>
      <w:marBottom w:val="0"/>
      <w:divBdr>
        <w:top w:val="none" w:sz="0" w:space="0" w:color="auto"/>
        <w:left w:val="none" w:sz="0" w:space="0" w:color="auto"/>
        <w:bottom w:val="none" w:sz="0" w:space="0" w:color="auto"/>
        <w:right w:val="none" w:sz="0" w:space="0" w:color="auto"/>
      </w:divBdr>
    </w:div>
    <w:div w:id="1509128928">
      <w:bodyDiv w:val="1"/>
      <w:marLeft w:val="0"/>
      <w:marRight w:val="0"/>
      <w:marTop w:val="0"/>
      <w:marBottom w:val="0"/>
      <w:divBdr>
        <w:top w:val="none" w:sz="0" w:space="0" w:color="auto"/>
        <w:left w:val="none" w:sz="0" w:space="0" w:color="auto"/>
        <w:bottom w:val="none" w:sz="0" w:space="0" w:color="auto"/>
        <w:right w:val="none" w:sz="0" w:space="0" w:color="auto"/>
      </w:divBdr>
    </w:div>
    <w:div w:id="1520776812">
      <w:bodyDiv w:val="1"/>
      <w:marLeft w:val="0"/>
      <w:marRight w:val="0"/>
      <w:marTop w:val="0"/>
      <w:marBottom w:val="0"/>
      <w:divBdr>
        <w:top w:val="none" w:sz="0" w:space="0" w:color="auto"/>
        <w:left w:val="none" w:sz="0" w:space="0" w:color="auto"/>
        <w:bottom w:val="none" w:sz="0" w:space="0" w:color="auto"/>
        <w:right w:val="none" w:sz="0" w:space="0" w:color="auto"/>
      </w:divBdr>
      <w:divsChild>
        <w:div w:id="149639597">
          <w:marLeft w:val="274"/>
          <w:marRight w:val="0"/>
          <w:marTop w:val="0"/>
          <w:marBottom w:val="0"/>
          <w:divBdr>
            <w:top w:val="none" w:sz="0" w:space="0" w:color="auto"/>
            <w:left w:val="none" w:sz="0" w:space="0" w:color="auto"/>
            <w:bottom w:val="none" w:sz="0" w:space="0" w:color="auto"/>
            <w:right w:val="none" w:sz="0" w:space="0" w:color="auto"/>
          </w:divBdr>
        </w:div>
        <w:div w:id="438453620">
          <w:marLeft w:val="274"/>
          <w:marRight w:val="0"/>
          <w:marTop w:val="0"/>
          <w:marBottom w:val="0"/>
          <w:divBdr>
            <w:top w:val="none" w:sz="0" w:space="0" w:color="auto"/>
            <w:left w:val="none" w:sz="0" w:space="0" w:color="auto"/>
            <w:bottom w:val="none" w:sz="0" w:space="0" w:color="auto"/>
            <w:right w:val="none" w:sz="0" w:space="0" w:color="auto"/>
          </w:divBdr>
        </w:div>
        <w:div w:id="461045832">
          <w:marLeft w:val="274"/>
          <w:marRight w:val="0"/>
          <w:marTop w:val="0"/>
          <w:marBottom w:val="0"/>
          <w:divBdr>
            <w:top w:val="none" w:sz="0" w:space="0" w:color="auto"/>
            <w:left w:val="none" w:sz="0" w:space="0" w:color="auto"/>
            <w:bottom w:val="none" w:sz="0" w:space="0" w:color="auto"/>
            <w:right w:val="none" w:sz="0" w:space="0" w:color="auto"/>
          </w:divBdr>
        </w:div>
        <w:div w:id="646327776">
          <w:marLeft w:val="274"/>
          <w:marRight w:val="0"/>
          <w:marTop w:val="0"/>
          <w:marBottom w:val="0"/>
          <w:divBdr>
            <w:top w:val="none" w:sz="0" w:space="0" w:color="auto"/>
            <w:left w:val="none" w:sz="0" w:space="0" w:color="auto"/>
            <w:bottom w:val="none" w:sz="0" w:space="0" w:color="auto"/>
            <w:right w:val="none" w:sz="0" w:space="0" w:color="auto"/>
          </w:divBdr>
        </w:div>
      </w:divsChild>
    </w:div>
    <w:div w:id="1596939411">
      <w:bodyDiv w:val="1"/>
      <w:marLeft w:val="0"/>
      <w:marRight w:val="0"/>
      <w:marTop w:val="0"/>
      <w:marBottom w:val="0"/>
      <w:divBdr>
        <w:top w:val="none" w:sz="0" w:space="0" w:color="auto"/>
        <w:left w:val="none" w:sz="0" w:space="0" w:color="auto"/>
        <w:bottom w:val="none" w:sz="0" w:space="0" w:color="auto"/>
        <w:right w:val="none" w:sz="0" w:space="0" w:color="auto"/>
      </w:divBdr>
    </w:div>
    <w:div w:id="1843548744">
      <w:bodyDiv w:val="1"/>
      <w:marLeft w:val="0"/>
      <w:marRight w:val="0"/>
      <w:marTop w:val="0"/>
      <w:marBottom w:val="0"/>
      <w:divBdr>
        <w:top w:val="none" w:sz="0" w:space="0" w:color="auto"/>
        <w:left w:val="none" w:sz="0" w:space="0" w:color="auto"/>
        <w:bottom w:val="none" w:sz="0" w:space="0" w:color="auto"/>
        <w:right w:val="none" w:sz="0" w:space="0" w:color="auto"/>
      </w:divBdr>
    </w:div>
    <w:div w:id="1881547447">
      <w:bodyDiv w:val="1"/>
      <w:marLeft w:val="0"/>
      <w:marRight w:val="0"/>
      <w:marTop w:val="0"/>
      <w:marBottom w:val="0"/>
      <w:divBdr>
        <w:top w:val="none" w:sz="0" w:space="0" w:color="auto"/>
        <w:left w:val="none" w:sz="0" w:space="0" w:color="auto"/>
        <w:bottom w:val="none" w:sz="0" w:space="0" w:color="auto"/>
        <w:right w:val="none" w:sz="0" w:space="0" w:color="auto"/>
      </w:divBdr>
    </w:div>
    <w:div w:id="210078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1.docx"/><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4.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4A3A2-6B78-486D-9395-7064583E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7115</TotalTime>
  <Pages>7</Pages>
  <Words>2122</Words>
  <Characters>11673</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Aguero Monge</dc:creator>
  <cp:keywords/>
  <dc:description/>
  <cp:lastModifiedBy>Melvin Obando Villalobos</cp:lastModifiedBy>
  <cp:revision>22</cp:revision>
  <dcterms:created xsi:type="dcterms:W3CDTF">2022-12-01T15:17:00Z</dcterms:created>
  <dcterms:modified xsi:type="dcterms:W3CDTF">2022-12-07T16:30:00Z</dcterms:modified>
</cp:coreProperties>
</file>