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53231" w14:textId="77777777" w:rsidR="00734FFE" w:rsidRPr="00BF2076" w:rsidRDefault="00734FFE" w:rsidP="004514FE">
      <w:pPr>
        <w:spacing w:after="0" w:line="240" w:lineRule="auto"/>
        <w:jc w:val="center"/>
        <w:rPr>
          <w:rFonts w:ascii="Arial" w:hAnsi="Arial" w:cs="Arial"/>
          <w:b/>
          <w:color w:val="000000"/>
        </w:rPr>
      </w:pPr>
    </w:p>
    <w:p w14:paraId="55037304" w14:textId="77777777" w:rsidR="00A6448B" w:rsidRPr="00BF2076" w:rsidRDefault="00734FFE" w:rsidP="004514FE">
      <w:pPr>
        <w:spacing w:after="0" w:line="240" w:lineRule="auto"/>
        <w:jc w:val="center"/>
        <w:rPr>
          <w:rFonts w:ascii="Arial" w:hAnsi="Arial" w:cs="Arial"/>
          <w:b/>
          <w:color w:val="000000"/>
        </w:rPr>
      </w:pPr>
      <w:r w:rsidRPr="00BF2076">
        <w:rPr>
          <w:rFonts w:ascii="Arial" w:hAnsi="Arial" w:cs="Arial"/>
          <w:b/>
          <w:color w:val="000000"/>
        </w:rPr>
        <w:t xml:space="preserve">Sesión en </w:t>
      </w:r>
      <w:r w:rsidR="00A6448B" w:rsidRPr="00BF2076">
        <w:rPr>
          <w:rFonts w:ascii="Arial" w:hAnsi="Arial" w:cs="Arial"/>
          <w:b/>
          <w:color w:val="000000"/>
        </w:rPr>
        <w:t xml:space="preserve">Modalidad: virtual </w:t>
      </w:r>
    </w:p>
    <w:p w14:paraId="00604BE8" w14:textId="77777777" w:rsidR="00734FFE" w:rsidRPr="00BF2076" w:rsidRDefault="00734FFE" w:rsidP="004514FE">
      <w:pPr>
        <w:spacing w:after="0" w:line="240" w:lineRule="auto"/>
        <w:jc w:val="both"/>
        <w:rPr>
          <w:rFonts w:ascii="Arial" w:hAnsi="Arial" w:cs="Arial"/>
          <w:color w:val="000000"/>
        </w:rPr>
      </w:pPr>
    </w:p>
    <w:p w14:paraId="05A37D23" w14:textId="447A808A" w:rsidR="00B5580A" w:rsidRDefault="00B5580A" w:rsidP="004514FE">
      <w:pPr>
        <w:spacing w:after="0" w:line="240" w:lineRule="auto"/>
        <w:jc w:val="both"/>
        <w:rPr>
          <w:rFonts w:ascii="Arial" w:hAnsi="Arial" w:cs="Arial"/>
          <w:bCs/>
          <w:color w:val="00B050"/>
        </w:rPr>
      </w:pPr>
      <w:r w:rsidRPr="00B5580A">
        <w:rPr>
          <w:rFonts w:ascii="Arial" w:hAnsi="Arial" w:cs="Arial"/>
          <w:bCs/>
          <w:color w:val="00B050"/>
        </w:rPr>
        <w:t xml:space="preserve">Inicia la sesión a las catorce horas del 11 de abril de 2023, con la asistencia </w:t>
      </w:r>
      <w:r w:rsidRPr="00D146DE">
        <w:rPr>
          <w:rFonts w:ascii="Arial" w:hAnsi="Arial" w:cs="Arial"/>
          <w:bCs/>
          <w:color w:val="00B050"/>
        </w:rPr>
        <w:t>de la Máster Sandra Pizarro Gutiérrez, integrante del Consejo Superior, quien preside; Máster Ana Eugenia Romero Jenkins, Directora Ejecutiva; Máster Jorge David Morales Ramírez, Asesor del Despacho de la Presidencia</w:t>
      </w:r>
      <w:r w:rsidRPr="00B5580A">
        <w:rPr>
          <w:rFonts w:ascii="Arial" w:hAnsi="Arial" w:cs="Arial"/>
          <w:bCs/>
          <w:color w:val="00B050"/>
        </w:rPr>
        <w:t xml:space="preserve">; </w:t>
      </w:r>
      <w:r w:rsidRPr="00D146DE">
        <w:rPr>
          <w:rFonts w:ascii="Arial" w:hAnsi="Arial" w:cs="Arial"/>
          <w:bCs/>
          <w:color w:val="00B050"/>
        </w:rPr>
        <w:t>Licenciado Rodolfo Arce Hernández, Jefe de la Plataforma de Información Policial;</w:t>
      </w:r>
      <w:r w:rsidRPr="00B5580A">
        <w:rPr>
          <w:rFonts w:ascii="Arial" w:hAnsi="Arial" w:cs="Arial"/>
          <w:bCs/>
          <w:color w:val="00B050"/>
        </w:rPr>
        <w:t xml:space="preserve"> </w:t>
      </w:r>
      <w:r w:rsidRPr="00D146DE">
        <w:rPr>
          <w:rFonts w:ascii="Arial" w:hAnsi="Arial" w:cs="Arial"/>
          <w:bCs/>
          <w:color w:val="00B050"/>
        </w:rPr>
        <w:t>Licenciado Juan Carlos Pérez Murillo, Director de la Defensa Pública;</w:t>
      </w:r>
      <w:r w:rsidRPr="00B5580A">
        <w:rPr>
          <w:rFonts w:ascii="Arial" w:hAnsi="Arial" w:cs="Arial"/>
          <w:bCs/>
          <w:color w:val="00B050"/>
        </w:rPr>
        <w:t xml:space="preserve"> </w:t>
      </w:r>
      <w:r w:rsidRPr="00D146DE">
        <w:rPr>
          <w:rFonts w:ascii="Arial" w:hAnsi="Arial" w:cs="Arial"/>
          <w:bCs/>
          <w:color w:val="00B050"/>
        </w:rPr>
        <w:t xml:space="preserve">Máster </w:t>
      </w:r>
      <w:r w:rsidRPr="00D146DE">
        <w:rPr>
          <w:rFonts w:ascii="Arial" w:hAnsi="Arial" w:cs="Arial"/>
          <w:bCs/>
          <w:color w:val="00B050"/>
        </w:rPr>
        <w:t>Kattia Morales Navarro Directora</w:t>
      </w:r>
      <w:r w:rsidRPr="00D146DE">
        <w:rPr>
          <w:rFonts w:ascii="Arial" w:hAnsi="Arial" w:cs="Arial"/>
          <w:bCs/>
          <w:color w:val="00B050"/>
        </w:rPr>
        <w:t xml:space="preserve"> Tecnologías de la Información y Comunicaciones;</w:t>
      </w:r>
      <w:r w:rsidRPr="00B5580A">
        <w:rPr>
          <w:rFonts w:ascii="Arial" w:hAnsi="Arial" w:cs="Arial"/>
          <w:bCs/>
          <w:color w:val="00B050"/>
        </w:rPr>
        <w:t xml:space="preserve"> Máster </w:t>
      </w:r>
      <w:r w:rsidRPr="00D146DE">
        <w:rPr>
          <w:rFonts w:ascii="Arial" w:hAnsi="Arial" w:cs="Arial"/>
          <w:bCs/>
          <w:color w:val="00B050"/>
        </w:rPr>
        <w:t>Fabiola Luna Durán, Fiscala del Ministerio Público</w:t>
      </w:r>
      <w:r w:rsidRPr="00B5580A">
        <w:rPr>
          <w:rFonts w:ascii="Arial" w:hAnsi="Arial" w:cs="Arial"/>
          <w:bCs/>
          <w:color w:val="00B050"/>
        </w:rPr>
        <w:t xml:space="preserve">; </w:t>
      </w:r>
      <w:r w:rsidR="00395272" w:rsidRPr="00D146DE">
        <w:rPr>
          <w:rFonts w:ascii="Arial" w:hAnsi="Arial" w:cs="Arial"/>
          <w:bCs/>
          <w:color w:val="00B050"/>
        </w:rPr>
        <w:t>Máster Dixon Li Morales, Subdirector Dirección de Planificación</w:t>
      </w:r>
      <w:r w:rsidR="00395272" w:rsidRPr="00D146DE">
        <w:rPr>
          <w:rFonts w:ascii="Arial" w:hAnsi="Arial" w:cs="Arial"/>
          <w:bCs/>
          <w:color w:val="00B050"/>
        </w:rPr>
        <w:t xml:space="preserve"> y </w:t>
      </w:r>
      <w:r w:rsidRPr="00B5580A">
        <w:rPr>
          <w:rFonts w:ascii="Arial" w:hAnsi="Arial" w:cs="Arial"/>
          <w:bCs/>
          <w:color w:val="00B050"/>
        </w:rPr>
        <w:t xml:space="preserve">Máster </w:t>
      </w:r>
      <w:r w:rsidR="00DD1B6A">
        <w:rPr>
          <w:rFonts w:ascii="Arial" w:hAnsi="Arial" w:cs="Arial"/>
          <w:bCs/>
          <w:color w:val="00B050"/>
        </w:rPr>
        <w:t>Ginethe Retana Ureña</w:t>
      </w:r>
      <w:r w:rsidRPr="00B5580A">
        <w:rPr>
          <w:rFonts w:ascii="Arial" w:hAnsi="Arial" w:cs="Arial"/>
          <w:bCs/>
          <w:color w:val="00B050"/>
        </w:rPr>
        <w:t xml:space="preserve">, </w:t>
      </w:r>
      <w:r w:rsidR="00DD1B6A">
        <w:rPr>
          <w:rFonts w:ascii="Arial" w:hAnsi="Arial" w:cs="Arial"/>
          <w:bCs/>
          <w:color w:val="00B050"/>
        </w:rPr>
        <w:t>Jefa de</w:t>
      </w:r>
      <w:r w:rsidR="00395272">
        <w:rPr>
          <w:rFonts w:ascii="Arial" w:hAnsi="Arial" w:cs="Arial"/>
          <w:bCs/>
          <w:color w:val="00B050"/>
        </w:rPr>
        <w:t xml:space="preserve">l </w:t>
      </w:r>
      <w:r w:rsidR="00D146DE">
        <w:rPr>
          <w:rFonts w:ascii="Arial" w:hAnsi="Arial" w:cs="Arial"/>
          <w:bCs/>
          <w:color w:val="00B050"/>
        </w:rPr>
        <w:t>Subp</w:t>
      </w:r>
      <w:r w:rsidR="00395272">
        <w:rPr>
          <w:rFonts w:ascii="Arial" w:hAnsi="Arial" w:cs="Arial"/>
          <w:bCs/>
          <w:color w:val="00B050"/>
        </w:rPr>
        <w:t>roceso de Desarrollo Organizacional</w:t>
      </w:r>
      <w:r w:rsidR="00DD1B6A">
        <w:rPr>
          <w:rFonts w:ascii="Arial" w:hAnsi="Arial" w:cs="Arial"/>
          <w:bCs/>
          <w:color w:val="00B050"/>
        </w:rPr>
        <w:t xml:space="preserve"> </w:t>
      </w:r>
      <w:r w:rsidR="00D146DE">
        <w:rPr>
          <w:rFonts w:ascii="Arial" w:hAnsi="Arial" w:cs="Arial"/>
          <w:bCs/>
          <w:color w:val="00B050"/>
        </w:rPr>
        <w:t xml:space="preserve">de la </w:t>
      </w:r>
      <w:r w:rsidR="00D146DE" w:rsidRPr="00D146DE">
        <w:rPr>
          <w:rFonts w:ascii="Arial" w:hAnsi="Arial" w:cs="Arial"/>
          <w:bCs/>
          <w:color w:val="00B050"/>
        </w:rPr>
        <w:t>Dirección de Planificación</w:t>
      </w:r>
      <w:r w:rsidR="00DD1B6A">
        <w:rPr>
          <w:rFonts w:ascii="Arial" w:hAnsi="Arial" w:cs="Arial"/>
          <w:bCs/>
          <w:color w:val="00B050"/>
        </w:rPr>
        <w:t xml:space="preserve"> </w:t>
      </w:r>
      <w:r w:rsidRPr="00B5580A">
        <w:rPr>
          <w:rFonts w:ascii="Arial" w:hAnsi="Arial" w:cs="Arial"/>
          <w:bCs/>
          <w:color w:val="00B050"/>
        </w:rPr>
        <w:t>; M</w:t>
      </w:r>
      <w:r w:rsidRPr="00D146DE">
        <w:rPr>
          <w:rFonts w:ascii="Arial" w:hAnsi="Arial" w:cs="Arial"/>
          <w:bCs/>
          <w:color w:val="00B050"/>
        </w:rPr>
        <w:t>áster Roxana Arrieta Meléndez, Directora de Gestión Humana.</w:t>
      </w:r>
    </w:p>
    <w:p w14:paraId="1CB18F78" w14:textId="77777777" w:rsidR="00B5580A" w:rsidRDefault="00B5580A" w:rsidP="004514FE">
      <w:pPr>
        <w:spacing w:after="0" w:line="240" w:lineRule="auto"/>
        <w:jc w:val="both"/>
        <w:rPr>
          <w:rFonts w:ascii="Arial" w:hAnsi="Arial" w:cs="Arial"/>
          <w:bCs/>
          <w:color w:val="00B050"/>
        </w:rPr>
      </w:pPr>
    </w:p>
    <w:p w14:paraId="39BAB358" w14:textId="77777777" w:rsidR="000D5A37" w:rsidRPr="00BF2076" w:rsidRDefault="000D5A37" w:rsidP="004514FE">
      <w:pPr>
        <w:spacing w:after="0" w:line="240" w:lineRule="auto"/>
        <w:jc w:val="both"/>
        <w:rPr>
          <w:rFonts w:ascii="Arial" w:hAnsi="Arial" w:cs="Arial"/>
          <w:bCs/>
        </w:rPr>
      </w:pPr>
    </w:p>
    <w:p w14:paraId="12964E5C" w14:textId="1AD57D31" w:rsidR="000D5A37" w:rsidRPr="00BF2076" w:rsidRDefault="000D5A37" w:rsidP="004514FE">
      <w:pPr>
        <w:spacing w:after="0" w:line="240" w:lineRule="auto"/>
        <w:jc w:val="both"/>
        <w:rPr>
          <w:rFonts w:ascii="Arial" w:hAnsi="Arial" w:cs="Arial"/>
          <w:bCs/>
        </w:rPr>
      </w:pPr>
      <w:r w:rsidRPr="00BF2076">
        <w:rPr>
          <w:rFonts w:ascii="Arial" w:hAnsi="Arial" w:cs="Arial"/>
          <w:bCs/>
        </w:rPr>
        <w:t xml:space="preserve">Además, se cuenta con la participación </w:t>
      </w:r>
      <w:r w:rsidR="00192D49" w:rsidRPr="00BF2076">
        <w:rPr>
          <w:rFonts w:ascii="Arial" w:hAnsi="Arial" w:cs="Arial"/>
          <w:bCs/>
        </w:rPr>
        <w:t>de</w:t>
      </w:r>
      <w:r w:rsidR="00B5580A">
        <w:rPr>
          <w:rFonts w:ascii="Arial" w:hAnsi="Arial" w:cs="Arial"/>
          <w:bCs/>
        </w:rPr>
        <w:t>l</w:t>
      </w:r>
      <w:r w:rsidRPr="00BF2076">
        <w:rPr>
          <w:rFonts w:ascii="Arial" w:hAnsi="Arial" w:cs="Arial"/>
          <w:bCs/>
        </w:rPr>
        <w:t xml:space="preserve"> Máster Walter Jiménez Picado, Profesional del Subproceso de Continuidad del Servicio y el Máster Melvin Obando Villalobos, Jefatura del Subproceso de Gestión de la Continuidad del Servicio de la Dirección Ejecutiva.</w:t>
      </w:r>
    </w:p>
    <w:p w14:paraId="25BD7792" w14:textId="46BA4DBA" w:rsidR="001A5586" w:rsidRPr="00BF2076" w:rsidRDefault="001A5586" w:rsidP="004514FE">
      <w:pPr>
        <w:spacing w:after="0" w:line="240" w:lineRule="auto"/>
        <w:jc w:val="both"/>
        <w:rPr>
          <w:rFonts w:ascii="Arial" w:hAnsi="Arial" w:cs="Arial"/>
        </w:rPr>
      </w:pPr>
    </w:p>
    <w:p w14:paraId="657BCBBD" w14:textId="59440799" w:rsidR="00BC382C" w:rsidRPr="00BF2076" w:rsidRDefault="00BC382C" w:rsidP="004514FE">
      <w:pPr>
        <w:spacing w:after="0" w:line="240" w:lineRule="auto"/>
        <w:jc w:val="center"/>
        <w:rPr>
          <w:rFonts w:ascii="Arial" w:hAnsi="Arial" w:cs="Arial"/>
          <w:b/>
          <w:color w:val="2F5496"/>
        </w:rPr>
      </w:pPr>
    </w:p>
    <w:p w14:paraId="700A8992" w14:textId="77777777" w:rsidR="00BC382C" w:rsidRPr="00BF2076" w:rsidRDefault="00BC382C" w:rsidP="004514FE">
      <w:pPr>
        <w:spacing w:after="0" w:line="240" w:lineRule="auto"/>
        <w:jc w:val="center"/>
        <w:rPr>
          <w:rFonts w:ascii="Arial" w:hAnsi="Arial" w:cs="Arial"/>
          <w:b/>
          <w:color w:val="2F5496"/>
        </w:rPr>
      </w:pPr>
      <w:r w:rsidRPr="00BF2076">
        <w:rPr>
          <w:rFonts w:ascii="Arial" w:hAnsi="Arial" w:cs="Arial"/>
          <w:b/>
          <w:color w:val="2F5496"/>
        </w:rPr>
        <w:t>ARTÍCULO I</w:t>
      </w:r>
    </w:p>
    <w:p w14:paraId="5F4CA4AB" w14:textId="0EFB542F" w:rsidR="00BC382C" w:rsidRPr="00BF2076" w:rsidRDefault="00BC382C" w:rsidP="004514FE">
      <w:pPr>
        <w:spacing w:after="0" w:line="240" w:lineRule="auto"/>
        <w:jc w:val="center"/>
        <w:rPr>
          <w:rFonts w:ascii="Arial" w:hAnsi="Arial" w:cs="Arial"/>
          <w:b/>
          <w:color w:val="2F5496"/>
        </w:rPr>
      </w:pPr>
    </w:p>
    <w:p w14:paraId="23F1A2C6" w14:textId="229AE0CE" w:rsidR="008C1693" w:rsidRPr="00BF2076" w:rsidRDefault="008C1693" w:rsidP="004514FE">
      <w:pPr>
        <w:spacing w:after="0" w:line="240" w:lineRule="auto"/>
        <w:jc w:val="both"/>
        <w:rPr>
          <w:rFonts w:ascii="Arial" w:eastAsia="Times New Roman" w:hAnsi="Arial" w:cs="Arial"/>
          <w:lang w:eastAsia="es-ES"/>
        </w:rPr>
      </w:pPr>
      <w:r w:rsidRPr="00BF2076">
        <w:rPr>
          <w:rFonts w:ascii="Arial" w:hAnsi="Arial" w:cs="Arial"/>
          <w:bCs/>
        </w:rPr>
        <w:t xml:space="preserve">En la sesión del Consejo Superior número </w:t>
      </w:r>
      <w:r w:rsidRPr="00BF2076">
        <w:rPr>
          <w:rFonts w:ascii="Arial" w:eastAsia="Times New Roman" w:hAnsi="Arial" w:cs="Arial"/>
          <w:lang w:eastAsia="es-ES"/>
        </w:rPr>
        <w:t>61-2022, celebrada el 21 de julio de 2022, artículo XIX, se aprob</w:t>
      </w:r>
      <w:bookmarkStart w:id="0" w:name="_Toc109162086"/>
      <w:r w:rsidRPr="00BF2076">
        <w:rPr>
          <w:rFonts w:ascii="Arial" w:eastAsia="Times New Roman" w:hAnsi="Arial" w:cs="Arial"/>
          <w:lang w:eastAsia="es-ES"/>
        </w:rPr>
        <w:t xml:space="preserve">ó la integración del Comité Técnico de Continuidad del Servicio del Poder Judicial (CTCSTJ), la cual quedó conformada de la siguiente manera: </w:t>
      </w:r>
      <w:bookmarkEnd w:id="0"/>
    </w:p>
    <w:p w14:paraId="07FE501D" w14:textId="77777777" w:rsidR="008C1693" w:rsidRPr="00BF2076" w:rsidRDefault="008C1693" w:rsidP="004514FE">
      <w:pPr>
        <w:spacing w:after="0" w:line="240" w:lineRule="auto"/>
        <w:ind w:firstLine="851"/>
        <w:jc w:val="both"/>
        <w:rPr>
          <w:rFonts w:ascii="Arial" w:eastAsia="Times New Roman" w:hAnsi="Arial" w:cs="Arial"/>
          <w:lang w:eastAsia="es-ES"/>
        </w:rPr>
      </w:pPr>
    </w:p>
    <w:tbl>
      <w:tblPr>
        <w:tblStyle w:val="Tablaconcuadrcula3"/>
        <w:tblW w:w="0" w:type="auto"/>
        <w:tblLook w:val="04A0" w:firstRow="1" w:lastRow="0" w:firstColumn="1" w:lastColumn="0" w:noHBand="0" w:noVBand="1"/>
      </w:tblPr>
      <w:tblGrid>
        <w:gridCol w:w="5098"/>
        <w:gridCol w:w="3730"/>
      </w:tblGrid>
      <w:tr w:rsidR="008C1693" w:rsidRPr="00BF2076" w14:paraId="33088812" w14:textId="77777777">
        <w:trPr>
          <w:trHeight w:val="406"/>
          <w:tblHeader/>
        </w:trPr>
        <w:tc>
          <w:tcPr>
            <w:tcW w:w="5098" w:type="dxa"/>
            <w:shd w:val="clear" w:color="auto" w:fill="1F3864"/>
            <w:vAlign w:val="center"/>
          </w:tcPr>
          <w:p w14:paraId="42541544" w14:textId="3EEAE984" w:rsidR="008C1693" w:rsidRPr="00BF2076" w:rsidRDefault="008C1693" w:rsidP="004514FE">
            <w:pPr>
              <w:widowControl w:val="0"/>
              <w:autoSpaceDE w:val="0"/>
              <w:autoSpaceDN w:val="0"/>
              <w:adjustRightInd w:val="0"/>
              <w:spacing w:after="0" w:line="240" w:lineRule="auto"/>
              <w:jc w:val="center"/>
              <w:rPr>
                <w:rFonts w:ascii="Arial" w:hAnsi="Arial" w:cs="Arial"/>
                <w:b/>
                <w:bCs/>
              </w:rPr>
            </w:pPr>
            <w:r w:rsidRPr="00BF2076">
              <w:rPr>
                <w:rFonts w:ascii="Arial" w:hAnsi="Arial" w:cs="Arial"/>
                <w:b/>
                <w:bCs/>
              </w:rPr>
              <w:t>Nombre de la persona</w:t>
            </w:r>
            <w:r w:rsidR="004514FE" w:rsidRPr="00BF2076">
              <w:rPr>
                <w:rFonts w:ascii="Arial" w:hAnsi="Arial" w:cs="Arial"/>
                <w:b/>
                <w:bCs/>
              </w:rPr>
              <w:t xml:space="preserve"> designada</w:t>
            </w:r>
          </w:p>
        </w:tc>
        <w:tc>
          <w:tcPr>
            <w:tcW w:w="3730" w:type="dxa"/>
            <w:shd w:val="clear" w:color="auto" w:fill="1F3864"/>
            <w:vAlign w:val="center"/>
          </w:tcPr>
          <w:p w14:paraId="2EC0BC67" w14:textId="77777777" w:rsidR="008C1693" w:rsidRPr="00BF2076" w:rsidRDefault="008C1693" w:rsidP="004514FE">
            <w:pPr>
              <w:widowControl w:val="0"/>
              <w:autoSpaceDE w:val="0"/>
              <w:autoSpaceDN w:val="0"/>
              <w:adjustRightInd w:val="0"/>
              <w:spacing w:after="0" w:line="240" w:lineRule="auto"/>
              <w:jc w:val="center"/>
              <w:rPr>
                <w:rFonts w:ascii="Arial" w:hAnsi="Arial" w:cs="Arial"/>
                <w:b/>
                <w:bCs/>
              </w:rPr>
            </w:pPr>
            <w:r w:rsidRPr="00BF2076">
              <w:rPr>
                <w:rFonts w:ascii="Arial" w:hAnsi="Arial" w:cs="Arial"/>
                <w:b/>
                <w:bCs/>
              </w:rPr>
              <w:t>Oficina que representa</w:t>
            </w:r>
          </w:p>
        </w:tc>
      </w:tr>
      <w:tr w:rsidR="008C1693" w:rsidRPr="00BF2076" w14:paraId="47ECE75B" w14:textId="77777777">
        <w:tc>
          <w:tcPr>
            <w:tcW w:w="5098" w:type="dxa"/>
            <w:vAlign w:val="center"/>
          </w:tcPr>
          <w:p w14:paraId="6958ED68" w14:textId="77777777" w:rsidR="008C1693" w:rsidRPr="00BF2076" w:rsidRDefault="008C1693" w:rsidP="004514FE">
            <w:pPr>
              <w:widowControl w:val="0"/>
              <w:autoSpaceDE w:val="0"/>
              <w:autoSpaceDN w:val="0"/>
              <w:adjustRightInd w:val="0"/>
              <w:spacing w:after="0" w:line="240" w:lineRule="auto"/>
              <w:jc w:val="both"/>
              <w:rPr>
                <w:rFonts w:ascii="Arial" w:hAnsi="Arial" w:cs="Arial"/>
                <w:b/>
              </w:rPr>
            </w:pPr>
            <w:r w:rsidRPr="00BF2076">
              <w:rPr>
                <w:rFonts w:ascii="Arial" w:hAnsi="Arial" w:cs="Arial"/>
                <w:b/>
              </w:rPr>
              <w:t>Titular:</w:t>
            </w:r>
          </w:p>
          <w:p w14:paraId="1398AAF1" w14:textId="77777777" w:rsidR="008C1693" w:rsidRPr="00BF2076" w:rsidRDefault="008C1693" w:rsidP="004514FE">
            <w:pPr>
              <w:widowControl w:val="0"/>
              <w:autoSpaceDE w:val="0"/>
              <w:autoSpaceDN w:val="0"/>
              <w:adjustRightInd w:val="0"/>
              <w:spacing w:after="0" w:line="240" w:lineRule="auto"/>
              <w:jc w:val="both"/>
              <w:rPr>
                <w:rFonts w:ascii="Arial" w:hAnsi="Arial" w:cs="Arial"/>
                <w:bCs/>
              </w:rPr>
            </w:pPr>
            <w:r w:rsidRPr="00BF2076">
              <w:rPr>
                <w:rFonts w:ascii="Arial" w:hAnsi="Arial" w:cs="Arial"/>
                <w:bCs/>
              </w:rPr>
              <w:t>Sandra Pizarro Gutiérrez, I</w:t>
            </w:r>
            <w:r w:rsidRPr="00BF2076">
              <w:rPr>
                <w:rFonts w:ascii="Arial" w:hAnsi="Arial" w:cs="Arial"/>
                <w:lang w:eastAsia="es-ES"/>
              </w:rPr>
              <w:t>ntegrante del Consejo Superior</w:t>
            </w:r>
            <w:r w:rsidRPr="00BF2076">
              <w:rPr>
                <w:rFonts w:ascii="Arial" w:hAnsi="Arial" w:cs="Arial"/>
                <w:bCs/>
              </w:rPr>
              <w:t>.</w:t>
            </w:r>
          </w:p>
          <w:p w14:paraId="62E29233" w14:textId="77777777" w:rsidR="008C1693" w:rsidRPr="00BF2076" w:rsidRDefault="008C1693" w:rsidP="004514FE">
            <w:pPr>
              <w:widowControl w:val="0"/>
              <w:autoSpaceDE w:val="0"/>
              <w:autoSpaceDN w:val="0"/>
              <w:adjustRightInd w:val="0"/>
              <w:spacing w:after="0" w:line="240" w:lineRule="auto"/>
              <w:jc w:val="both"/>
              <w:rPr>
                <w:rFonts w:ascii="Arial" w:hAnsi="Arial" w:cs="Arial"/>
                <w:b/>
              </w:rPr>
            </w:pPr>
            <w:r w:rsidRPr="00BF2076">
              <w:rPr>
                <w:rFonts w:ascii="Arial" w:hAnsi="Arial" w:cs="Arial"/>
                <w:b/>
              </w:rPr>
              <w:t xml:space="preserve">Suplente: </w:t>
            </w:r>
          </w:p>
          <w:p w14:paraId="290FA6A4"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lang w:eastAsia="es-ES"/>
              </w:rPr>
              <w:t xml:space="preserve">Siria Carmona Castro, Asesora del Consejo Superior. </w:t>
            </w:r>
          </w:p>
        </w:tc>
        <w:tc>
          <w:tcPr>
            <w:tcW w:w="3730" w:type="dxa"/>
            <w:vAlign w:val="center"/>
          </w:tcPr>
          <w:p w14:paraId="58789B92"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lang w:eastAsia="es-ES"/>
              </w:rPr>
            </w:pPr>
            <w:r w:rsidRPr="00BF2076">
              <w:rPr>
                <w:rFonts w:ascii="Arial" w:hAnsi="Arial" w:cs="Arial"/>
                <w:b/>
                <w:bCs/>
                <w:lang w:eastAsia="es-ES"/>
              </w:rPr>
              <w:t>Consejo Superior</w:t>
            </w:r>
          </w:p>
          <w:p w14:paraId="25F52082"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lang w:eastAsia="es-ES"/>
              </w:rPr>
              <w:t>Designación realizada por el Consejo Superior en la sesión 61-2022 celebrada el 21 de julio de 2022, artículo XIX.</w:t>
            </w:r>
          </w:p>
        </w:tc>
      </w:tr>
      <w:tr w:rsidR="008C1693" w:rsidRPr="00BF2076" w14:paraId="794BE9DF" w14:textId="77777777">
        <w:tc>
          <w:tcPr>
            <w:tcW w:w="5098" w:type="dxa"/>
            <w:vAlign w:val="center"/>
          </w:tcPr>
          <w:p w14:paraId="66745683"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Titular:</w:t>
            </w:r>
          </w:p>
          <w:p w14:paraId="1827D23C"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 xml:space="preserve">Irving Vargas Rodríguez, Director del Despacho </w:t>
            </w:r>
            <w:proofErr w:type="spellStart"/>
            <w:r w:rsidRPr="00BF2076">
              <w:rPr>
                <w:rFonts w:ascii="Arial" w:hAnsi="Arial" w:cs="Arial"/>
                <w:i/>
                <w:iCs/>
              </w:rPr>
              <w:t>a.í</w:t>
            </w:r>
            <w:proofErr w:type="spellEnd"/>
            <w:r w:rsidRPr="00BF2076">
              <w:rPr>
                <w:rFonts w:ascii="Arial" w:hAnsi="Arial" w:cs="Arial"/>
                <w:i/>
                <w:iCs/>
              </w:rPr>
              <w:t>.</w:t>
            </w:r>
          </w:p>
          <w:p w14:paraId="4AB8F7D3"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Suplente:</w:t>
            </w:r>
          </w:p>
          <w:p w14:paraId="3508440D" w14:textId="7DE4857B"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rPr>
              <w:t>Jorge David Morales Ramírez, Asesor de la Presidencia.</w:t>
            </w:r>
          </w:p>
        </w:tc>
        <w:tc>
          <w:tcPr>
            <w:tcW w:w="3730" w:type="dxa"/>
            <w:vAlign w:val="center"/>
          </w:tcPr>
          <w:p w14:paraId="19277DDE"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Despacho de la Presidencia</w:t>
            </w:r>
          </w:p>
          <w:p w14:paraId="1B146AA5"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rPr>
              <w:t>Oficio DP-444-2022 del 12 de julio 2022.</w:t>
            </w:r>
          </w:p>
        </w:tc>
      </w:tr>
      <w:tr w:rsidR="008C1693" w:rsidRPr="00BF2076" w14:paraId="5A3B4B35" w14:textId="77777777">
        <w:tc>
          <w:tcPr>
            <w:tcW w:w="5098" w:type="dxa"/>
            <w:vAlign w:val="center"/>
          </w:tcPr>
          <w:p w14:paraId="7057F71C"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Titular:</w:t>
            </w:r>
          </w:p>
          <w:p w14:paraId="79AFEAF9"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 xml:space="preserve">Walter Espinoza </w:t>
            </w:r>
            <w:proofErr w:type="spellStart"/>
            <w:r w:rsidRPr="00BF2076">
              <w:rPr>
                <w:rFonts w:ascii="Arial" w:hAnsi="Arial" w:cs="Arial"/>
              </w:rPr>
              <w:t>Espinoza</w:t>
            </w:r>
            <w:proofErr w:type="spellEnd"/>
            <w:r w:rsidRPr="00BF2076">
              <w:rPr>
                <w:rFonts w:ascii="Arial" w:hAnsi="Arial" w:cs="Arial"/>
              </w:rPr>
              <w:t>, Director General del OIJ.</w:t>
            </w:r>
          </w:p>
          <w:p w14:paraId="6CD651C2"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Suplente:</w:t>
            </w:r>
          </w:p>
          <w:p w14:paraId="750B70B1"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Randall Zúñiga López, Subdirector del OIJ.</w:t>
            </w:r>
          </w:p>
        </w:tc>
        <w:tc>
          <w:tcPr>
            <w:tcW w:w="3730" w:type="dxa"/>
            <w:vAlign w:val="center"/>
          </w:tcPr>
          <w:p w14:paraId="52EF21D2"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Organismo de Investigación Judicial</w:t>
            </w:r>
          </w:p>
          <w:p w14:paraId="3AF1684E"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Correo electrónico Dirección General del 12 de julio 2022.</w:t>
            </w:r>
          </w:p>
        </w:tc>
      </w:tr>
      <w:tr w:rsidR="008C1693" w:rsidRPr="00BF2076" w14:paraId="15F7FC40" w14:textId="77777777">
        <w:tc>
          <w:tcPr>
            <w:tcW w:w="5098" w:type="dxa"/>
            <w:vAlign w:val="center"/>
          </w:tcPr>
          <w:p w14:paraId="2FC1060C"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Titular:</w:t>
            </w:r>
          </w:p>
          <w:p w14:paraId="1B11D360"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Juan Carlos Cubillo, Fiscal Adjunto 3.</w:t>
            </w:r>
          </w:p>
          <w:p w14:paraId="15E6DBA0"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lastRenderedPageBreak/>
              <w:t>Suplente:</w:t>
            </w:r>
          </w:p>
          <w:p w14:paraId="5484431E"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 xml:space="preserve">Fabiola Luna Durán, Fiscala </w:t>
            </w:r>
          </w:p>
        </w:tc>
        <w:tc>
          <w:tcPr>
            <w:tcW w:w="3730" w:type="dxa"/>
            <w:vAlign w:val="center"/>
          </w:tcPr>
          <w:p w14:paraId="710FC65D"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lastRenderedPageBreak/>
              <w:t>Ministerio Público</w:t>
            </w:r>
          </w:p>
          <w:p w14:paraId="0539D048"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rPr>
              <w:t xml:space="preserve">Correo electrónico Fiscalía General </w:t>
            </w:r>
            <w:r w:rsidRPr="00BF2076">
              <w:rPr>
                <w:rFonts w:ascii="Arial" w:hAnsi="Arial" w:cs="Arial"/>
              </w:rPr>
              <w:lastRenderedPageBreak/>
              <w:t>del 14 de julio 2022.</w:t>
            </w:r>
          </w:p>
        </w:tc>
      </w:tr>
      <w:tr w:rsidR="008C1693" w:rsidRPr="00BF2076" w14:paraId="70499388" w14:textId="77777777">
        <w:tc>
          <w:tcPr>
            <w:tcW w:w="5098" w:type="dxa"/>
            <w:vAlign w:val="center"/>
          </w:tcPr>
          <w:p w14:paraId="6594EF86"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Titular:</w:t>
            </w:r>
          </w:p>
          <w:p w14:paraId="1DB5E470"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Juan Carlos Pérez Murillo, Director de la Defensa Pública</w:t>
            </w:r>
          </w:p>
          <w:p w14:paraId="660960B8"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Suplente:</w:t>
            </w:r>
          </w:p>
          <w:p w14:paraId="10D0705A"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Yendry Portuguez Pizarro, Subdirectora de la Defensa Pública</w:t>
            </w:r>
          </w:p>
        </w:tc>
        <w:tc>
          <w:tcPr>
            <w:tcW w:w="3730" w:type="dxa"/>
            <w:vAlign w:val="center"/>
          </w:tcPr>
          <w:p w14:paraId="2772E9B0"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Defensa Pública</w:t>
            </w:r>
          </w:p>
          <w:p w14:paraId="7E7BD93A"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rPr>
              <w:t>Oficio JEFDP-377-2022 del 13 de julio 2022.</w:t>
            </w:r>
          </w:p>
        </w:tc>
      </w:tr>
      <w:tr w:rsidR="008C1693" w:rsidRPr="00BF2076" w14:paraId="0A71B7CB" w14:textId="77777777">
        <w:tc>
          <w:tcPr>
            <w:tcW w:w="5098" w:type="dxa"/>
            <w:vAlign w:val="center"/>
          </w:tcPr>
          <w:p w14:paraId="51ADC636"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Titular:</w:t>
            </w:r>
          </w:p>
          <w:p w14:paraId="1299DE8F"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Ana Eugenia Romero Jenkins, Directora Ejecutiva.</w:t>
            </w:r>
          </w:p>
          <w:p w14:paraId="33FBDEBB"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Suplente:</w:t>
            </w:r>
          </w:p>
          <w:p w14:paraId="609C6A0C"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Wilbert Kidd Alvarado, Subdirector Ejecutivo.</w:t>
            </w:r>
          </w:p>
        </w:tc>
        <w:tc>
          <w:tcPr>
            <w:tcW w:w="3730" w:type="dxa"/>
            <w:vAlign w:val="center"/>
          </w:tcPr>
          <w:p w14:paraId="6B9D3E73"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Dirección Ejecutiva</w:t>
            </w:r>
          </w:p>
        </w:tc>
      </w:tr>
      <w:tr w:rsidR="008C1693" w:rsidRPr="00BF2076" w14:paraId="1B626E9C" w14:textId="77777777">
        <w:tc>
          <w:tcPr>
            <w:tcW w:w="5098" w:type="dxa"/>
            <w:vAlign w:val="center"/>
          </w:tcPr>
          <w:p w14:paraId="47A49D85"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Titular:</w:t>
            </w:r>
          </w:p>
          <w:p w14:paraId="113BC8B1"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Dixon Li Morales, Jefe del Proceso de Ejecución de las Operaciones.</w:t>
            </w:r>
          </w:p>
          <w:p w14:paraId="3D8EEBD1"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Suplente:</w:t>
            </w:r>
          </w:p>
          <w:p w14:paraId="2EF98FA3"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Gineth Retana Ureña, Jefa del Subproceso de Organización Institucional.</w:t>
            </w:r>
          </w:p>
        </w:tc>
        <w:tc>
          <w:tcPr>
            <w:tcW w:w="3730" w:type="dxa"/>
            <w:vAlign w:val="center"/>
          </w:tcPr>
          <w:p w14:paraId="37082A78"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Dirección de Planificación</w:t>
            </w:r>
          </w:p>
          <w:p w14:paraId="4F5217A8"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Oficio 606-PLA-2022 del 11 de julio 2022.</w:t>
            </w:r>
          </w:p>
        </w:tc>
      </w:tr>
      <w:tr w:rsidR="008C1693" w:rsidRPr="00BF2076" w14:paraId="741EDAA0" w14:textId="77777777">
        <w:tc>
          <w:tcPr>
            <w:tcW w:w="5098" w:type="dxa"/>
            <w:vAlign w:val="center"/>
          </w:tcPr>
          <w:p w14:paraId="2A3A23B3"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Titular:</w:t>
            </w:r>
          </w:p>
          <w:p w14:paraId="13785961"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Michael Jiménez Ureña, Jefe del Subproceso de Normas y Estándares.</w:t>
            </w:r>
          </w:p>
          <w:p w14:paraId="0B099F6E"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Suplente:</w:t>
            </w:r>
          </w:p>
          <w:p w14:paraId="0B35F37D"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Kattia Morales Navarro, Directora de la DTIC.</w:t>
            </w:r>
          </w:p>
        </w:tc>
        <w:tc>
          <w:tcPr>
            <w:tcW w:w="3730" w:type="dxa"/>
            <w:vAlign w:val="center"/>
          </w:tcPr>
          <w:p w14:paraId="2FCAC28D"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Dirección de Tecnología Información y Comunicaciones</w:t>
            </w:r>
          </w:p>
          <w:p w14:paraId="10966149"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Oficio 1876-DTI-2022 del 12 de julio 2022.</w:t>
            </w:r>
          </w:p>
        </w:tc>
      </w:tr>
      <w:tr w:rsidR="008C1693" w:rsidRPr="00BF2076" w14:paraId="1A992BC5" w14:textId="77777777">
        <w:tc>
          <w:tcPr>
            <w:tcW w:w="5098" w:type="dxa"/>
            <w:vAlign w:val="center"/>
          </w:tcPr>
          <w:p w14:paraId="5EB6134D"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Titular:</w:t>
            </w:r>
          </w:p>
          <w:p w14:paraId="0A0F4F76"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Roxana Arrieta Meléndez, Directora de la DGH.</w:t>
            </w:r>
          </w:p>
          <w:p w14:paraId="08681738"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Suplente:</w:t>
            </w:r>
          </w:p>
          <w:p w14:paraId="1C4F7F69"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Pendiente según la DGH.</w:t>
            </w:r>
          </w:p>
        </w:tc>
        <w:tc>
          <w:tcPr>
            <w:tcW w:w="3730" w:type="dxa"/>
            <w:vAlign w:val="center"/>
          </w:tcPr>
          <w:p w14:paraId="30D79E3C" w14:textId="77777777" w:rsidR="008C1693" w:rsidRPr="00BF2076" w:rsidRDefault="008C1693" w:rsidP="004514FE">
            <w:pPr>
              <w:widowControl w:val="0"/>
              <w:autoSpaceDE w:val="0"/>
              <w:autoSpaceDN w:val="0"/>
              <w:adjustRightInd w:val="0"/>
              <w:spacing w:after="0" w:line="240" w:lineRule="auto"/>
              <w:jc w:val="both"/>
              <w:rPr>
                <w:rFonts w:ascii="Arial" w:hAnsi="Arial" w:cs="Arial"/>
                <w:b/>
                <w:bCs/>
              </w:rPr>
            </w:pPr>
            <w:r w:rsidRPr="00BF2076">
              <w:rPr>
                <w:rFonts w:ascii="Arial" w:hAnsi="Arial" w:cs="Arial"/>
                <w:b/>
                <w:bCs/>
              </w:rPr>
              <w:t>Dirección de Gestión Humana</w:t>
            </w:r>
          </w:p>
          <w:p w14:paraId="5ADE3B63" w14:textId="77777777" w:rsidR="008C1693" w:rsidRPr="00BF2076" w:rsidRDefault="008C1693" w:rsidP="004514FE">
            <w:pPr>
              <w:widowControl w:val="0"/>
              <w:autoSpaceDE w:val="0"/>
              <w:autoSpaceDN w:val="0"/>
              <w:adjustRightInd w:val="0"/>
              <w:spacing w:after="0" w:line="240" w:lineRule="auto"/>
              <w:jc w:val="both"/>
              <w:rPr>
                <w:rFonts w:ascii="Arial" w:hAnsi="Arial" w:cs="Arial"/>
              </w:rPr>
            </w:pPr>
            <w:r w:rsidRPr="00BF2076">
              <w:rPr>
                <w:rFonts w:ascii="Arial" w:hAnsi="Arial" w:cs="Arial"/>
              </w:rPr>
              <w:t>Oficio PJ-DGH-403-2022 del 12 de julio 2022.</w:t>
            </w:r>
          </w:p>
        </w:tc>
      </w:tr>
    </w:tbl>
    <w:p w14:paraId="0130E023" w14:textId="77777777" w:rsidR="008C1693" w:rsidRPr="00BF2076" w:rsidRDefault="008C1693" w:rsidP="004514FE">
      <w:pPr>
        <w:spacing w:after="0" w:line="240" w:lineRule="auto"/>
        <w:ind w:firstLine="851"/>
        <w:jc w:val="both"/>
        <w:rPr>
          <w:rFonts w:ascii="Arial" w:eastAsia="Times New Roman" w:hAnsi="Arial" w:cs="Arial"/>
          <w:lang w:eastAsia="es-ES"/>
        </w:rPr>
      </w:pPr>
    </w:p>
    <w:p w14:paraId="5AD95A73" w14:textId="4B1361B3" w:rsidR="00EB4CAB" w:rsidRPr="00BF2076" w:rsidRDefault="00EB4CAB" w:rsidP="004514FE">
      <w:pPr>
        <w:spacing w:after="0" w:line="240" w:lineRule="auto"/>
        <w:jc w:val="both"/>
        <w:rPr>
          <w:rFonts w:ascii="Arial" w:hAnsi="Arial" w:cs="Arial"/>
          <w:bCs/>
        </w:rPr>
      </w:pPr>
    </w:p>
    <w:p w14:paraId="31897936" w14:textId="77777777" w:rsidR="004514FE" w:rsidRPr="00BF2076" w:rsidRDefault="004514FE" w:rsidP="004514FE">
      <w:pPr>
        <w:spacing w:after="0" w:line="240" w:lineRule="auto"/>
        <w:jc w:val="both"/>
        <w:rPr>
          <w:rFonts w:ascii="Arial" w:eastAsia="Times New Roman" w:hAnsi="Arial" w:cs="Arial"/>
          <w:lang w:eastAsia="es-ES"/>
        </w:rPr>
      </w:pPr>
      <w:r w:rsidRPr="00BF2076">
        <w:rPr>
          <w:rFonts w:ascii="Arial" w:eastAsia="Times New Roman" w:hAnsi="Arial" w:cs="Arial"/>
          <w:lang w:eastAsia="es-ES"/>
        </w:rPr>
        <w:t>Al respecto, mediante correo electrónico del 14 de marzo de 2023, remitido por el licenciado Roger Mata Brenes, Director del Despacho de la Presidencia, se indica:</w:t>
      </w:r>
    </w:p>
    <w:p w14:paraId="36B3D476" w14:textId="77777777" w:rsidR="004514FE" w:rsidRPr="00BF2076" w:rsidRDefault="004514FE" w:rsidP="004514FE">
      <w:pPr>
        <w:spacing w:after="0" w:line="240" w:lineRule="auto"/>
        <w:jc w:val="both"/>
        <w:rPr>
          <w:rFonts w:ascii="Arial" w:eastAsia="Times New Roman" w:hAnsi="Arial" w:cs="Arial"/>
          <w:lang w:eastAsia="es-ES"/>
        </w:rPr>
      </w:pPr>
    </w:p>
    <w:p w14:paraId="2CDB22B0" w14:textId="0F0ABAB8" w:rsidR="00EB4CAB" w:rsidRPr="00BF2076" w:rsidRDefault="004514FE" w:rsidP="004514FE">
      <w:pPr>
        <w:ind w:left="851"/>
        <w:jc w:val="both"/>
        <w:rPr>
          <w:rFonts w:ascii="Arial" w:eastAsia="Times New Roman" w:hAnsi="Arial" w:cs="Arial"/>
          <w:i/>
          <w:iCs/>
          <w:lang w:eastAsia="es-ES"/>
        </w:rPr>
      </w:pPr>
      <w:r w:rsidRPr="00BF2076">
        <w:rPr>
          <w:rFonts w:ascii="Arial" w:eastAsia="Times New Roman" w:hAnsi="Arial" w:cs="Arial"/>
          <w:i/>
          <w:iCs/>
          <w:lang w:eastAsia="es-ES"/>
        </w:rPr>
        <w:t xml:space="preserve">“Muy buenas tardes don </w:t>
      </w:r>
      <w:proofErr w:type="gramStart"/>
      <w:r w:rsidRPr="00BF2076">
        <w:rPr>
          <w:rFonts w:ascii="Arial" w:eastAsia="Times New Roman" w:hAnsi="Arial" w:cs="Arial"/>
          <w:i/>
          <w:iCs/>
          <w:lang w:eastAsia="es-ES"/>
        </w:rPr>
        <w:t>Melvin,  por</w:t>
      </w:r>
      <w:proofErr w:type="gramEnd"/>
      <w:r w:rsidRPr="00BF2076">
        <w:rPr>
          <w:rFonts w:ascii="Arial" w:eastAsia="Times New Roman" w:hAnsi="Arial" w:cs="Arial"/>
          <w:i/>
          <w:iCs/>
          <w:lang w:eastAsia="es-ES"/>
        </w:rPr>
        <w:t xml:space="preserve"> favor informar a la comisión que se procede a la sustitución de don Irving Vargas Rodríguez, por el señor </w:t>
      </w:r>
      <w:proofErr w:type="spellStart"/>
      <w:r w:rsidRPr="00BF2076">
        <w:rPr>
          <w:rFonts w:ascii="Arial" w:eastAsia="Times New Roman" w:hAnsi="Arial" w:cs="Arial"/>
          <w:i/>
          <w:iCs/>
          <w:lang w:eastAsia="es-ES"/>
        </w:rPr>
        <w:t>Róger</w:t>
      </w:r>
      <w:proofErr w:type="spellEnd"/>
      <w:r w:rsidRPr="00BF2076">
        <w:rPr>
          <w:rFonts w:ascii="Arial" w:eastAsia="Times New Roman" w:hAnsi="Arial" w:cs="Arial"/>
          <w:i/>
          <w:iCs/>
          <w:lang w:eastAsia="es-ES"/>
        </w:rPr>
        <w:t xml:space="preserve"> Mata Brenes,  en condición de suplente y se tome la participación de don Jorge David Morales Ramírez, como titular de la comisión”. </w:t>
      </w:r>
    </w:p>
    <w:p w14:paraId="1C7759E4" w14:textId="40258A0E" w:rsidR="004514FE" w:rsidRPr="00BF2076" w:rsidRDefault="00367CA0" w:rsidP="00367CA0">
      <w:pPr>
        <w:spacing w:after="0" w:line="240" w:lineRule="auto"/>
        <w:jc w:val="both"/>
        <w:rPr>
          <w:rFonts w:ascii="Arial" w:eastAsia="Times New Roman" w:hAnsi="Arial" w:cs="Arial"/>
          <w:lang w:eastAsia="es-ES"/>
        </w:rPr>
      </w:pPr>
      <w:r w:rsidRPr="00BF2076">
        <w:rPr>
          <w:rFonts w:ascii="Arial" w:eastAsia="Times New Roman" w:hAnsi="Arial" w:cs="Arial"/>
          <w:lang w:eastAsia="es-ES"/>
        </w:rPr>
        <w:t xml:space="preserve">Por su parte, mediante correo electrónico </w:t>
      </w:r>
      <w:r w:rsidR="006831E1" w:rsidRPr="00BF2076">
        <w:rPr>
          <w:rFonts w:ascii="Arial" w:eastAsia="Times New Roman" w:hAnsi="Arial" w:cs="Arial"/>
          <w:lang w:eastAsia="es-ES"/>
        </w:rPr>
        <w:t xml:space="preserve">de la </w:t>
      </w:r>
      <w:r w:rsidRPr="00BF2076">
        <w:rPr>
          <w:rFonts w:ascii="Arial" w:eastAsia="Times New Roman" w:hAnsi="Arial" w:cs="Arial"/>
          <w:lang w:eastAsia="es-ES"/>
        </w:rPr>
        <w:t xml:space="preserve">Dirección General </w:t>
      </w:r>
      <w:r w:rsidR="002F0B1E" w:rsidRPr="00BF2076">
        <w:rPr>
          <w:rFonts w:ascii="Arial" w:eastAsia="Times New Roman" w:hAnsi="Arial" w:cs="Arial"/>
          <w:lang w:eastAsia="es-ES"/>
        </w:rPr>
        <w:t xml:space="preserve">del Organismo de Investigación Judicial </w:t>
      </w:r>
      <w:r w:rsidRPr="00BF2076">
        <w:rPr>
          <w:rFonts w:ascii="Arial" w:eastAsia="Times New Roman" w:hAnsi="Arial" w:cs="Arial"/>
          <w:lang w:eastAsia="es-ES"/>
        </w:rPr>
        <w:t>del 23 de marzo de 2023</w:t>
      </w:r>
      <w:r w:rsidR="002F0B1E" w:rsidRPr="00BF2076">
        <w:rPr>
          <w:rFonts w:ascii="Arial" w:eastAsia="Times New Roman" w:hAnsi="Arial" w:cs="Arial"/>
          <w:lang w:eastAsia="es-ES"/>
        </w:rPr>
        <w:t>, se comunica al Subproceso de Gestión de la Continuidad del Servicio, que:</w:t>
      </w:r>
    </w:p>
    <w:p w14:paraId="2C0BA392" w14:textId="558ED8DA" w:rsidR="00367CA0" w:rsidRPr="00BF2076" w:rsidRDefault="00367CA0" w:rsidP="00367CA0">
      <w:pPr>
        <w:spacing w:after="0" w:line="240" w:lineRule="auto"/>
        <w:jc w:val="both"/>
        <w:rPr>
          <w:rFonts w:ascii="Arial" w:eastAsia="Times New Roman" w:hAnsi="Arial" w:cs="Arial"/>
          <w:lang w:eastAsia="es-ES"/>
        </w:rPr>
      </w:pPr>
    </w:p>
    <w:p w14:paraId="6422019A" w14:textId="707A468A" w:rsidR="00367CA0" w:rsidRPr="00BF2076" w:rsidRDefault="00367CA0" w:rsidP="002F0B1E">
      <w:pPr>
        <w:spacing w:after="0" w:line="240" w:lineRule="auto"/>
        <w:ind w:left="851"/>
        <w:jc w:val="both"/>
        <w:rPr>
          <w:rFonts w:ascii="Arial" w:eastAsia="Times New Roman" w:hAnsi="Arial" w:cs="Arial"/>
          <w:i/>
          <w:iCs/>
          <w:lang w:eastAsia="es-ES"/>
        </w:rPr>
      </w:pPr>
      <w:r w:rsidRPr="00BF2076">
        <w:rPr>
          <w:rFonts w:ascii="Arial" w:eastAsia="Times New Roman" w:hAnsi="Arial" w:cs="Arial"/>
          <w:i/>
          <w:iCs/>
          <w:lang w:eastAsia="es-ES"/>
        </w:rPr>
        <w:t>“</w:t>
      </w:r>
      <w:r w:rsidR="002F0B1E" w:rsidRPr="00BF2076">
        <w:rPr>
          <w:rFonts w:ascii="Arial" w:eastAsia="Times New Roman" w:hAnsi="Arial" w:cs="Arial"/>
          <w:i/>
          <w:iCs/>
          <w:lang w:eastAsia="es-ES"/>
        </w:rPr>
        <w:t xml:space="preserve">[…] </w:t>
      </w:r>
      <w:r w:rsidRPr="00BF2076">
        <w:rPr>
          <w:rFonts w:ascii="Arial" w:eastAsia="Times New Roman" w:hAnsi="Arial" w:cs="Arial"/>
          <w:i/>
          <w:iCs/>
          <w:lang w:eastAsia="es-ES"/>
        </w:rPr>
        <w:t xml:space="preserve">con indicaciones superiores me permito informar que se asignó </w:t>
      </w:r>
      <w:r w:rsidR="002F0B1E" w:rsidRPr="00BF2076">
        <w:rPr>
          <w:rFonts w:ascii="Arial" w:eastAsia="Times New Roman" w:hAnsi="Arial" w:cs="Arial"/>
          <w:i/>
          <w:iCs/>
          <w:lang w:eastAsia="es-ES"/>
        </w:rPr>
        <w:t>a</w:t>
      </w:r>
      <w:r w:rsidRPr="00BF2076">
        <w:rPr>
          <w:rFonts w:ascii="Arial" w:eastAsia="Times New Roman" w:hAnsi="Arial" w:cs="Arial"/>
          <w:i/>
          <w:iCs/>
          <w:lang w:eastAsia="es-ES"/>
        </w:rPr>
        <w:t>l Licenciado Rodolfo Arce Hernández, como representante titular del Organismo de Investigación Judicial, Don Randall Zúñiga López como representante suplente.”</w:t>
      </w:r>
    </w:p>
    <w:p w14:paraId="36646541" w14:textId="2E399FC2" w:rsidR="002F0B1E" w:rsidRPr="00BF2076" w:rsidRDefault="002F0B1E" w:rsidP="004514FE">
      <w:pPr>
        <w:spacing w:after="0" w:line="240" w:lineRule="auto"/>
        <w:jc w:val="both"/>
        <w:rPr>
          <w:rFonts w:ascii="Arial" w:eastAsia="Times New Roman" w:hAnsi="Arial" w:cs="Arial"/>
          <w:b/>
          <w:bCs/>
          <w:lang w:eastAsia="es-ES"/>
        </w:rPr>
      </w:pPr>
    </w:p>
    <w:p w14:paraId="73B2AE30" w14:textId="23F6AEA0" w:rsidR="002F0B1E" w:rsidRPr="00BF2076" w:rsidRDefault="002F0B1E" w:rsidP="004514FE">
      <w:pPr>
        <w:spacing w:after="0" w:line="240" w:lineRule="auto"/>
        <w:jc w:val="both"/>
        <w:rPr>
          <w:rFonts w:ascii="Arial" w:hAnsi="Arial" w:cs="Arial"/>
        </w:rPr>
      </w:pPr>
      <w:r w:rsidRPr="00BF2076">
        <w:rPr>
          <w:rFonts w:ascii="Arial" w:eastAsia="Times New Roman" w:hAnsi="Arial" w:cs="Arial"/>
          <w:lang w:eastAsia="es-ES"/>
        </w:rPr>
        <w:lastRenderedPageBreak/>
        <w:t xml:space="preserve">Finalmente, mediante el oficio PJ-DGH-192-2023 de 21 de marzo de 2023, suscrito por la máster Roxana Arrieta Meléndez, Directora de Gestión Humana, se informa que de parte de esa Dirección se designa a la licenciada </w:t>
      </w:r>
      <w:r w:rsidRPr="00BF2076">
        <w:rPr>
          <w:rFonts w:ascii="Arial" w:hAnsi="Arial" w:cs="Arial"/>
        </w:rPr>
        <w:t>Jazmín Orozco Arias, Coordinadora de la Unidad de Investigación y Control de Calidad, como integrante suplente para el Comité Técnico.</w:t>
      </w:r>
    </w:p>
    <w:p w14:paraId="4995E7A6" w14:textId="16E495A3" w:rsidR="002F0B1E" w:rsidRPr="00BF2076" w:rsidRDefault="002F0B1E" w:rsidP="004514FE">
      <w:pPr>
        <w:spacing w:after="0" w:line="240" w:lineRule="auto"/>
        <w:jc w:val="both"/>
        <w:rPr>
          <w:rFonts w:ascii="Arial" w:hAnsi="Arial" w:cs="Arial"/>
        </w:rPr>
      </w:pPr>
    </w:p>
    <w:p w14:paraId="5A4D48E2" w14:textId="30EB943A" w:rsidR="002F0B1E" w:rsidRPr="00BF2076" w:rsidRDefault="002F0B1E" w:rsidP="004514FE">
      <w:pPr>
        <w:spacing w:after="0" w:line="240" w:lineRule="auto"/>
        <w:jc w:val="both"/>
        <w:rPr>
          <w:rFonts w:ascii="Arial" w:eastAsia="Times New Roman" w:hAnsi="Arial" w:cs="Arial"/>
          <w:lang w:eastAsia="es-ES"/>
        </w:rPr>
      </w:pPr>
      <w:r w:rsidRPr="00BF2076">
        <w:rPr>
          <w:rFonts w:ascii="Arial" w:hAnsi="Arial" w:cs="Arial"/>
        </w:rPr>
        <w:t xml:space="preserve">En vista de estos cambios, se pone a conocimiento de este Comité para que se tome nota de los ajustes que se aplican a la integración de personas titulares y suplentes por parte del </w:t>
      </w:r>
      <w:r w:rsidR="00D84E2A" w:rsidRPr="00BF2076">
        <w:rPr>
          <w:rFonts w:ascii="Arial" w:hAnsi="Arial" w:cs="Arial"/>
        </w:rPr>
        <w:t>Despacho de la Presidencia, Organismo de Investigación Judicial y Dirección de Gestión Humana.</w:t>
      </w:r>
    </w:p>
    <w:p w14:paraId="7A0D6839" w14:textId="77777777" w:rsidR="002F0B1E" w:rsidRPr="00BF2076" w:rsidRDefault="002F0B1E" w:rsidP="004514FE">
      <w:pPr>
        <w:spacing w:after="0" w:line="240" w:lineRule="auto"/>
        <w:jc w:val="both"/>
        <w:rPr>
          <w:rFonts w:ascii="Arial" w:eastAsia="Times New Roman" w:hAnsi="Arial" w:cs="Arial"/>
          <w:b/>
          <w:bCs/>
          <w:lang w:eastAsia="es-ES"/>
        </w:rPr>
      </w:pPr>
    </w:p>
    <w:p w14:paraId="53BA2870" w14:textId="7B2E0B1B" w:rsidR="00F4547F" w:rsidRPr="00BF2076" w:rsidRDefault="00F4547F" w:rsidP="004514FE">
      <w:pPr>
        <w:spacing w:after="0" w:line="240" w:lineRule="auto"/>
        <w:jc w:val="both"/>
        <w:rPr>
          <w:rFonts w:ascii="Arial" w:eastAsia="Times New Roman" w:hAnsi="Arial" w:cs="Arial"/>
          <w:b/>
          <w:bCs/>
          <w:lang w:eastAsia="es-ES"/>
        </w:rPr>
      </w:pPr>
      <w:r w:rsidRPr="00BF2076">
        <w:rPr>
          <w:rFonts w:ascii="Arial" w:eastAsia="Times New Roman" w:hAnsi="Arial" w:cs="Arial"/>
          <w:b/>
          <w:bCs/>
          <w:lang w:eastAsia="es-ES"/>
        </w:rPr>
        <w:t>Se acuerda:</w:t>
      </w:r>
      <w:r w:rsidRPr="00BF2076">
        <w:rPr>
          <w:rFonts w:ascii="Arial" w:eastAsia="Times New Roman" w:hAnsi="Arial" w:cs="Arial"/>
          <w:lang w:eastAsia="es-ES"/>
        </w:rPr>
        <w:t xml:space="preserve"> </w:t>
      </w:r>
      <w:r w:rsidRPr="00BF2076">
        <w:rPr>
          <w:rFonts w:ascii="Arial" w:eastAsia="Times New Roman" w:hAnsi="Arial" w:cs="Arial"/>
          <w:b/>
          <w:bCs/>
          <w:lang w:eastAsia="es-ES"/>
        </w:rPr>
        <w:t>1</w:t>
      </w:r>
      <w:r w:rsidRPr="00BF2076">
        <w:rPr>
          <w:rFonts w:ascii="Arial" w:hAnsi="Arial" w:cs="Arial"/>
          <w:b/>
          <w:bCs/>
        </w:rPr>
        <w:t>)</w:t>
      </w:r>
      <w:r w:rsidRPr="00BF2076">
        <w:rPr>
          <w:rFonts w:ascii="Arial" w:hAnsi="Arial" w:cs="Arial"/>
        </w:rPr>
        <w:t xml:space="preserve"> </w:t>
      </w:r>
      <w:r w:rsidR="00D84E2A" w:rsidRPr="00BF2076">
        <w:rPr>
          <w:rFonts w:ascii="Arial" w:hAnsi="Arial" w:cs="Arial"/>
        </w:rPr>
        <w:t xml:space="preserve">Tomar nota de los cambios en las personas integrantes del Comité Técnico de Continuidad del Servicio, en cuanto a las representaciones del Despacho de la Presidencia, Organismo de Investigación Judicial y Dirección de Gestión Humana. </w:t>
      </w:r>
      <w:r w:rsidR="00D84E2A" w:rsidRPr="00BF2076">
        <w:rPr>
          <w:rFonts w:ascii="Arial" w:hAnsi="Arial" w:cs="Arial"/>
          <w:b/>
          <w:bCs/>
        </w:rPr>
        <w:t>2)</w:t>
      </w:r>
      <w:r w:rsidR="00D84E2A" w:rsidRPr="00BF2076">
        <w:rPr>
          <w:rFonts w:ascii="Arial" w:hAnsi="Arial" w:cs="Arial"/>
        </w:rPr>
        <w:t xml:space="preserve"> E</w:t>
      </w:r>
      <w:r w:rsidRPr="00BF2076">
        <w:rPr>
          <w:rFonts w:ascii="Arial" w:hAnsi="Arial" w:cs="Arial"/>
        </w:rPr>
        <w:t>l Subproceso</w:t>
      </w:r>
      <w:r w:rsidR="00D84E2A" w:rsidRPr="00BF2076">
        <w:rPr>
          <w:rFonts w:ascii="Arial" w:hAnsi="Arial" w:cs="Arial"/>
        </w:rPr>
        <w:t xml:space="preserve"> de Gestión de la Continuidad del Servicio enviará oficio a la Secretaría General de la Corte, para informar sobre la actualización de las personas integrantes de este Comité</w:t>
      </w:r>
      <w:r w:rsidRPr="00BF2076">
        <w:rPr>
          <w:rFonts w:ascii="Arial" w:hAnsi="Arial" w:cs="Arial"/>
        </w:rPr>
        <w:t>.</w:t>
      </w:r>
      <w:r w:rsidRPr="00BF2076">
        <w:rPr>
          <w:rFonts w:ascii="Arial" w:eastAsia="Times New Roman" w:hAnsi="Arial" w:cs="Arial"/>
          <w:lang w:eastAsia="es-ES"/>
        </w:rPr>
        <w:t xml:space="preserve"> </w:t>
      </w:r>
      <w:r w:rsidRPr="00BF2076">
        <w:rPr>
          <w:rFonts w:ascii="Arial" w:eastAsia="Times New Roman" w:hAnsi="Arial" w:cs="Arial"/>
          <w:b/>
          <w:bCs/>
          <w:lang w:eastAsia="es-ES"/>
        </w:rPr>
        <w:t xml:space="preserve">ACUERDO FIRME. </w:t>
      </w:r>
    </w:p>
    <w:p w14:paraId="6D81B0D3" w14:textId="77777777" w:rsidR="002248E5" w:rsidRPr="00BF2076" w:rsidRDefault="002248E5" w:rsidP="004514FE">
      <w:pPr>
        <w:spacing w:after="0" w:line="240" w:lineRule="auto"/>
        <w:jc w:val="center"/>
        <w:rPr>
          <w:rFonts w:ascii="Arial" w:hAnsi="Arial" w:cs="Arial"/>
          <w:b/>
          <w:color w:val="2F5496"/>
        </w:rPr>
      </w:pPr>
    </w:p>
    <w:p w14:paraId="350551CD" w14:textId="5D890B41" w:rsidR="00536B7B" w:rsidRPr="00BF2076" w:rsidRDefault="00536B7B" w:rsidP="004514FE">
      <w:pPr>
        <w:spacing w:after="0" w:line="240" w:lineRule="auto"/>
        <w:jc w:val="center"/>
        <w:rPr>
          <w:rFonts w:ascii="Arial" w:hAnsi="Arial" w:cs="Arial"/>
          <w:b/>
          <w:color w:val="2F5496"/>
        </w:rPr>
      </w:pPr>
      <w:r w:rsidRPr="00BF2076">
        <w:rPr>
          <w:rFonts w:ascii="Arial" w:hAnsi="Arial" w:cs="Arial"/>
          <w:b/>
          <w:color w:val="2F5496"/>
        </w:rPr>
        <w:t xml:space="preserve">ARTÍCULO </w:t>
      </w:r>
      <w:r w:rsidR="00734FFE" w:rsidRPr="00BF2076">
        <w:rPr>
          <w:rFonts w:ascii="Arial" w:hAnsi="Arial" w:cs="Arial"/>
          <w:b/>
          <w:color w:val="2F5496"/>
        </w:rPr>
        <w:t>I</w:t>
      </w:r>
      <w:r w:rsidR="00AB2DA2" w:rsidRPr="00BF2076">
        <w:rPr>
          <w:rFonts w:ascii="Arial" w:hAnsi="Arial" w:cs="Arial"/>
          <w:b/>
          <w:color w:val="2F5496"/>
        </w:rPr>
        <w:t>I</w:t>
      </w:r>
    </w:p>
    <w:p w14:paraId="6C7B1C38" w14:textId="77777777" w:rsidR="00D3486F" w:rsidRPr="00BF2076" w:rsidRDefault="00D3486F" w:rsidP="004514FE">
      <w:pPr>
        <w:spacing w:after="0" w:line="240" w:lineRule="auto"/>
        <w:jc w:val="center"/>
        <w:rPr>
          <w:rFonts w:ascii="Arial" w:hAnsi="Arial" w:cs="Arial"/>
          <w:b/>
          <w:color w:val="2F5496"/>
        </w:rPr>
      </w:pPr>
    </w:p>
    <w:p w14:paraId="0D98D4A5" w14:textId="60A8385F" w:rsidR="00C64E91" w:rsidRPr="00BF2076" w:rsidRDefault="00516133" w:rsidP="004514FE">
      <w:pPr>
        <w:widowControl w:val="0"/>
        <w:autoSpaceDE w:val="0"/>
        <w:autoSpaceDN w:val="0"/>
        <w:adjustRightInd w:val="0"/>
        <w:spacing w:after="0" w:line="240" w:lineRule="auto"/>
        <w:ind w:right="142"/>
        <w:jc w:val="both"/>
        <w:rPr>
          <w:rFonts w:ascii="Arial" w:hAnsi="Arial" w:cs="Arial"/>
          <w:lang w:val="es-ES"/>
        </w:rPr>
      </w:pPr>
      <w:bookmarkStart w:id="1" w:name="_Hlk52169883"/>
      <w:r w:rsidRPr="00BF2076">
        <w:rPr>
          <w:rFonts w:ascii="Arial" w:hAnsi="Arial" w:cs="Arial"/>
          <w:lang w:val="es-ES"/>
        </w:rPr>
        <w:t>Para conocimiento y aprobación del Comité Técnico,</w:t>
      </w:r>
      <w:r w:rsidR="00C64E91" w:rsidRPr="00BF2076">
        <w:rPr>
          <w:rFonts w:ascii="Arial" w:hAnsi="Arial" w:cs="Arial"/>
          <w:lang w:val="es-ES"/>
        </w:rPr>
        <w:t xml:space="preserve"> el Subproceso de Gestión de Continuidad del Servicio</w:t>
      </w:r>
      <w:r w:rsidRPr="00BF2076">
        <w:rPr>
          <w:rFonts w:ascii="Arial" w:hAnsi="Arial" w:cs="Arial"/>
          <w:lang w:val="es-ES"/>
        </w:rPr>
        <w:t xml:space="preserve"> presenta informe de </w:t>
      </w:r>
      <w:r w:rsidR="007F6EEE" w:rsidRPr="00BF2076">
        <w:rPr>
          <w:rFonts w:ascii="Arial" w:hAnsi="Arial" w:cs="Arial"/>
          <w:lang w:val="es-ES"/>
        </w:rPr>
        <w:t>a</w:t>
      </w:r>
      <w:r w:rsidR="00A430F8" w:rsidRPr="00BF2076">
        <w:rPr>
          <w:rFonts w:ascii="Arial" w:hAnsi="Arial" w:cs="Arial"/>
          <w:lang w:val="es-ES"/>
        </w:rPr>
        <w:t>ctualización d</w:t>
      </w:r>
      <w:r w:rsidR="00C64E91" w:rsidRPr="00BF2076">
        <w:rPr>
          <w:rFonts w:ascii="Arial" w:hAnsi="Arial" w:cs="Arial"/>
          <w:lang w:val="es-ES"/>
        </w:rPr>
        <w:t>e la lista de procesos críticos, incorporando el escenario de indisponibilidad tecnológica total:</w:t>
      </w:r>
    </w:p>
    <w:p w14:paraId="32BC4F2D" w14:textId="77777777" w:rsidR="00C64E91" w:rsidRPr="00BF2076" w:rsidRDefault="00C64E91" w:rsidP="004514FE">
      <w:pPr>
        <w:widowControl w:val="0"/>
        <w:autoSpaceDE w:val="0"/>
        <w:autoSpaceDN w:val="0"/>
        <w:adjustRightInd w:val="0"/>
        <w:spacing w:after="0" w:line="240" w:lineRule="auto"/>
        <w:ind w:right="142"/>
        <w:jc w:val="both"/>
        <w:rPr>
          <w:rFonts w:ascii="Arial" w:hAnsi="Arial" w:cs="Arial"/>
          <w:lang w:val="es-ES"/>
        </w:rPr>
      </w:pPr>
    </w:p>
    <w:p w14:paraId="3724CAAC" w14:textId="751C2FDF" w:rsidR="00C64E91" w:rsidRPr="00BF2076" w:rsidRDefault="00FD3AA7" w:rsidP="00C64E91">
      <w:pPr>
        <w:jc w:val="center"/>
        <w:rPr>
          <w:rFonts w:ascii="Arial" w:hAnsi="Arial" w:cs="Arial"/>
        </w:rPr>
      </w:pPr>
      <w:r w:rsidRPr="00BF2076">
        <w:rPr>
          <w:rFonts w:ascii="Arial" w:hAnsi="Arial" w:cs="Arial"/>
          <w:lang w:val="es-ES"/>
        </w:rPr>
        <w:t xml:space="preserve"> </w:t>
      </w:r>
      <w:bookmarkStart w:id="2" w:name="_Hlk61294107"/>
      <w:r w:rsidR="00C64E91" w:rsidRPr="00BF2076">
        <w:rPr>
          <w:rFonts w:ascii="Arial" w:hAnsi="Arial" w:cs="Arial"/>
          <w:b/>
        </w:rPr>
        <w:t>Informe de ampliación del Análisis de Impacto al Servicio (BIA) – procesos críticos</w:t>
      </w:r>
      <w:bookmarkEnd w:id="2"/>
    </w:p>
    <w:p w14:paraId="197FEDCC" w14:textId="77777777" w:rsidR="00C64E91" w:rsidRPr="00BF2076" w:rsidRDefault="00C64E91" w:rsidP="007F6EEE">
      <w:pPr>
        <w:pStyle w:val="Prrafodelista"/>
        <w:numPr>
          <w:ilvl w:val="0"/>
          <w:numId w:val="27"/>
        </w:numPr>
        <w:rPr>
          <w:rFonts w:ascii="Arial" w:eastAsia="Calibri" w:hAnsi="Arial" w:cs="Arial"/>
          <w:b/>
          <w:bCs/>
          <w:i/>
          <w:iCs/>
          <w:color w:val="4472C4" w:themeColor="accent1"/>
        </w:rPr>
      </w:pPr>
      <w:r w:rsidRPr="00BF2076">
        <w:rPr>
          <w:rStyle w:val="nfasisintenso"/>
          <w:rFonts w:ascii="Arial" w:eastAsia="Calibri" w:hAnsi="Arial" w:cs="Arial"/>
          <w:b/>
          <w:bCs/>
        </w:rPr>
        <w:t>Antecedentes:</w:t>
      </w:r>
    </w:p>
    <w:p w14:paraId="5BD25F42" w14:textId="77777777" w:rsidR="00C64E91" w:rsidRPr="00BF2076" w:rsidRDefault="00C64E91" w:rsidP="007F6EEE">
      <w:pPr>
        <w:autoSpaceDE w:val="0"/>
        <w:autoSpaceDN w:val="0"/>
        <w:spacing w:after="0" w:line="240" w:lineRule="auto"/>
        <w:ind w:left="705" w:hanging="705"/>
        <w:jc w:val="both"/>
        <w:rPr>
          <w:rFonts w:ascii="Arial" w:hAnsi="Arial" w:cs="Arial"/>
        </w:rPr>
      </w:pPr>
    </w:p>
    <w:p w14:paraId="309D5100" w14:textId="77777777" w:rsidR="00C64E91" w:rsidRPr="00BF2076" w:rsidRDefault="00C64E91" w:rsidP="007F6EEE">
      <w:pPr>
        <w:pStyle w:val="Prrafodelista"/>
        <w:widowControl/>
        <w:numPr>
          <w:ilvl w:val="0"/>
          <w:numId w:val="28"/>
        </w:numPr>
        <w:autoSpaceDE/>
        <w:autoSpaceDN/>
        <w:adjustRightInd/>
        <w:ind w:right="48"/>
        <w:contextualSpacing/>
        <w:rPr>
          <w:rFonts w:ascii="Arial" w:hAnsi="Arial" w:cs="Arial"/>
        </w:rPr>
      </w:pPr>
      <w:r w:rsidRPr="00BF2076">
        <w:rPr>
          <w:rFonts w:ascii="Arial" w:hAnsi="Arial" w:cs="Arial"/>
        </w:rPr>
        <w:t xml:space="preserve">El Consejo Superior en la sesión N° 103-19, del 26 de noviembre 2019, artículo XXIV, aprobó el </w:t>
      </w:r>
      <w:r w:rsidRPr="00BF2076">
        <w:rPr>
          <w:rFonts w:ascii="Arial" w:hAnsi="Arial" w:cs="Arial"/>
          <w:b/>
          <w:bCs/>
        </w:rPr>
        <w:t>Informe del Análisis de Impacto al Servicio del Poder Judicial</w:t>
      </w:r>
      <w:r w:rsidRPr="00BF2076">
        <w:rPr>
          <w:rFonts w:ascii="Arial" w:hAnsi="Arial" w:cs="Arial"/>
        </w:rPr>
        <w:t xml:space="preserve">, en el cual se informaba sobre la identificación de 688 procesos institucionales, de los cuales resultaron </w:t>
      </w:r>
      <w:r w:rsidRPr="00BF2076">
        <w:rPr>
          <w:rFonts w:ascii="Arial" w:hAnsi="Arial" w:cs="Arial"/>
          <w:b/>
          <w:bCs/>
        </w:rPr>
        <w:t>64 procesos críticos</w:t>
      </w:r>
      <w:r w:rsidRPr="00BF2076">
        <w:rPr>
          <w:rFonts w:ascii="Arial" w:hAnsi="Arial" w:cs="Arial"/>
        </w:rPr>
        <w:t xml:space="preserve"> en caso de ocurrir un evento disruptivo. </w:t>
      </w:r>
    </w:p>
    <w:p w14:paraId="1E3947AA" w14:textId="77777777" w:rsidR="00C64E91" w:rsidRPr="00BF2076" w:rsidRDefault="00C64E91" w:rsidP="007F6EEE">
      <w:pPr>
        <w:pStyle w:val="Prrafodelista"/>
        <w:ind w:right="48"/>
        <w:rPr>
          <w:rFonts w:ascii="Arial" w:hAnsi="Arial" w:cs="Arial"/>
        </w:rPr>
      </w:pPr>
    </w:p>
    <w:p w14:paraId="167F165C" w14:textId="77777777" w:rsidR="00C64E91" w:rsidRPr="00BF2076" w:rsidRDefault="00C64E91" w:rsidP="007F6EEE">
      <w:pPr>
        <w:pStyle w:val="Prrafodelista"/>
        <w:ind w:right="48"/>
        <w:rPr>
          <w:rFonts w:ascii="Arial" w:hAnsi="Arial" w:cs="Arial"/>
        </w:rPr>
      </w:pPr>
      <w:r w:rsidRPr="00BF2076">
        <w:rPr>
          <w:rFonts w:ascii="Arial" w:hAnsi="Arial" w:cs="Arial"/>
        </w:rPr>
        <w:t>De dichos procesos, 13 procesos corresponden al Ámbito Jurisdiccional, 21 al Ámbito Auxiliar de Justicia y 30 procesos del Ámbito Administrativo. La evaluación se basó en un modelo de priorización en el cual se consideraron los siguientes impactos: sobre la persona usuaria; sobre el presupuesto; en la operación interna; en el marco regulatorio; afectación a la reputación, imagen y credibilidad; consecuencias sobre la salud humana y sobre el medio ambiente.</w:t>
      </w:r>
    </w:p>
    <w:p w14:paraId="2489737B" w14:textId="77777777" w:rsidR="00C64E91" w:rsidRPr="00BF2076" w:rsidRDefault="00C64E91" w:rsidP="007F6EEE">
      <w:pPr>
        <w:pStyle w:val="Prrafodelista"/>
        <w:ind w:right="48"/>
        <w:rPr>
          <w:rFonts w:ascii="Arial" w:hAnsi="Arial" w:cs="Arial"/>
        </w:rPr>
      </w:pPr>
    </w:p>
    <w:p w14:paraId="48200808" w14:textId="77777777" w:rsidR="00C64E91" w:rsidRPr="00BF2076" w:rsidRDefault="00C64E91" w:rsidP="007F6EEE">
      <w:pPr>
        <w:pStyle w:val="Prrafodelista"/>
        <w:widowControl/>
        <w:numPr>
          <w:ilvl w:val="0"/>
          <w:numId w:val="28"/>
        </w:numPr>
        <w:autoSpaceDE/>
        <w:autoSpaceDN/>
        <w:adjustRightInd/>
        <w:contextualSpacing/>
        <w:rPr>
          <w:rFonts w:ascii="Arial" w:hAnsi="Arial" w:cs="Arial"/>
        </w:rPr>
      </w:pPr>
      <w:r w:rsidRPr="00BF2076">
        <w:rPr>
          <w:rFonts w:ascii="Arial" w:hAnsi="Arial" w:cs="Arial"/>
        </w:rPr>
        <w:t>En sesión N° 48-2022 del Consejo Superior, celebrada el 07 de junio del 2022, artículo LXXIV, se dispuso que cada jerarca de los Ámbitos (Organismo de Investigación Judicial, Ministerio Público, Defensa Pública y Oficina de Protección Atención a Víctimas y Testigos) así como las jefaturas de las oficinas administrativas que cuentan con procesos críticos, debían trabajar en la definición de un plan de continuidad, bajo el escenario de carecer de la plataforma tecnológica que da soporte a los servicios a su cargo.</w:t>
      </w:r>
    </w:p>
    <w:p w14:paraId="0FE0E64A" w14:textId="77777777" w:rsidR="00C64E91" w:rsidRPr="00BF2076" w:rsidRDefault="00C64E91" w:rsidP="007F6EEE">
      <w:pPr>
        <w:pStyle w:val="Prrafodelista"/>
        <w:ind w:right="48"/>
        <w:rPr>
          <w:rFonts w:ascii="Arial" w:hAnsi="Arial" w:cs="Arial"/>
        </w:rPr>
      </w:pPr>
    </w:p>
    <w:p w14:paraId="41EF4E05" w14:textId="77777777" w:rsidR="00C64E91" w:rsidRPr="00BF2076" w:rsidRDefault="00C64E91" w:rsidP="007F6EEE">
      <w:pPr>
        <w:pStyle w:val="Prrafodelista"/>
        <w:widowControl/>
        <w:numPr>
          <w:ilvl w:val="0"/>
          <w:numId w:val="28"/>
        </w:numPr>
        <w:autoSpaceDE/>
        <w:autoSpaceDN/>
        <w:adjustRightInd/>
        <w:ind w:right="48"/>
        <w:contextualSpacing/>
        <w:rPr>
          <w:rFonts w:ascii="Arial" w:hAnsi="Arial" w:cs="Arial"/>
        </w:rPr>
      </w:pPr>
      <w:r w:rsidRPr="00BF2076">
        <w:rPr>
          <w:rFonts w:ascii="Arial" w:hAnsi="Arial" w:cs="Arial"/>
        </w:rPr>
        <w:t>En relación con el punto anterior, el Consejo Superior del Poder Judicial, en sesión N° 74-2022 celebrada el 30 de agosto del 2022, artículo V, conoció y aprobó el oficio del Subproceso de Gestión de Continuidad del Servicio, 001-DE-SGCS-2022 del 22 de agosto de 2022, donde el citado acuerdo señala:</w:t>
      </w:r>
    </w:p>
    <w:p w14:paraId="1490E4F2" w14:textId="77777777" w:rsidR="00C64E91" w:rsidRPr="00BF2076" w:rsidRDefault="00C64E91" w:rsidP="007F6EEE">
      <w:pPr>
        <w:pStyle w:val="Prrafodelista"/>
        <w:rPr>
          <w:rFonts w:ascii="Arial" w:hAnsi="Arial" w:cs="Arial"/>
        </w:rPr>
      </w:pPr>
    </w:p>
    <w:p w14:paraId="15ABC433" w14:textId="77777777" w:rsidR="00C64E91" w:rsidRPr="00BF2076" w:rsidRDefault="00C64E91" w:rsidP="007F6EEE">
      <w:pPr>
        <w:spacing w:after="0" w:line="240" w:lineRule="auto"/>
        <w:ind w:left="1134" w:right="680"/>
        <w:jc w:val="both"/>
        <w:rPr>
          <w:rFonts w:ascii="Arial" w:hAnsi="Arial" w:cs="Arial"/>
          <w:i/>
          <w:iCs/>
        </w:rPr>
      </w:pPr>
      <w:r w:rsidRPr="00BF2076">
        <w:rPr>
          <w:rFonts w:ascii="Arial" w:hAnsi="Arial" w:cs="Arial"/>
          <w:i/>
          <w:iCs/>
        </w:rPr>
        <w:t xml:space="preserve">“1.) Tomar nota de lo informado, en cuanto a la documentación elaborada por los despachos y oficinas judiciales para los planes de contingencia ante un escenario de indisponibilidad tecnológica en el Poder Judicial. </w:t>
      </w:r>
    </w:p>
    <w:p w14:paraId="79929969" w14:textId="77777777" w:rsidR="00C64E91" w:rsidRPr="00BF2076" w:rsidRDefault="00C64E91" w:rsidP="007F6EEE">
      <w:pPr>
        <w:spacing w:after="0" w:line="240" w:lineRule="auto"/>
        <w:ind w:left="1134" w:right="680"/>
        <w:jc w:val="both"/>
        <w:rPr>
          <w:rFonts w:ascii="Arial" w:hAnsi="Arial" w:cs="Arial"/>
          <w:i/>
          <w:iCs/>
        </w:rPr>
      </w:pPr>
    </w:p>
    <w:p w14:paraId="08145CE4" w14:textId="77777777" w:rsidR="00C64E91" w:rsidRPr="00BF2076" w:rsidRDefault="00C64E91" w:rsidP="007F6EEE">
      <w:pPr>
        <w:spacing w:after="0" w:line="240" w:lineRule="auto"/>
        <w:ind w:left="1134" w:right="680"/>
        <w:jc w:val="both"/>
        <w:rPr>
          <w:rFonts w:ascii="Arial" w:hAnsi="Arial" w:cs="Arial"/>
          <w:i/>
          <w:iCs/>
        </w:rPr>
      </w:pPr>
      <w:r w:rsidRPr="00BF2076">
        <w:rPr>
          <w:rFonts w:ascii="Arial" w:hAnsi="Arial" w:cs="Arial"/>
          <w:i/>
          <w:iCs/>
        </w:rPr>
        <w:t>6.) La Dirección de Planificación, la Dirección de Tecnología de Información, el Subproceso de Gestión de la Continuidad del Servicio y el Comité Técnico de Continuidad del Servicio, deberán continuar con las labores que les correspondan, para la actualización de procesos, protocolos de actuación, comunicación y elaboración de planes de recuperación asociados al escenario de indisponibilidad tecnológica.”</w:t>
      </w:r>
    </w:p>
    <w:p w14:paraId="729CB3C8" w14:textId="77777777" w:rsidR="00C64E91" w:rsidRPr="00BF2076" w:rsidRDefault="00C64E91" w:rsidP="007F6EEE">
      <w:pPr>
        <w:autoSpaceDE w:val="0"/>
        <w:autoSpaceDN w:val="0"/>
        <w:spacing w:after="0" w:line="240" w:lineRule="auto"/>
        <w:ind w:left="705" w:hanging="705"/>
        <w:jc w:val="both"/>
        <w:rPr>
          <w:rFonts w:ascii="Arial" w:hAnsi="Arial" w:cs="Arial"/>
        </w:rPr>
      </w:pPr>
    </w:p>
    <w:p w14:paraId="00AA0376" w14:textId="77777777" w:rsidR="00C64E91" w:rsidRPr="00BF2076" w:rsidRDefault="00C64E91" w:rsidP="007F6EEE">
      <w:pPr>
        <w:pStyle w:val="Prrafodelista"/>
        <w:numPr>
          <w:ilvl w:val="0"/>
          <w:numId w:val="27"/>
        </w:numPr>
        <w:rPr>
          <w:rFonts w:ascii="Arial" w:eastAsia="Calibri" w:hAnsi="Arial" w:cs="Arial"/>
          <w:b/>
          <w:bCs/>
          <w:i/>
          <w:iCs/>
          <w:color w:val="4472C4" w:themeColor="accent1"/>
        </w:rPr>
      </w:pPr>
      <w:r w:rsidRPr="00BF2076">
        <w:rPr>
          <w:rStyle w:val="nfasisintenso"/>
          <w:rFonts w:ascii="Arial" w:eastAsia="Calibri" w:hAnsi="Arial" w:cs="Arial"/>
          <w:b/>
          <w:bCs/>
        </w:rPr>
        <w:t>Actualización:</w:t>
      </w:r>
    </w:p>
    <w:p w14:paraId="7084D4BE" w14:textId="77777777" w:rsidR="007F6EEE" w:rsidRPr="00BF2076" w:rsidRDefault="007F6EEE" w:rsidP="007F6EEE">
      <w:pPr>
        <w:spacing w:after="0" w:line="240" w:lineRule="auto"/>
        <w:jc w:val="both"/>
        <w:rPr>
          <w:rFonts w:ascii="Arial" w:hAnsi="Arial" w:cs="Arial"/>
        </w:rPr>
      </w:pPr>
    </w:p>
    <w:p w14:paraId="3B8E973C" w14:textId="03EE8584" w:rsidR="00C64E91" w:rsidRPr="00BF2076" w:rsidRDefault="00C64E91" w:rsidP="007F6EEE">
      <w:pPr>
        <w:spacing w:after="0" w:line="240" w:lineRule="auto"/>
        <w:jc w:val="both"/>
        <w:rPr>
          <w:rFonts w:ascii="Arial" w:hAnsi="Arial" w:cs="Arial"/>
        </w:rPr>
      </w:pPr>
      <w:r w:rsidRPr="00BF2076">
        <w:rPr>
          <w:rFonts w:ascii="Arial" w:hAnsi="Arial" w:cs="Arial"/>
        </w:rPr>
        <w:t xml:space="preserve">Con la inclusión del nuevo escenario de indisponibilidad tecnológica total (apagón tecnológico), se consideró una serie de procesos que se tornarían críticos ante un ataque cibernético que afecte a todos los servicios tecnológicos del Poder Judicial, incluyendo los servicios de comunicaciones telefónicas que dependan de una central telefónica, sea analógica o IP. Esta situación implicaría una </w:t>
      </w:r>
      <w:proofErr w:type="spellStart"/>
      <w:r w:rsidRPr="00BF2076">
        <w:rPr>
          <w:rFonts w:ascii="Arial" w:hAnsi="Arial" w:cs="Arial"/>
        </w:rPr>
        <w:t>deshabilitación</w:t>
      </w:r>
      <w:proofErr w:type="spellEnd"/>
      <w:r w:rsidRPr="00BF2076">
        <w:rPr>
          <w:rFonts w:ascii="Arial" w:hAnsi="Arial" w:cs="Arial"/>
        </w:rPr>
        <w:t xml:space="preserve"> de los servicios de apoyo tecnológico, como el Internet, red de cómputo, computadoras y correo electrónico; de lo cual dependen las oficinas para la prestación del servicio.  </w:t>
      </w:r>
    </w:p>
    <w:p w14:paraId="0F63D4FC" w14:textId="77777777" w:rsidR="007F6EEE" w:rsidRPr="00BF2076" w:rsidRDefault="007F6EEE" w:rsidP="007F6EEE">
      <w:pPr>
        <w:spacing w:after="0" w:line="240" w:lineRule="auto"/>
        <w:ind w:firstLine="709"/>
        <w:jc w:val="both"/>
        <w:rPr>
          <w:rFonts w:ascii="Arial" w:hAnsi="Arial" w:cs="Arial"/>
        </w:rPr>
      </w:pPr>
    </w:p>
    <w:p w14:paraId="684C9A05" w14:textId="087BC5E7" w:rsidR="00C64E91" w:rsidRPr="00BF2076" w:rsidRDefault="00C64E91" w:rsidP="007F6EEE">
      <w:pPr>
        <w:spacing w:after="0" w:line="240" w:lineRule="auto"/>
        <w:jc w:val="both"/>
        <w:rPr>
          <w:rFonts w:ascii="Arial" w:hAnsi="Arial" w:cs="Arial"/>
        </w:rPr>
      </w:pPr>
      <w:r w:rsidRPr="00BF2076">
        <w:rPr>
          <w:rFonts w:ascii="Arial" w:hAnsi="Arial" w:cs="Arial"/>
        </w:rPr>
        <w:t>El escenario establecido propuso una tarea a las oficinas para que consideraran el quehacer y la afectación de los servicios desde la óptica más desalentadora, de manera tal que al plantear sus planes de contingencia analizaran todas las alternativas posibles y se anticipen ante todas las aristas que resulten de esa condición.</w:t>
      </w:r>
    </w:p>
    <w:p w14:paraId="35A02F2E" w14:textId="77777777" w:rsidR="007F6EEE" w:rsidRPr="00BF2076" w:rsidRDefault="007F6EEE" w:rsidP="007F6EEE">
      <w:pPr>
        <w:spacing w:after="0" w:line="240" w:lineRule="auto"/>
        <w:jc w:val="both"/>
        <w:rPr>
          <w:rFonts w:ascii="Arial" w:hAnsi="Arial" w:cs="Arial"/>
        </w:rPr>
      </w:pPr>
    </w:p>
    <w:p w14:paraId="5DBDA368" w14:textId="32E27B47" w:rsidR="00C64E91" w:rsidRPr="00BF2076" w:rsidRDefault="00C64E91" w:rsidP="007F6EEE">
      <w:pPr>
        <w:spacing w:after="0" w:line="240" w:lineRule="auto"/>
        <w:jc w:val="both"/>
        <w:rPr>
          <w:rFonts w:ascii="Arial" w:hAnsi="Arial" w:cs="Arial"/>
        </w:rPr>
      </w:pPr>
      <w:r w:rsidRPr="00BF2076">
        <w:rPr>
          <w:rFonts w:ascii="Arial" w:hAnsi="Arial" w:cs="Arial"/>
        </w:rPr>
        <w:t>Esta situación abrió dos aristas a nivel de continuidad: una sobre aquellos procesos considerados críticos en el BIA (</w:t>
      </w:r>
      <w:bookmarkStart w:id="3" w:name="_Hlk129264744"/>
      <w:r w:rsidRPr="00BF2076">
        <w:rPr>
          <w:rFonts w:ascii="Arial" w:hAnsi="Arial" w:cs="Arial"/>
        </w:rPr>
        <w:t xml:space="preserve">Análisis de Impacto al Servicio) y a los cuales se les debía dar prioridad para el desarrollo de planes de continuidad </w:t>
      </w:r>
      <w:bookmarkEnd w:id="3"/>
      <w:r w:rsidRPr="00BF2076">
        <w:rPr>
          <w:rFonts w:ascii="Arial" w:hAnsi="Arial" w:cs="Arial"/>
        </w:rPr>
        <w:t>y un segundo eje de “continuidad a nivel operativo” de cada oficina; es decir, alternativas o maneras de continuar ejecutando actividades, tareas o procesos que no resultan críticos para la institución, pero a un nivel operativo son necesarios para la labor diaria y sustantiva de las oficinas que atienden a personas usuarias internas o externas, de manera que se pueda mantener al personal judicial trabajando para brindar un servicio, aunque este sea reducido en su capacidad, debido a las limitantes del escenario de indisponibilidad tecnológica.</w:t>
      </w:r>
    </w:p>
    <w:p w14:paraId="4DC3425A" w14:textId="77777777" w:rsidR="007F6EEE" w:rsidRPr="00BF2076" w:rsidRDefault="007F6EEE" w:rsidP="007F6EEE">
      <w:pPr>
        <w:spacing w:after="0" w:line="240" w:lineRule="auto"/>
        <w:jc w:val="both"/>
        <w:rPr>
          <w:rFonts w:ascii="Arial" w:hAnsi="Arial" w:cs="Arial"/>
        </w:rPr>
      </w:pPr>
    </w:p>
    <w:p w14:paraId="4F32B4B5" w14:textId="5D3ED020" w:rsidR="00C64E91" w:rsidRPr="00BF2076" w:rsidRDefault="00C64E91" w:rsidP="007F6EEE">
      <w:pPr>
        <w:spacing w:after="0" w:line="240" w:lineRule="auto"/>
        <w:jc w:val="both"/>
        <w:rPr>
          <w:rFonts w:ascii="Arial" w:hAnsi="Arial" w:cs="Arial"/>
        </w:rPr>
      </w:pPr>
      <w:r w:rsidRPr="00BF2076">
        <w:rPr>
          <w:rFonts w:ascii="Arial" w:hAnsi="Arial" w:cs="Arial"/>
        </w:rPr>
        <w:t>Es por lo anterior que, del informe 001-DE-SGCS-2022, se presentaron un total de 326 planes de contingencia para diversos procesos, y se determinó que, de los 64 procesos críticos en su momento, 55 de ellos requieren de un plan de contingencia ante el escenario de “apagón tecnológico”, ya que el resto no se vería afectado por inutilización de sistemas, equipos, redes u otro medio tecnológico.</w:t>
      </w:r>
    </w:p>
    <w:p w14:paraId="674B5B1E" w14:textId="77777777" w:rsidR="00C64E91" w:rsidRPr="00BF2076" w:rsidRDefault="00C64E91" w:rsidP="007F6EEE">
      <w:pPr>
        <w:spacing w:after="0" w:line="240" w:lineRule="auto"/>
        <w:ind w:right="851" w:firstLine="708"/>
        <w:jc w:val="both"/>
        <w:rPr>
          <w:rFonts w:ascii="Arial" w:hAnsi="Arial" w:cs="Arial"/>
        </w:rPr>
      </w:pPr>
    </w:p>
    <w:tbl>
      <w:tblPr>
        <w:tblW w:w="4111" w:type="dxa"/>
        <w:jc w:val="center"/>
        <w:tblCellMar>
          <w:left w:w="70" w:type="dxa"/>
          <w:right w:w="70" w:type="dxa"/>
        </w:tblCellMar>
        <w:tblLook w:val="04A0" w:firstRow="1" w:lastRow="0" w:firstColumn="1" w:lastColumn="0" w:noHBand="0" w:noVBand="1"/>
      </w:tblPr>
      <w:tblGrid>
        <w:gridCol w:w="1702"/>
        <w:gridCol w:w="2409"/>
      </w:tblGrid>
      <w:tr w:rsidR="00C64E91" w:rsidRPr="00BF2076" w14:paraId="133678E1" w14:textId="77777777" w:rsidTr="001E5C55">
        <w:trPr>
          <w:trHeight w:val="288"/>
          <w:jc w:val="center"/>
        </w:trPr>
        <w:tc>
          <w:tcPr>
            <w:tcW w:w="1702" w:type="dxa"/>
            <w:tcBorders>
              <w:top w:val="nil"/>
              <w:left w:val="nil"/>
              <w:bottom w:val="single" w:sz="4" w:space="0" w:color="95B3D7"/>
              <w:right w:val="nil"/>
            </w:tcBorders>
            <w:shd w:val="clear" w:color="DCE6F1" w:fill="DCE6F1"/>
            <w:noWrap/>
            <w:vAlign w:val="bottom"/>
            <w:hideMark/>
          </w:tcPr>
          <w:p w14:paraId="50F38628" w14:textId="77777777" w:rsidR="00C64E91" w:rsidRPr="00BF2076" w:rsidRDefault="00C64E91" w:rsidP="007F6EEE">
            <w:pPr>
              <w:spacing w:after="0" w:line="240" w:lineRule="auto"/>
              <w:jc w:val="center"/>
              <w:rPr>
                <w:rFonts w:ascii="Arial" w:hAnsi="Arial" w:cs="Arial"/>
                <w:b/>
                <w:bCs/>
                <w:lang w:eastAsia="es-CR"/>
              </w:rPr>
            </w:pPr>
            <w:r w:rsidRPr="00BF2076">
              <w:rPr>
                <w:rFonts w:ascii="Arial" w:hAnsi="Arial" w:cs="Arial"/>
                <w:b/>
                <w:bCs/>
                <w:lang w:eastAsia="es-CR"/>
              </w:rPr>
              <w:t>Programa</w:t>
            </w:r>
          </w:p>
        </w:tc>
        <w:tc>
          <w:tcPr>
            <w:tcW w:w="2409" w:type="dxa"/>
            <w:tcBorders>
              <w:top w:val="nil"/>
              <w:left w:val="nil"/>
              <w:bottom w:val="single" w:sz="4" w:space="0" w:color="95B3D7"/>
              <w:right w:val="nil"/>
            </w:tcBorders>
            <w:shd w:val="clear" w:color="DCE6F1" w:fill="DCE6F1"/>
            <w:noWrap/>
            <w:vAlign w:val="bottom"/>
            <w:hideMark/>
          </w:tcPr>
          <w:p w14:paraId="296E9AD4" w14:textId="77777777" w:rsidR="00C64E91" w:rsidRPr="00BF2076" w:rsidRDefault="00C64E91" w:rsidP="007F6EEE">
            <w:pPr>
              <w:spacing w:after="0" w:line="240" w:lineRule="auto"/>
              <w:jc w:val="center"/>
              <w:rPr>
                <w:rFonts w:ascii="Arial" w:hAnsi="Arial" w:cs="Arial"/>
                <w:b/>
                <w:bCs/>
                <w:lang w:eastAsia="es-CR"/>
              </w:rPr>
            </w:pPr>
            <w:r w:rsidRPr="00BF2076">
              <w:rPr>
                <w:rFonts w:ascii="Arial" w:hAnsi="Arial" w:cs="Arial"/>
                <w:b/>
                <w:bCs/>
                <w:lang w:eastAsia="es-CR"/>
              </w:rPr>
              <w:t>Cantidad de planes</w:t>
            </w:r>
          </w:p>
        </w:tc>
      </w:tr>
      <w:tr w:rsidR="00C64E91" w:rsidRPr="00BF2076" w14:paraId="6085E6FE" w14:textId="77777777" w:rsidTr="001E5C55">
        <w:trPr>
          <w:trHeight w:val="288"/>
          <w:jc w:val="center"/>
        </w:trPr>
        <w:tc>
          <w:tcPr>
            <w:tcW w:w="1702" w:type="dxa"/>
            <w:tcBorders>
              <w:top w:val="nil"/>
              <w:left w:val="nil"/>
              <w:bottom w:val="nil"/>
              <w:right w:val="nil"/>
            </w:tcBorders>
            <w:shd w:val="clear" w:color="auto" w:fill="auto"/>
            <w:noWrap/>
            <w:vAlign w:val="bottom"/>
            <w:hideMark/>
          </w:tcPr>
          <w:p w14:paraId="2BC81C9E"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926</w:t>
            </w:r>
          </w:p>
        </w:tc>
        <w:tc>
          <w:tcPr>
            <w:tcW w:w="2409" w:type="dxa"/>
            <w:tcBorders>
              <w:top w:val="nil"/>
              <w:left w:val="nil"/>
              <w:bottom w:val="nil"/>
              <w:right w:val="nil"/>
            </w:tcBorders>
            <w:shd w:val="clear" w:color="auto" w:fill="auto"/>
            <w:noWrap/>
            <w:vAlign w:val="bottom"/>
            <w:hideMark/>
          </w:tcPr>
          <w:p w14:paraId="36FE9AD0"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128</w:t>
            </w:r>
          </w:p>
        </w:tc>
      </w:tr>
      <w:tr w:rsidR="00C64E91" w:rsidRPr="00BF2076" w14:paraId="4DAFEC35" w14:textId="77777777" w:rsidTr="001E5C55">
        <w:trPr>
          <w:trHeight w:val="288"/>
          <w:jc w:val="center"/>
        </w:trPr>
        <w:tc>
          <w:tcPr>
            <w:tcW w:w="1702" w:type="dxa"/>
            <w:tcBorders>
              <w:top w:val="nil"/>
              <w:left w:val="nil"/>
              <w:bottom w:val="nil"/>
              <w:right w:val="nil"/>
            </w:tcBorders>
            <w:shd w:val="clear" w:color="auto" w:fill="auto"/>
            <w:noWrap/>
            <w:vAlign w:val="bottom"/>
            <w:hideMark/>
          </w:tcPr>
          <w:p w14:paraId="0BFB786A"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927</w:t>
            </w:r>
          </w:p>
        </w:tc>
        <w:tc>
          <w:tcPr>
            <w:tcW w:w="2409" w:type="dxa"/>
            <w:tcBorders>
              <w:top w:val="nil"/>
              <w:left w:val="nil"/>
              <w:bottom w:val="nil"/>
              <w:right w:val="nil"/>
            </w:tcBorders>
            <w:shd w:val="clear" w:color="auto" w:fill="auto"/>
            <w:noWrap/>
            <w:vAlign w:val="bottom"/>
            <w:hideMark/>
          </w:tcPr>
          <w:p w14:paraId="494741B0"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65</w:t>
            </w:r>
          </w:p>
        </w:tc>
      </w:tr>
      <w:tr w:rsidR="00C64E91" w:rsidRPr="00BF2076" w14:paraId="43AE7F8E" w14:textId="77777777" w:rsidTr="001E5C55">
        <w:trPr>
          <w:trHeight w:val="288"/>
          <w:jc w:val="center"/>
        </w:trPr>
        <w:tc>
          <w:tcPr>
            <w:tcW w:w="1702" w:type="dxa"/>
            <w:tcBorders>
              <w:top w:val="nil"/>
              <w:left w:val="nil"/>
              <w:bottom w:val="nil"/>
              <w:right w:val="nil"/>
            </w:tcBorders>
            <w:shd w:val="clear" w:color="auto" w:fill="auto"/>
            <w:noWrap/>
            <w:vAlign w:val="bottom"/>
            <w:hideMark/>
          </w:tcPr>
          <w:p w14:paraId="71057CFA"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928</w:t>
            </w:r>
          </w:p>
        </w:tc>
        <w:tc>
          <w:tcPr>
            <w:tcW w:w="2409" w:type="dxa"/>
            <w:tcBorders>
              <w:top w:val="nil"/>
              <w:left w:val="nil"/>
              <w:bottom w:val="nil"/>
              <w:right w:val="nil"/>
            </w:tcBorders>
            <w:shd w:val="clear" w:color="auto" w:fill="auto"/>
            <w:noWrap/>
            <w:vAlign w:val="bottom"/>
            <w:hideMark/>
          </w:tcPr>
          <w:p w14:paraId="7A9866D9"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113</w:t>
            </w:r>
          </w:p>
        </w:tc>
      </w:tr>
      <w:tr w:rsidR="00C64E91" w:rsidRPr="00BF2076" w14:paraId="3CA517F3" w14:textId="77777777" w:rsidTr="001E5C55">
        <w:trPr>
          <w:trHeight w:val="288"/>
          <w:jc w:val="center"/>
        </w:trPr>
        <w:tc>
          <w:tcPr>
            <w:tcW w:w="1702" w:type="dxa"/>
            <w:tcBorders>
              <w:top w:val="nil"/>
              <w:left w:val="nil"/>
              <w:bottom w:val="nil"/>
              <w:right w:val="nil"/>
            </w:tcBorders>
            <w:shd w:val="clear" w:color="auto" w:fill="auto"/>
            <w:noWrap/>
            <w:vAlign w:val="bottom"/>
            <w:hideMark/>
          </w:tcPr>
          <w:p w14:paraId="186033A5"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929</w:t>
            </w:r>
          </w:p>
        </w:tc>
        <w:tc>
          <w:tcPr>
            <w:tcW w:w="2409" w:type="dxa"/>
            <w:tcBorders>
              <w:top w:val="nil"/>
              <w:left w:val="nil"/>
              <w:bottom w:val="nil"/>
              <w:right w:val="nil"/>
            </w:tcBorders>
            <w:shd w:val="clear" w:color="auto" w:fill="auto"/>
            <w:noWrap/>
            <w:vAlign w:val="bottom"/>
            <w:hideMark/>
          </w:tcPr>
          <w:p w14:paraId="3DA9F83D"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8</w:t>
            </w:r>
          </w:p>
        </w:tc>
      </w:tr>
      <w:tr w:rsidR="00C64E91" w:rsidRPr="00BF2076" w14:paraId="7656CEDE" w14:textId="77777777" w:rsidTr="001E5C55">
        <w:trPr>
          <w:trHeight w:val="288"/>
          <w:jc w:val="center"/>
        </w:trPr>
        <w:tc>
          <w:tcPr>
            <w:tcW w:w="1702" w:type="dxa"/>
            <w:tcBorders>
              <w:top w:val="nil"/>
              <w:left w:val="nil"/>
              <w:bottom w:val="nil"/>
              <w:right w:val="nil"/>
            </w:tcBorders>
            <w:shd w:val="clear" w:color="auto" w:fill="auto"/>
            <w:noWrap/>
            <w:vAlign w:val="bottom"/>
            <w:hideMark/>
          </w:tcPr>
          <w:p w14:paraId="24948C50"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930</w:t>
            </w:r>
          </w:p>
        </w:tc>
        <w:tc>
          <w:tcPr>
            <w:tcW w:w="2409" w:type="dxa"/>
            <w:tcBorders>
              <w:top w:val="nil"/>
              <w:left w:val="nil"/>
              <w:bottom w:val="nil"/>
              <w:right w:val="nil"/>
            </w:tcBorders>
            <w:shd w:val="clear" w:color="auto" w:fill="auto"/>
            <w:noWrap/>
            <w:vAlign w:val="bottom"/>
            <w:hideMark/>
          </w:tcPr>
          <w:p w14:paraId="71D79407"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0</w:t>
            </w:r>
          </w:p>
        </w:tc>
      </w:tr>
      <w:tr w:rsidR="00C64E91" w:rsidRPr="00BF2076" w14:paraId="047D65FE" w14:textId="77777777" w:rsidTr="001E5C55">
        <w:trPr>
          <w:trHeight w:val="288"/>
          <w:jc w:val="center"/>
        </w:trPr>
        <w:tc>
          <w:tcPr>
            <w:tcW w:w="1702" w:type="dxa"/>
            <w:tcBorders>
              <w:top w:val="nil"/>
              <w:left w:val="nil"/>
              <w:bottom w:val="nil"/>
              <w:right w:val="nil"/>
            </w:tcBorders>
            <w:shd w:val="clear" w:color="auto" w:fill="auto"/>
            <w:noWrap/>
            <w:vAlign w:val="bottom"/>
            <w:hideMark/>
          </w:tcPr>
          <w:p w14:paraId="7B4B2470"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950</w:t>
            </w:r>
          </w:p>
        </w:tc>
        <w:tc>
          <w:tcPr>
            <w:tcW w:w="2409" w:type="dxa"/>
            <w:tcBorders>
              <w:top w:val="nil"/>
              <w:left w:val="nil"/>
              <w:bottom w:val="nil"/>
              <w:right w:val="nil"/>
            </w:tcBorders>
            <w:shd w:val="clear" w:color="auto" w:fill="auto"/>
            <w:noWrap/>
            <w:vAlign w:val="bottom"/>
            <w:hideMark/>
          </w:tcPr>
          <w:p w14:paraId="0CC1DE64"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11</w:t>
            </w:r>
          </w:p>
        </w:tc>
      </w:tr>
      <w:tr w:rsidR="00C64E91" w:rsidRPr="00BF2076" w14:paraId="00D6846D" w14:textId="77777777" w:rsidTr="001E5C55">
        <w:trPr>
          <w:trHeight w:val="288"/>
          <w:jc w:val="center"/>
        </w:trPr>
        <w:tc>
          <w:tcPr>
            <w:tcW w:w="1702" w:type="dxa"/>
            <w:tcBorders>
              <w:top w:val="nil"/>
              <w:left w:val="nil"/>
              <w:bottom w:val="nil"/>
              <w:right w:val="nil"/>
            </w:tcBorders>
            <w:shd w:val="clear" w:color="auto" w:fill="auto"/>
            <w:noWrap/>
            <w:vAlign w:val="bottom"/>
            <w:hideMark/>
          </w:tcPr>
          <w:p w14:paraId="59BE7592"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951</w:t>
            </w:r>
          </w:p>
        </w:tc>
        <w:tc>
          <w:tcPr>
            <w:tcW w:w="2409" w:type="dxa"/>
            <w:tcBorders>
              <w:top w:val="nil"/>
              <w:left w:val="nil"/>
              <w:bottom w:val="nil"/>
              <w:right w:val="nil"/>
            </w:tcBorders>
            <w:shd w:val="clear" w:color="auto" w:fill="auto"/>
            <w:noWrap/>
            <w:vAlign w:val="bottom"/>
            <w:hideMark/>
          </w:tcPr>
          <w:p w14:paraId="7AB159FF" w14:textId="77777777" w:rsidR="00C64E91" w:rsidRPr="00BF2076" w:rsidRDefault="00C64E91" w:rsidP="007F6EEE">
            <w:pPr>
              <w:spacing w:after="0" w:line="240" w:lineRule="auto"/>
              <w:jc w:val="center"/>
              <w:rPr>
                <w:rFonts w:ascii="Arial" w:hAnsi="Arial" w:cs="Arial"/>
                <w:lang w:eastAsia="es-CR"/>
              </w:rPr>
            </w:pPr>
            <w:r w:rsidRPr="00BF2076">
              <w:rPr>
                <w:rFonts w:ascii="Arial" w:hAnsi="Arial" w:cs="Arial"/>
                <w:lang w:eastAsia="es-CR"/>
              </w:rPr>
              <w:t>1</w:t>
            </w:r>
          </w:p>
        </w:tc>
      </w:tr>
      <w:tr w:rsidR="00C64E91" w:rsidRPr="00BF2076" w14:paraId="074FF631" w14:textId="77777777" w:rsidTr="001E5C55">
        <w:trPr>
          <w:trHeight w:val="288"/>
          <w:jc w:val="center"/>
        </w:trPr>
        <w:tc>
          <w:tcPr>
            <w:tcW w:w="1702" w:type="dxa"/>
            <w:tcBorders>
              <w:top w:val="single" w:sz="4" w:space="0" w:color="95B3D7"/>
              <w:left w:val="nil"/>
              <w:bottom w:val="nil"/>
              <w:right w:val="nil"/>
            </w:tcBorders>
            <w:shd w:val="clear" w:color="DCE6F1" w:fill="DCE6F1"/>
            <w:noWrap/>
            <w:vAlign w:val="bottom"/>
            <w:hideMark/>
          </w:tcPr>
          <w:p w14:paraId="40A2F595" w14:textId="77777777" w:rsidR="00C64E91" w:rsidRPr="00BF2076" w:rsidRDefault="00C64E91" w:rsidP="007F6EEE">
            <w:pPr>
              <w:spacing w:after="0" w:line="240" w:lineRule="auto"/>
              <w:jc w:val="center"/>
              <w:rPr>
                <w:rFonts w:ascii="Arial" w:hAnsi="Arial" w:cs="Arial"/>
                <w:b/>
                <w:bCs/>
                <w:lang w:eastAsia="es-CR"/>
              </w:rPr>
            </w:pPr>
            <w:proofErr w:type="gramStart"/>
            <w:r w:rsidRPr="00BF2076">
              <w:rPr>
                <w:rFonts w:ascii="Arial" w:hAnsi="Arial" w:cs="Arial"/>
                <w:b/>
                <w:bCs/>
                <w:lang w:eastAsia="es-CR"/>
              </w:rPr>
              <w:t>Total</w:t>
            </w:r>
            <w:proofErr w:type="gramEnd"/>
            <w:r w:rsidRPr="00BF2076">
              <w:rPr>
                <w:rFonts w:ascii="Arial" w:hAnsi="Arial" w:cs="Arial"/>
                <w:b/>
                <w:bCs/>
                <w:lang w:eastAsia="es-CR"/>
              </w:rPr>
              <w:t xml:space="preserve"> general</w:t>
            </w:r>
          </w:p>
        </w:tc>
        <w:tc>
          <w:tcPr>
            <w:tcW w:w="2409" w:type="dxa"/>
            <w:tcBorders>
              <w:top w:val="single" w:sz="4" w:space="0" w:color="95B3D7"/>
              <w:left w:val="nil"/>
              <w:bottom w:val="nil"/>
              <w:right w:val="nil"/>
            </w:tcBorders>
            <w:shd w:val="clear" w:color="DCE6F1" w:fill="DCE6F1"/>
            <w:noWrap/>
            <w:vAlign w:val="bottom"/>
            <w:hideMark/>
          </w:tcPr>
          <w:p w14:paraId="46B42082" w14:textId="77777777" w:rsidR="00C64E91" w:rsidRPr="00BF2076" w:rsidRDefault="00C64E91" w:rsidP="007F6EEE">
            <w:pPr>
              <w:spacing w:after="0" w:line="240" w:lineRule="auto"/>
              <w:jc w:val="center"/>
              <w:rPr>
                <w:rFonts w:ascii="Arial" w:hAnsi="Arial" w:cs="Arial"/>
                <w:b/>
                <w:bCs/>
                <w:lang w:eastAsia="es-CR"/>
              </w:rPr>
            </w:pPr>
            <w:r w:rsidRPr="00BF2076">
              <w:rPr>
                <w:rFonts w:ascii="Arial" w:hAnsi="Arial" w:cs="Arial"/>
                <w:b/>
                <w:bCs/>
                <w:lang w:eastAsia="es-CR"/>
              </w:rPr>
              <w:t>326</w:t>
            </w:r>
          </w:p>
        </w:tc>
      </w:tr>
    </w:tbl>
    <w:p w14:paraId="50AA8780" w14:textId="77777777" w:rsidR="007F6EEE" w:rsidRPr="00BF2076" w:rsidRDefault="007F6EEE" w:rsidP="007F6EEE">
      <w:pPr>
        <w:shd w:val="clear" w:color="auto" w:fill="FFFFFF"/>
        <w:autoSpaceDE w:val="0"/>
        <w:spacing w:after="0" w:line="240" w:lineRule="auto"/>
        <w:jc w:val="both"/>
        <w:rPr>
          <w:rFonts w:ascii="Arial" w:hAnsi="Arial" w:cs="Arial"/>
        </w:rPr>
      </w:pPr>
    </w:p>
    <w:p w14:paraId="3E58B895" w14:textId="56D551A8" w:rsidR="00C64E91" w:rsidRPr="00BF2076" w:rsidRDefault="00C64E91" w:rsidP="007F6EEE">
      <w:pPr>
        <w:shd w:val="clear" w:color="auto" w:fill="FFFFFF"/>
        <w:autoSpaceDE w:val="0"/>
        <w:spacing w:after="0" w:line="240" w:lineRule="auto"/>
        <w:jc w:val="both"/>
        <w:rPr>
          <w:rFonts w:ascii="Arial" w:hAnsi="Arial" w:cs="Arial"/>
        </w:rPr>
      </w:pPr>
      <w:r w:rsidRPr="00BF2076">
        <w:rPr>
          <w:rFonts w:ascii="Arial" w:hAnsi="Arial" w:cs="Arial"/>
        </w:rPr>
        <w:t>Posteriormente, mediante el oficio 736-ADP-2022 del 16 de setiembre de 2022, la Administración de la Defensa Pública remitió al Consejo Superior la lista de los planes realizados para 25 procesos a cargo del Programa 930, en relación con el escenario de Apagón Tecnológico. De manera similar, mediante el oficio 137-UMGEF-2022 del 28 de octubre de 2022, la Fiscalía General remitió al Consejo Superior 18 plantillas con la descripción de los procedimientos que permitirán dar continuidad al servicio de las oficinas del Ministerio Público, en caso de carecer de la plataforma tecnológica.</w:t>
      </w:r>
    </w:p>
    <w:p w14:paraId="2DA68952" w14:textId="77777777" w:rsidR="007F6EEE" w:rsidRPr="00BF2076" w:rsidRDefault="007F6EEE" w:rsidP="007F6EEE">
      <w:pPr>
        <w:spacing w:after="0" w:line="240" w:lineRule="auto"/>
        <w:jc w:val="both"/>
        <w:rPr>
          <w:rFonts w:ascii="Arial" w:hAnsi="Arial" w:cs="Arial"/>
        </w:rPr>
      </w:pPr>
    </w:p>
    <w:p w14:paraId="6A41D71C" w14:textId="391D21CD" w:rsidR="00C64E91" w:rsidRPr="00BF2076" w:rsidRDefault="00C64E91" w:rsidP="007F6EEE">
      <w:pPr>
        <w:spacing w:after="0" w:line="240" w:lineRule="auto"/>
        <w:jc w:val="both"/>
        <w:rPr>
          <w:rFonts w:ascii="Arial" w:hAnsi="Arial" w:cs="Arial"/>
        </w:rPr>
      </w:pPr>
      <w:r w:rsidRPr="00BF2076">
        <w:rPr>
          <w:rFonts w:ascii="Arial" w:hAnsi="Arial" w:cs="Arial"/>
        </w:rPr>
        <w:t xml:space="preserve">Considerando que, si bien los 369 planes totales aportados por las oficinas que acataron el acuerdo del Consejo Superior sesión N° 48-2022, celebrada el 07 de junio del 2022, artículo LXXIV, resultan de la necesidad de contar con medidas paliativas y contingentes para atender un eventual evento disruptivo generado por indisponibilidad tecnológica en cada oficina, </w:t>
      </w:r>
      <w:r w:rsidRPr="00BF2076">
        <w:rPr>
          <w:rFonts w:ascii="Arial" w:hAnsi="Arial" w:cs="Arial"/>
          <w:u w:val="single"/>
        </w:rPr>
        <w:t>en su mayoría atienden a la continuidad operativa y no todos son necesarios ejecutarlos ante una crisis que afecte al Poder Judicial, aplicando los parámetros del BIA institucional y la norma ISO</w:t>
      </w:r>
      <w:r w:rsidRPr="00BF2076">
        <w:rPr>
          <w:rFonts w:ascii="Arial" w:hAnsi="Arial" w:cs="Arial"/>
        </w:rPr>
        <w:t xml:space="preserve">. </w:t>
      </w:r>
    </w:p>
    <w:p w14:paraId="2C180B6F" w14:textId="77777777" w:rsidR="007F6EEE" w:rsidRPr="00BF2076" w:rsidRDefault="007F6EEE" w:rsidP="007F6EEE">
      <w:pPr>
        <w:spacing w:after="0" w:line="240" w:lineRule="auto"/>
        <w:jc w:val="both"/>
        <w:rPr>
          <w:rFonts w:ascii="Arial" w:hAnsi="Arial" w:cs="Arial"/>
          <w:color w:val="FF0000"/>
        </w:rPr>
      </w:pPr>
    </w:p>
    <w:p w14:paraId="6DD1C8F6" w14:textId="317B77F1" w:rsidR="00C64E91" w:rsidRPr="00BF2076" w:rsidRDefault="00C64E91" w:rsidP="007F6EEE">
      <w:pPr>
        <w:spacing w:after="0" w:line="240" w:lineRule="auto"/>
        <w:jc w:val="both"/>
        <w:rPr>
          <w:rFonts w:ascii="Arial" w:hAnsi="Arial" w:cs="Arial"/>
        </w:rPr>
      </w:pPr>
      <w:r w:rsidRPr="00BF2076">
        <w:rPr>
          <w:rFonts w:ascii="Arial" w:hAnsi="Arial" w:cs="Arial"/>
        </w:rPr>
        <w:t xml:space="preserve">No obstante, existen algunos procesos </w:t>
      </w:r>
      <w:proofErr w:type="gramStart"/>
      <w:r w:rsidRPr="00BF2076">
        <w:rPr>
          <w:rFonts w:ascii="Arial" w:hAnsi="Arial" w:cs="Arial"/>
        </w:rPr>
        <w:t>que</w:t>
      </w:r>
      <w:proofErr w:type="gramEnd"/>
      <w:r w:rsidRPr="00BF2076">
        <w:rPr>
          <w:rFonts w:ascii="Arial" w:hAnsi="Arial" w:cs="Arial"/>
        </w:rPr>
        <w:t xml:space="preserve"> por su repercusión, criticidad, riesgo y que cuentan con una dependencia de asignación de recursos superior, generan una mayor afectación al servicio que brinda la institución. Estos son catalogados como procesos con una criticidad alta, que afectan a un mayor número de personas, limitando inclusive derechos fundamentales, y que, por su naturaleza, deterioran en un corto período el servicio público brindado al depender de sistemas o infraestructura informática para su funcionamiento, y en consecuencia se convierten en los procesos críticos del nuevo escenario de apagón tecnológico, a saber:</w:t>
      </w:r>
    </w:p>
    <w:p w14:paraId="68B5317D" w14:textId="77777777" w:rsidR="007F6EEE" w:rsidRPr="00BF2076" w:rsidRDefault="007F6EEE" w:rsidP="007F6EEE">
      <w:pPr>
        <w:spacing w:after="0" w:line="240" w:lineRule="auto"/>
        <w:jc w:val="both"/>
        <w:rPr>
          <w:rFonts w:ascii="Arial" w:hAnsi="Arial" w:cs="Arial"/>
        </w:rPr>
      </w:pPr>
    </w:p>
    <w:tbl>
      <w:tblPr>
        <w:tblW w:w="5000" w:type="pct"/>
        <w:tblLayout w:type="fixed"/>
        <w:tblCellMar>
          <w:left w:w="70" w:type="dxa"/>
          <w:right w:w="70" w:type="dxa"/>
        </w:tblCellMar>
        <w:tblLook w:val="04A0" w:firstRow="1" w:lastRow="0" w:firstColumn="1" w:lastColumn="0" w:noHBand="0" w:noVBand="1"/>
      </w:tblPr>
      <w:tblGrid>
        <w:gridCol w:w="2256"/>
        <w:gridCol w:w="3864"/>
        <w:gridCol w:w="2698"/>
      </w:tblGrid>
      <w:tr w:rsidR="00C64E91" w:rsidRPr="00BF2076" w14:paraId="3CD3B903" w14:textId="77777777" w:rsidTr="001E5C55">
        <w:trPr>
          <w:trHeight w:val="300"/>
          <w:tblHeader/>
        </w:trPr>
        <w:tc>
          <w:tcPr>
            <w:tcW w:w="1279" w:type="pct"/>
            <w:tcBorders>
              <w:top w:val="single" w:sz="8" w:space="0" w:color="auto"/>
              <w:left w:val="single" w:sz="8" w:space="0" w:color="auto"/>
              <w:bottom w:val="single" w:sz="8" w:space="0" w:color="auto"/>
              <w:right w:val="single" w:sz="4" w:space="0" w:color="auto"/>
            </w:tcBorders>
            <w:shd w:val="clear" w:color="000000" w:fill="244062"/>
            <w:vAlign w:val="center"/>
            <w:hideMark/>
          </w:tcPr>
          <w:p w14:paraId="24177C95" w14:textId="77777777" w:rsidR="00C64E91" w:rsidRPr="00BF2076" w:rsidRDefault="00C64E91" w:rsidP="007F6EEE">
            <w:pPr>
              <w:spacing w:after="0" w:line="240" w:lineRule="auto"/>
              <w:jc w:val="center"/>
              <w:rPr>
                <w:rFonts w:ascii="Arial" w:eastAsia="Times New Roman" w:hAnsi="Arial" w:cs="Arial"/>
                <w:b/>
                <w:bCs/>
                <w:color w:val="FFFFFF"/>
                <w:lang w:eastAsia="es-CR"/>
              </w:rPr>
            </w:pPr>
            <w:r w:rsidRPr="00BF2076">
              <w:rPr>
                <w:rFonts w:ascii="Arial" w:eastAsia="Times New Roman" w:hAnsi="Arial" w:cs="Arial"/>
                <w:b/>
                <w:bCs/>
                <w:lang w:val="es-ES" w:eastAsia="es-CR"/>
              </w:rPr>
              <w:t>Nombre</w:t>
            </w:r>
          </w:p>
        </w:tc>
        <w:tc>
          <w:tcPr>
            <w:tcW w:w="2191" w:type="pct"/>
            <w:tcBorders>
              <w:top w:val="single" w:sz="8" w:space="0" w:color="auto"/>
              <w:left w:val="nil"/>
              <w:bottom w:val="single" w:sz="8" w:space="0" w:color="auto"/>
              <w:right w:val="single" w:sz="4" w:space="0" w:color="auto"/>
            </w:tcBorders>
            <w:shd w:val="clear" w:color="000000" w:fill="244062"/>
            <w:vAlign w:val="center"/>
            <w:hideMark/>
          </w:tcPr>
          <w:p w14:paraId="3413134E" w14:textId="77777777" w:rsidR="00C64E91" w:rsidRPr="00BF2076" w:rsidRDefault="00C64E91" w:rsidP="007F6EEE">
            <w:pPr>
              <w:spacing w:after="0" w:line="240" w:lineRule="auto"/>
              <w:jc w:val="center"/>
              <w:rPr>
                <w:rFonts w:ascii="Arial" w:eastAsia="Times New Roman" w:hAnsi="Arial" w:cs="Arial"/>
                <w:b/>
                <w:bCs/>
                <w:color w:val="FFFFFF"/>
                <w:lang w:eastAsia="es-CR"/>
              </w:rPr>
            </w:pPr>
            <w:r w:rsidRPr="00BF2076">
              <w:rPr>
                <w:rFonts w:ascii="Arial" w:eastAsia="Times New Roman" w:hAnsi="Arial" w:cs="Arial"/>
                <w:b/>
                <w:bCs/>
                <w:lang w:val="es-ES" w:eastAsia="es-CR"/>
              </w:rPr>
              <w:t>Motivo</w:t>
            </w:r>
          </w:p>
        </w:tc>
        <w:tc>
          <w:tcPr>
            <w:tcW w:w="1530" w:type="pct"/>
            <w:tcBorders>
              <w:top w:val="single" w:sz="8" w:space="0" w:color="auto"/>
              <w:left w:val="nil"/>
              <w:bottom w:val="single" w:sz="8" w:space="0" w:color="auto"/>
              <w:right w:val="single" w:sz="8" w:space="0" w:color="auto"/>
            </w:tcBorders>
            <w:shd w:val="clear" w:color="000000" w:fill="244062"/>
            <w:vAlign w:val="center"/>
            <w:hideMark/>
          </w:tcPr>
          <w:p w14:paraId="5AD8737F" w14:textId="77777777" w:rsidR="00C64E91" w:rsidRPr="00BF2076" w:rsidRDefault="00C64E91" w:rsidP="007F6EEE">
            <w:pPr>
              <w:spacing w:after="0" w:line="240" w:lineRule="auto"/>
              <w:jc w:val="center"/>
              <w:rPr>
                <w:rFonts w:ascii="Arial" w:eastAsia="Times New Roman" w:hAnsi="Arial" w:cs="Arial"/>
                <w:b/>
                <w:bCs/>
                <w:color w:val="FFFFFF"/>
                <w:lang w:eastAsia="es-CR"/>
              </w:rPr>
            </w:pPr>
            <w:r w:rsidRPr="00BF2076">
              <w:rPr>
                <w:rFonts w:ascii="Arial" w:eastAsia="Times New Roman" w:hAnsi="Arial" w:cs="Arial"/>
                <w:b/>
                <w:bCs/>
                <w:color w:val="FFFFFF"/>
                <w:lang w:eastAsia="es-CR"/>
              </w:rPr>
              <w:t>Proceso Crítico en el BIA</w:t>
            </w:r>
          </w:p>
        </w:tc>
      </w:tr>
      <w:tr w:rsidR="00C64E91" w:rsidRPr="00BF2076" w14:paraId="08D1E1EB" w14:textId="77777777" w:rsidTr="001E5C55">
        <w:trPr>
          <w:trHeight w:val="300"/>
        </w:trPr>
        <w:tc>
          <w:tcPr>
            <w:tcW w:w="1279" w:type="pct"/>
            <w:tcBorders>
              <w:top w:val="nil"/>
              <w:left w:val="single" w:sz="4" w:space="0" w:color="auto"/>
              <w:bottom w:val="single" w:sz="4" w:space="0" w:color="auto"/>
              <w:right w:val="single" w:sz="4" w:space="0" w:color="auto"/>
            </w:tcBorders>
            <w:shd w:val="clear" w:color="auto" w:fill="auto"/>
            <w:vAlign w:val="center"/>
            <w:hideMark/>
          </w:tcPr>
          <w:p w14:paraId="216D74D2"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Sala Constitucional</w:t>
            </w:r>
          </w:p>
        </w:tc>
        <w:tc>
          <w:tcPr>
            <w:tcW w:w="2191" w:type="pct"/>
            <w:tcBorders>
              <w:top w:val="nil"/>
              <w:left w:val="nil"/>
              <w:bottom w:val="single" w:sz="4" w:space="0" w:color="auto"/>
              <w:right w:val="single" w:sz="4" w:space="0" w:color="auto"/>
            </w:tcBorders>
            <w:shd w:val="clear" w:color="auto" w:fill="auto"/>
            <w:vAlign w:val="center"/>
            <w:hideMark/>
          </w:tcPr>
          <w:p w14:paraId="7F274FC3"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Recursos de Amparo y Habeas Corpus.</w:t>
            </w:r>
          </w:p>
        </w:tc>
        <w:tc>
          <w:tcPr>
            <w:tcW w:w="1530" w:type="pct"/>
            <w:tcBorders>
              <w:top w:val="nil"/>
              <w:left w:val="nil"/>
              <w:bottom w:val="single" w:sz="4" w:space="0" w:color="auto"/>
              <w:right w:val="single" w:sz="4" w:space="0" w:color="auto"/>
            </w:tcBorders>
            <w:shd w:val="clear" w:color="auto" w:fill="auto"/>
            <w:noWrap/>
            <w:vAlign w:val="bottom"/>
            <w:hideMark/>
          </w:tcPr>
          <w:p w14:paraId="222BE3E1"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Proceso crítico – SIV 001</w:t>
            </w:r>
          </w:p>
        </w:tc>
      </w:tr>
      <w:tr w:rsidR="00C64E91" w:rsidRPr="00BF2076" w14:paraId="3591A0FF" w14:textId="77777777" w:rsidTr="001E5C55">
        <w:trPr>
          <w:trHeight w:val="600"/>
        </w:trPr>
        <w:tc>
          <w:tcPr>
            <w:tcW w:w="1279" w:type="pct"/>
            <w:tcBorders>
              <w:top w:val="nil"/>
              <w:left w:val="single" w:sz="4" w:space="0" w:color="auto"/>
              <w:bottom w:val="single" w:sz="4" w:space="0" w:color="auto"/>
              <w:right w:val="single" w:sz="4" w:space="0" w:color="auto"/>
            </w:tcBorders>
            <w:shd w:val="clear" w:color="auto" w:fill="auto"/>
            <w:vAlign w:val="center"/>
            <w:hideMark/>
          </w:tcPr>
          <w:p w14:paraId="76D4AA2B"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Registro Judicial</w:t>
            </w:r>
          </w:p>
        </w:tc>
        <w:tc>
          <w:tcPr>
            <w:tcW w:w="2191" w:type="pct"/>
            <w:tcBorders>
              <w:top w:val="nil"/>
              <w:left w:val="nil"/>
              <w:bottom w:val="single" w:sz="4" w:space="0" w:color="auto"/>
              <w:right w:val="single" w:sz="4" w:space="0" w:color="auto"/>
            </w:tcBorders>
            <w:shd w:val="clear" w:color="auto" w:fill="auto"/>
            <w:vAlign w:val="center"/>
            <w:hideMark/>
          </w:tcPr>
          <w:p w14:paraId="57911D7E"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SOAP y SACEJ. Información para Migración y extranjería, así como para procesos penales.</w:t>
            </w:r>
          </w:p>
        </w:tc>
        <w:tc>
          <w:tcPr>
            <w:tcW w:w="1530" w:type="pct"/>
            <w:tcBorders>
              <w:top w:val="nil"/>
              <w:left w:val="nil"/>
              <w:bottom w:val="single" w:sz="4" w:space="0" w:color="auto"/>
              <w:right w:val="single" w:sz="4" w:space="0" w:color="auto"/>
            </w:tcBorders>
            <w:shd w:val="clear" w:color="auto" w:fill="auto"/>
            <w:noWrap/>
            <w:vAlign w:val="bottom"/>
            <w:hideMark/>
          </w:tcPr>
          <w:p w14:paraId="75255DE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Proceso crítico – RJ 001</w:t>
            </w:r>
          </w:p>
        </w:tc>
      </w:tr>
      <w:tr w:rsidR="00C64E91" w:rsidRPr="00BF2076" w14:paraId="45FA1CBB" w14:textId="77777777" w:rsidTr="001E5C55">
        <w:trPr>
          <w:trHeight w:val="600"/>
        </w:trPr>
        <w:tc>
          <w:tcPr>
            <w:tcW w:w="1279" w:type="pct"/>
            <w:tcBorders>
              <w:top w:val="nil"/>
              <w:left w:val="single" w:sz="4" w:space="0" w:color="auto"/>
              <w:bottom w:val="single" w:sz="4" w:space="0" w:color="auto"/>
              <w:right w:val="single" w:sz="4" w:space="0" w:color="auto"/>
            </w:tcBorders>
            <w:shd w:val="clear" w:color="auto" w:fill="auto"/>
            <w:vAlign w:val="center"/>
            <w:hideMark/>
          </w:tcPr>
          <w:p w14:paraId="2EDA2430"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lastRenderedPageBreak/>
              <w:t>Despachos de Pensiones Alimentarias</w:t>
            </w:r>
          </w:p>
        </w:tc>
        <w:tc>
          <w:tcPr>
            <w:tcW w:w="2191" w:type="pct"/>
            <w:tcBorders>
              <w:top w:val="nil"/>
              <w:left w:val="nil"/>
              <w:bottom w:val="single" w:sz="4" w:space="0" w:color="auto"/>
              <w:right w:val="single" w:sz="4" w:space="0" w:color="auto"/>
            </w:tcBorders>
            <w:shd w:val="clear" w:color="auto" w:fill="auto"/>
            <w:vAlign w:val="center"/>
            <w:hideMark/>
          </w:tcPr>
          <w:p w14:paraId="01AB1F35"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Giro de dineros de pensiones.</w:t>
            </w:r>
          </w:p>
        </w:tc>
        <w:tc>
          <w:tcPr>
            <w:tcW w:w="1530" w:type="pct"/>
            <w:tcBorders>
              <w:top w:val="nil"/>
              <w:left w:val="nil"/>
              <w:bottom w:val="single" w:sz="4" w:space="0" w:color="auto"/>
              <w:right w:val="single" w:sz="4" w:space="0" w:color="auto"/>
            </w:tcBorders>
            <w:shd w:val="clear" w:color="auto" w:fill="auto"/>
            <w:noWrap/>
            <w:vAlign w:val="bottom"/>
            <w:hideMark/>
          </w:tcPr>
          <w:p w14:paraId="1CD8D899"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Proceso crítico – JPA 001</w:t>
            </w:r>
          </w:p>
        </w:tc>
      </w:tr>
      <w:tr w:rsidR="00C64E91" w:rsidRPr="00BF2076" w14:paraId="2C453447" w14:textId="77777777" w:rsidTr="001E5C55">
        <w:trPr>
          <w:trHeight w:val="600"/>
        </w:trPr>
        <w:tc>
          <w:tcPr>
            <w:tcW w:w="1279" w:type="pct"/>
            <w:tcBorders>
              <w:top w:val="nil"/>
              <w:left w:val="single" w:sz="4" w:space="0" w:color="auto"/>
              <w:bottom w:val="single" w:sz="4" w:space="0" w:color="auto"/>
              <w:right w:val="single" w:sz="4" w:space="0" w:color="auto"/>
            </w:tcBorders>
            <w:shd w:val="clear" w:color="auto" w:fill="auto"/>
            <w:vAlign w:val="center"/>
            <w:hideMark/>
          </w:tcPr>
          <w:p w14:paraId="272D16CA"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Despachos de materia Penal, Penal Juvenil y Flagrancia</w:t>
            </w:r>
          </w:p>
        </w:tc>
        <w:tc>
          <w:tcPr>
            <w:tcW w:w="2191" w:type="pct"/>
            <w:tcBorders>
              <w:top w:val="nil"/>
              <w:left w:val="nil"/>
              <w:bottom w:val="single" w:sz="4" w:space="0" w:color="auto"/>
              <w:right w:val="single" w:sz="4" w:space="0" w:color="auto"/>
            </w:tcBorders>
            <w:shd w:val="clear" w:color="auto" w:fill="auto"/>
            <w:vAlign w:val="center"/>
            <w:hideMark/>
          </w:tcPr>
          <w:p w14:paraId="07D00998"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Personas privadas de libertad con expediente electrónico.</w:t>
            </w:r>
          </w:p>
        </w:tc>
        <w:tc>
          <w:tcPr>
            <w:tcW w:w="1530" w:type="pct"/>
            <w:tcBorders>
              <w:top w:val="nil"/>
              <w:left w:val="nil"/>
              <w:bottom w:val="single" w:sz="4" w:space="0" w:color="auto"/>
              <w:right w:val="single" w:sz="4" w:space="0" w:color="auto"/>
            </w:tcBorders>
            <w:shd w:val="clear" w:color="auto" w:fill="auto"/>
            <w:noWrap/>
            <w:vAlign w:val="bottom"/>
            <w:hideMark/>
          </w:tcPr>
          <w:p w14:paraId="530CC743"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Proceso crítico – JPEN 001</w:t>
            </w:r>
          </w:p>
        </w:tc>
      </w:tr>
      <w:tr w:rsidR="00C64E91" w:rsidRPr="00BF2076" w14:paraId="2A476A37" w14:textId="77777777" w:rsidTr="001E5C55">
        <w:trPr>
          <w:trHeight w:val="600"/>
        </w:trPr>
        <w:tc>
          <w:tcPr>
            <w:tcW w:w="1279" w:type="pct"/>
            <w:tcBorders>
              <w:top w:val="nil"/>
              <w:left w:val="single" w:sz="4" w:space="0" w:color="auto"/>
              <w:bottom w:val="single" w:sz="4" w:space="0" w:color="auto"/>
              <w:right w:val="single" w:sz="4" w:space="0" w:color="auto"/>
            </w:tcBorders>
            <w:shd w:val="clear" w:color="auto" w:fill="auto"/>
            <w:vAlign w:val="center"/>
            <w:hideMark/>
          </w:tcPr>
          <w:p w14:paraId="75F34096" w14:textId="77777777" w:rsidR="00C64E91" w:rsidRPr="00BF2076" w:rsidRDefault="00C64E91" w:rsidP="007F6EEE">
            <w:pPr>
              <w:spacing w:after="0" w:line="240" w:lineRule="auto"/>
              <w:rPr>
                <w:rFonts w:ascii="Arial" w:eastAsia="Times New Roman" w:hAnsi="Arial" w:cs="Arial"/>
                <w:color w:val="000000"/>
                <w:highlight w:val="yellow"/>
                <w:lang w:eastAsia="es-CR"/>
              </w:rPr>
            </w:pPr>
            <w:r w:rsidRPr="00BF2076">
              <w:rPr>
                <w:rFonts w:ascii="Arial" w:eastAsia="Times New Roman" w:hAnsi="Arial" w:cs="Arial"/>
                <w:color w:val="000000"/>
                <w:highlight w:val="yellow"/>
                <w:lang w:val="es-ES" w:eastAsia="es-CR"/>
              </w:rPr>
              <w:t>Secretaría General de la Corte</w:t>
            </w:r>
          </w:p>
        </w:tc>
        <w:tc>
          <w:tcPr>
            <w:tcW w:w="2191" w:type="pct"/>
            <w:tcBorders>
              <w:top w:val="nil"/>
              <w:left w:val="nil"/>
              <w:bottom w:val="single" w:sz="4" w:space="0" w:color="auto"/>
              <w:right w:val="single" w:sz="4" w:space="0" w:color="auto"/>
            </w:tcBorders>
            <w:shd w:val="clear" w:color="auto" w:fill="auto"/>
            <w:vAlign w:val="center"/>
            <w:hideMark/>
          </w:tcPr>
          <w:p w14:paraId="1001AE8F" w14:textId="77777777" w:rsidR="00C64E91" w:rsidRPr="00BF2076" w:rsidRDefault="00C64E91" w:rsidP="007F6EEE">
            <w:pPr>
              <w:spacing w:after="0" w:line="240" w:lineRule="auto"/>
              <w:rPr>
                <w:rFonts w:ascii="Arial" w:eastAsia="Times New Roman" w:hAnsi="Arial" w:cs="Arial"/>
                <w:color w:val="000000"/>
                <w:highlight w:val="yellow"/>
                <w:lang w:eastAsia="es-CR"/>
              </w:rPr>
            </w:pPr>
            <w:r w:rsidRPr="00BF2076">
              <w:rPr>
                <w:rFonts w:ascii="Arial" w:eastAsia="Times New Roman" w:hAnsi="Arial" w:cs="Arial"/>
                <w:color w:val="000000"/>
                <w:highlight w:val="yellow"/>
                <w:lang w:val="es-ES" w:eastAsia="es-CR"/>
              </w:rPr>
              <w:t>Traslado de información a Corte Plena y Consejo Superior para declaratoria de emergencia y acuerdos.</w:t>
            </w:r>
          </w:p>
        </w:tc>
        <w:tc>
          <w:tcPr>
            <w:tcW w:w="1530" w:type="pct"/>
            <w:tcBorders>
              <w:top w:val="nil"/>
              <w:left w:val="nil"/>
              <w:bottom w:val="single" w:sz="4" w:space="0" w:color="auto"/>
              <w:right w:val="single" w:sz="4" w:space="0" w:color="auto"/>
            </w:tcBorders>
            <w:shd w:val="clear" w:color="auto" w:fill="auto"/>
            <w:noWrap/>
            <w:vAlign w:val="bottom"/>
            <w:hideMark/>
          </w:tcPr>
          <w:p w14:paraId="2B92655D" w14:textId="77777777" w:rsidR="00C64E91" w:rsidRPr="00BF2076" w:rsidRDefault="00C64E91" w:rsidP="007F6EEE">
            <w:pPr>
              <w:spacing w:after="0" w:line="240" w:lineRule="auto"/>
              <w:rPr>
                <w:rFonts w:ascii="Arial" w:eastAsia="Times New Roman" w:hAnsi="Arial" w:cs="Arial"/>
                <w:color w:val="000000"/>
                <w:highlight w:val="yellow"/>
                <w:lang w:eastAsia="es-CR"/>
              </w:rPr>
            </w:pPr>
            <w:r w:rsidRPr="00BF2076">
              <w:rPr>
                <w:rFonts w:ascii="Arial" w:eastAsia="Times New Roman" w:hAnsi="Arial" w:cs="Arial"/>
                <w:color w:val="000000"/>
                <w:highlight w:val="yellow"/>
                <w:lang w:eastAsia="es-CR"/>
              </w:rPr>
              <w:t>No se encuentra en proceso crítico</w:t>
            </w:r>
          </w:p>
        </w:tc>
      </w:tr>
      <w:tr w:rsidR="00C64E91" w:rsidRPr="00BF2076" w14:paraId="5F6D8D83" w14:textId="77777777" w:rsidTr="001E5C55">
        <w:trPr>
          <w:trHeight w:val="600"/>
        </w:trPr>
        <w:tc>
          <w:tcPr>
            <w:tcW w:w="1279" w:type="pct"/>
            <w:tcBorders>
              <w:top w:val="nil"/>
              <w:left w:val="single" w:sz="4" w:space="0" w:color="auto"/>
              <w:bottom w:val="single" w:sz="4" w:space="0" w:color="auto"/>
              <w:right w:val="single" w:sz="4" w:space="0" w:color="auto"/>
            </w:tcBorders>
            <w:shd w:val="clear" w:color="auto" w:fill="auto"/>
            <w:vAlign w:val="center"/>
            <w:hideMark/>
          </w:tcPr>
          <w:p w14:paraId="10C29A1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Departamento Financiero Contable</w:t>
            </w:r>
          </w:p>
        </w:tc>
        <w:tc>
          <w:tcPr>
            <w:tcW w:w="2191" w:type="pct"/>
            <w:tcBorders>
              <w:top w:val="nil"/>
              <w:left w:val="nil"/>
              <w:bottom w:val="single" w:sz="4" w:space="0" w:color="auto"/>
              <w:right w:val="single" w:sz="4" w:space="0" w:color="auto"/>
            </w:tcBorders>
            <w:shd w:val="clear" w:color="auto" w:fill="auto"/>
            <w:vAlign w:val="center"/>
            <w:hideMark/>
          </w:tcPr>
          <w:p w14:paraId="149F5E72"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 xml:space="preserve">Ejecución del presupuesto institucional. </w:t>
            </w:r>
          </w:p>
        </w:tc>
        <w:tc>
          <w:tcPr>
            <w:tcW w:w="1530" w:type="pct"/>
            <w:tcBorders>
              <w:top w:val="nil"/>
              <w:left w:val="nil"/>
              <w:bottom w:val="single" w:sz="4" w:space="0" w:color="auto"/>
              <w:right w:val="single" w:sz="4" w:space="0" w:color="auto"/>
            </w:tcBorders>
            <w:shd w:val="clear" w:color="auto" w:fill="auto"/>
            <w:noWrap/>
            <w:vAlign w:val="bottom"/>
            <w:hideMark/>
          </w:tcPr>
          <w:p w14:paraId="40F70452"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Parcialmente, FICO 009</w:t>
            </w:r>
          </w:p>
        </w:tc>
      </w:tr>
      <w:tr w:rsidR="00C64E91" w:rsidRPr="00BF2076" w14:paraId="7E9D4D52" w14:textId="77777777" w:rsidTr="001E5C55">
        <w:trPr>
          <w:trHeight w:val="300"/>
        </w:trPr>
        <w:tc>
          <w:tcPr>
            <w:tcW w:w="1279" w:type="pct"/>
            <w:tcBorders>
              <w:top w:val="nil"/>
              <w:left w:val="single" w:sz="4" w:space="0" w:color="auto"/>
              <w:bottom w:val="single" w:sz="4" w:space="0" w:color="auto"/>
              <w:right w:val="single" w:sz="4" w:space="0" w:color="auto"/>
            </w:tcBorders>
            <w:shd w:val="clear" w:color="auto" w:fill="auto"/>
            <w:vAlign w:val="center"/>
            <w:hideMark/>
          </w:tcPr>
          <w:p w14:paraId="08DABE9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Dirección de Gestión Humana</w:t>
            </w:r>
          </w:p>
        </w:tc>
        <w:tc>
          <w:tcPr>
            <w:tcW w:w="2191" w:type="pct"/>
            <w:tcBorders>
              <w:top w:val="nil"/>
              <w:left w:val="nil"/>
              <w:bottom w:val="single" w:sz="4" w:space="0" w:color="auto"/>
              <w:right w:val="single" w:sz="4" w:space="0" w:color="auto"/>
            </w:tcBorders>
            <w:shd w:val="clear" w:color="auto" w:fill="auto"/>
            <w:vAlign w:val="center"/>
            <w:hideMark/>
          </w:tcPr>
          <w:p w14:paraId="4ACFA00B"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Pago de salarios.</w:t>
            </w:r>
          </w:p>
        </w:tc>
        <w:tc>
          <w:tcPr>
            <w:tcW w:w="1530" w:type="pct"/>
            <w:tcBorders>
              <w:top w:val="nil"/>
              <w:left w:val="nil"/>
              <w:bottom w:val="single" w:sz="4" w:space="0" w:color="auto"/>
              <w:right w:val="single" w:sz="4" w:space="0" w:color="auto"/>
            </w:tcBorders>
            <w:shd w:val="clear" w:color="auto" w:fill="auto"/>
            <w:noWrap/>
            <w:vAlign w:val="bottom"/>
            <w:hideMark/>
          </w:tcPr>
          <w:p w14:paraId="1A3BAE60"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Proceso crítico – GH 007</w:t>
            </w:r>
          </w:p>
        </w:tc>
      </w:tr>
      <w:tr w:rsidR="00C64E91" w:rsidRPr="00BF2076" w14:paraId="352C13BC" w14:textId="77777777" w:rsidTr="001E5C55">
        <w:trPr>
          <w:trHeight w:val="600"/>
        </w:trPr>
        <w:tc>
          <w:tcPr>
            <w:tcW w:w="1279" w:type="pct"/>
            <w:tcBorders>
              <w:top w:val="nil"/>
              <w:left w:val="single" w:sz="4" w:space="0" w:color="auto"/>
              <w:bottom w:val="single" w:sz="4" w:space="0" w:color="auto"/>
              <w:right w:val="single" w:sz="4" w:space="0" w:color="auto"/>
            </w:tcBorders>
            <w:shd w:val="clear" w:color="auto" w:fill="auto"/>
            <w:vAlign w:val="center"/>
            <w:hideMark/>
          </w:tcPr>
          <w:p w14:paraId="73AC48AF" w14:textId="77777777" w:rsidR="00C64E91" w:rsidRPr="00BF2076" w:rsidRDefault="00C64E91" w:rsidP="007F6EEE">
            <w:pPr>
              <w:spacing w:after="0" w:line="240" w:lineRule="auto"/>
              <w:rPr>
                <w:rFonts w:ascii="Arial" w:eastAsia="Times New Roman" w:hAnsi="Arial" w:cs="Arial"/>
                <w:color w:val="000000"/>
                <w:highlight w:val="yellow"/>
                <w:lang w:eastAsia="es-CR"/>
              </w:rPr>
            </w:pPr>
            <w:r w:rsidRPr="00BF2076">
              <w:rPr>
                <w:rFonts w:ascii="Arial" w:eastAsia="Times New Roman" w:hAnsi="Arial" w:cs="Arial"/>
                <w:color w:val="000000"/>
                <w:highlight w:val="yellow"/>
                <w:lang w:val="es-ES" w:eastAsia="es-CR"/>
              </w:rPr>
              <w:t>Departamento de Artes Gráficas</w:t>
            </w:r>
          </w:p>
        </w:tc>
        <w:tc>
          <w:tcPr>
            <w:tcW w:w="2191" w:type="pct"/>
            <w:tcBorders>
              <w:top w:val="nil"/>
              <w:left w:val="nil"/>
              <w:bottom w:val="single" w:sz="4" w:space="0" w:color="auto"/>
              <w:right w:val="single" w:sz="4" w:space="0" w:color="auto"/>
            </w:tcBorders>
            <w:shd w:val="clear" w:color="auto" w:fill="auto"/>
            <w:vAlign w:val="center"/>
            <w:hideMark/>
          </w:tcPr>
          <w:p w14:paraId="336D5231" w14:textId="77777777" w:rsidR="00C64E91" w:rsidRPr="00BF2076" w:rsidRDefault="00C64E91" w:rsidP="007F6EEE">
            <w:pPr>
              <w:spacing w:after="0" w:line="240" w:lineRule="auto"/>
              <w:rPr>
                <w:rFonts w:ascii="Arial" w:eastAsia="Times New Roman" w:hAnsi="Arial" w:cs="Arial"/>
                <w:color w:val="000000"/>
                <w:highlight w:val="yellow"/>
                <w:lang w:eastAsia="es-CR"/>
              </w:rPr>
            </w:pPr>
            <w:r w:rsidRPr="00BF2076">
              <w:rPr>
                <w:rFonts w:ascii="Arial" w:eastAsia="Times New Roman" w:hAnsi="Arial" w:cs="Arial"/>
                <w:color w:val="000000"/>
                <w:highlight w:val="yellow"/>
                <w:lang w:val="es-ES" w:eastAsia="es-CR"/>
              </w:rPr>
              <w:t>Impresión de formularios y otros insumos para despachos y oficinas.</w:t>
            </w:r>
          </w:p>
        </w:tc>
        <w:tc>
          <w:tcPr>
            <w:tcW w:w="1530" w:type="pct"/>
            <w:tcBorders>
              <w:top w:val="nil"/>
              <w:left w:val="nil"/>
              <w:bottom w:val="single" w:sz="4" w:space="0" w:color="auto"/>
              <w:right w:val="single" w:sz="4" w:space="0" w:color="auto"/>
            </w:tcBorders>
            <w:shd w:val="clear" w:color="auto" w:fill="auto"/>
            <w:noWrap/>
            <w:vAlign w:val="bottom"/>
            <w:hideMark/>
          </w:tcPr>
          <w:p w14:paraId="03F6FBF2" w14:textId="77777777" w:rsidR="00C64E91" w:rsidRPr="00BF2076" w:rsidRDefault="00C64E91" w:rsidP="007F6EEE">
            <w:pPr>
              <w:spacing w:after="0" w:line="240" w:lineRule="auto"/>
              <w:rPr>
                <w:rFonts w:ascii="Arial" w:eastAsia="Times New Roman" w:hAnsi="Arial" w:cs="Arial"/>
                <w:color w:val="000000"/>
                <w:highlight w:val="yellow"/>
                <w:lang w:eastAsia="es-CR"/>
              </w:rPr>
            </w:pPr>
            <w:r w:rsidRPr="00BF2076">
              <w:rPr>
                <w:rFonts w:ascii="Arial" w:eastAsia="Times New Roman" w:hAnsi="Arial" w:cs="Arial"/>
                <w:color w:val="000000"/>
                <w:highlight w:val="yellow"/>
                <w:lang w:eastAsia="es-CR"/>
              </w:rPr>
              <w:t>No se encuentra en proceso crítico</w:t>
            </w:r>
          </w:p>
        </w:tc>
      </w:tr>
      <w:tr w:rsidR="00C64E91" w:rsidRPr="00BF2076" w14:paraId="38E06776" w14:textId="77777777" w:rsidTr="001E5C55">
        <w:trPr>
          <w:trHeight w:val="300"/>
        </w:trPr>
        <w:tc>
          <w:tcPr>
            <w:tcW w:w="1279" w:type="pct"/>
            <w:tcBorders>
              <w:top w:val="nil"/>
              <w:left w:val="single" w:sz="4" w:space="0" w:color="auto"/>
              <w:bottom w:val="single" w:sz="4" w:space="0" w:color="auto"/>
              <w:right w:val="single" w:sz="4" w:space="0" w:color="auto"/>
            </w:tcBorders>
            <w:shd w:val="clear" w:color="auto" w:fill="auto"/>
            <w:vAlign w:val="center"/>
            <w:hideMark/>
          </w:tcPr>
          <w:p w14:paraId="76FDDC33"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CACMFJ</w:t>
            </w:r>
          </w:p>
        </w:tc>
        <w:tc>
          <w:tcPr>
            <w:tcW w:w="2191" w:type="pct"/>
            <w:tcBorders>
              <w:top w:val="nil"/>
              <w:left w:val="nil"/>
              <w:bottom w:val="single" w:sz="4" w:space="0" w:color="auto"/>
              <w:right w:val="single" w:sz="4" w:space="0" w:color="auto"/>
            </w:tcBorders>
            <w:shd w:val="clear" w:color="auto" w:fill="auto"/>
            <w:vAlign w:val="center"/>
            <w:hideMark/>
          </w:tcPr>
          <w:p w14:paraId="03F5869E"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Nombramiento de personal juzgador.</w:t>
            </w:r>
          </w:p>
        </w:tc>
        <w:tc>
          <w:tcPr>
            <w:tcW w:w="1530" w:type="pct"/>
            <w:tcBorders>
              <w:top w:val="nil"/>
              <w:left w:val="nil"/>
              <w:bottom w:val="single" w:sz="4" w:space="0" w:color="auto"/>
              <w:right w:val="single" w:sz="4" w:space="0" w:color="auto"/>
            </w:tcBorders>
            <w:shd w:val="clear" w:color="auto" w:fill="auto"/>
            <w:noWrap/>
            <w:vAlign w:val="bottom"/>
            <w:hideMark/>
          </w:tcPr>
          <w:p w14:paraId="7D3A1910"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Proceso crítico – CACMFJ 001</w:t>
            </w:r>
          </w:p>
        </w:tc>
      </w:tr>
      <w:tr w:rsidR="00C64E91" w:rsidRPr="00BF2076" w14:paraId="6834660F" w14:textId="77777777" w:rsidTr="001E5C55">
        <w:trPr>
          <w:trHeight w:val="300"/>
        </w:trPr>
        <w:tc>
          <w:tcPr>
            <w:tcW w:w="1279" w:type="pct"/>
            <w:tcBorders>
              <w:top w:val="nil"/>
              <w:left w:val="single" w:sz="4" w:space="0" w:color="auto"/>
              <w:bottom w:val="single" w:sz="4" w:space="0" w:color="auto"/>
              <w:right w:val="single" w:sz="4" w:space="0" w:color="auto"/>
            </w:tcBorders>
            <w:shd w:val="clear" w:color="auto" w:fill="auto"/>
            <w:vAlign w:val="center"/>
            <w:hideMark/>
          </w:tcPr>
          <w:p w14:paraId="13EDDC08" w14:textId="77777777" w:rsidR="00C64E91" w:rsidRPr="00BF2076" w:rsidRDefault="00C64E91" w:rsidP="007F6EEE">
            <w:pPr>
              <w:spacing w:after="0" w:line="240" w:lineRule="auto"/>
              <w:rPr>
                <w:rFonts w:ascii="Arial" w:eastAsia="Times New Roman" w:hAnsi="Arial" w:cs="Arial"/>
                <w:color w:val="000000"/>
                <w:highlight w:val="yellow"/>
                <w:lang w:eastAsia="es-CR"/>
              </w:rPr>
            </w:pPr>
            <w:r w:rsidRPr="00BF2076">
              <w:rPr>
                <w:rFonts w:ascii="Arial" w:eastAsia="Times New Roman" w:hAnsi="Arial" w:cs="Arial"/>
                <w:color w:val="000000"/>
                <w:highlight w:val="yellow"/>
                <w:lang w:val="es-ES" w:eastAsia="es-CR"/>
              </w:rPr>
              <w:t>Contraloría de Servicios</w:t>
            </w:r>
          </w:p>
        </w:tc>
        <w:tc>
          <w:tcPr>
            <w:tcW w:w="2191" w:type="pct"/>
            <w:tcBorders>
              <w:top w:val="nil"/>
              <w:left w:val="nil"/>
              <w:bottom w:val="single" w:sz="4" w:space="0" w:color="auto"/>
              <w:right w:val="single" w:sz="4" w:space="0" w:color="auto"/>
            </w:tcBorders>
            <w:shd w:val="clear" w:color="auto" w:fill="auto"/>
            <w:vAlign w:val="center"/>
            <w:hideMark/>
          </w:tcPr>
          <w:p w14:paraId="271EE14B" w14:textId="77777777" w:rsidR="00C64E91" w:rsidRPr="00BF2076" w:rsidRDefault="00C64E91" w:rsidP="007F6EEE">
            <w:pPr>
              <w:spacing w:after="0" w:line="240" w:lineRule="auto"/>
              <w:rPr>
                <w:rFonts w:ascii="Arial" w:eastAsia="Times New Roman" w:hAnsi="Arial" w:cs="Arial"/>
                <w:color w:val="000000"/>
                <w:highlight w:val="yellow"/>
                <w:lang w:eastAsia="es-CR"/>
              </w:rPr>
            </w:pPr>
            <w:r w:rsidRPr="00BF2076">
              <w:rPr>
                <w:rFonts w:ascii="Arial" w:eastAsia="Times New Roman" w:hAnsi="Arial" w:cs="Arial"/>
                <w:color w:val="000000"/>
                <w:highlight w:val="yellow"/>
                <w:lang w:val="es-ES" w:eastAsia="es-CR"/>
              </w:rPr>
              <w:t>Línea 800 para atención de la persona usuaria.</w:t>
            </w:r>
          </w:p>
        </w:tc>
        <w:tc>
          <w:tcPr>
            <w:tcW w:w="1530" w:type="pct"/>
            <w:tcBorders>
              <w:top w:val="nil"/>
              <w:left w:val="nil"/>
              <w:bottom w:val="single" w:sz="4" w:space="0" w:color="auto"/>
              <w:right w:val="single" w:sz="4" w:space="0" w:color="auto"/>
            </w:tcBorders>
            <w:shd w:val="clear" w:color="auto" w:fill="auto"/>
            <w:noWrap/>
            <w:vAlign w:val="bottom"/>
            <w:hideMark/>
          </w:tcPr>
          <w:p w14:paraId="66B5D189" w14:textId="77777777" w:rsidR="00C64E91" w:rsidRPr="00BF2076" w:rsidRDefault="00C64E91" w:rsidP="007F6EEE">
            <w:pPr>
              <w:spacing w:after="0" w:line="240" w:lineRule="auto"/>
              <w:rPr>
                <w:rFonts w:ascii="Arial" w:eastAsia="Times New Roman" w:hAnsi="Arial" w:cs="Arial"/>
                <w:color w:val="000000"/>
                <w:highlight w:val="yellow"/>
                <w:lang w:eastAsia="es-CR"/>
              </w:rPr>
            </w:pPr>
            <w:r w:rsidRPr="00BF2076">
              <w:rPr>
                <w:rFonts w:ascii="Arial" w:eastAsia="Times New Roman" w:hAnsi="Arial" w:cs="Arial"/>
                <w:color w:val="000000"/>
                <w:highlight w:val="yellow"/>
                <w:lang w:eastAsia="es-CR"/>
              </w:rPr>
              <w:t>No se encuentra en proceso crítico</w:t>
            </w:r>
          </w:p>
        </w:tc>
      </w:tr>
      <w:tr w:rsidR="00C64E91" w:rsidRPr="00BF2076" w14:paraId="1AD0928E" w14:textId="77777777" w:rsidTr="001E5C55">
        <w:trPr>
          <w:trHeight w:val="600"/>
        </w:trPr>
        <w:tc>
          <w:tcPr>
            <w:tcW w:w="1279" w:type="pct"/>
            <w:tcBorders>
              <w:top w:val="nil"/>
              <w:left w:val="single" w:sz="4" w:space="0" w:color="auto"/>
              <w:bottom w:val="single" w:sz="4" w:space="0" w:color="auto"/>
              <w:right w:val="single" w:sz="4" w:space="0" w:color="auto"/>
            </w:tcBorders>
            <w:shd w:val="clear" w:color="auto" w:fill="auto"/>
            <w:vAlign w:val="center"/>
            <w:hideMark/>
          </w:tcPr>
          <w:p w14:paraId="3D3C3FDD"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Centro de Intervención de las Comunicaciones</w:t>
            </w:r>
          </w:p>
        </w:tc>
        <w:tc>
          <w:tcPr>
            <w:tcW w:w="2191" w:type="pct"/>
            <w:tcBorders>
              <w:top w:val="nil"/>
              <w:left w:val="nil"/>
              <w:bottom w:val="single" w:sz="4" w:space="0" w:color="auto"/>
              <w:right w:val="single" w:sz="4" w:space="0" w:color="auto"/>
            </w:tcBorders>
            <w:shd w:val="clear" w:color="auto" w:fill="auto"/>
            <w:vAlign w:val="center"/>
            <w:hideMark/>
          </w:tcPr>
          <w:p w14:paraId="4B6AE923"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val="es-ES" w:eastAsia="es-CR"/>
              </w:rPr>
              <w:t>Intercepción de Comunicaciones Telefónicas.</w:t>
            </w:r>
          </w:p>
        </w:tc>
        <w:tc>
          <w:tcPr>
            <w:tcW w:w="1530" w:type="pct"/>
            <w:tcBorders>
              <w:top w:val="nil"/>
              <w:left w:val="nil"/>
              <w:bottom w:val="single" w:sz="4" w:space="0" w:color="auto"/>
              <w:right w:val="single" w:sz="4" w:space="0" w:color="auto"/>
            </w:tcBorders>
            <w:shd w:val="clear" w:color="auto" w:fill="auto"/>
            <w:noWrap/>
            <w:vAlign w:val="bottom"/>
            <w:hideMark/>
          </w:tcPr>
          <w:p w14:paraId="5F7EB41C"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Proceso crítico – CJIC 001</w:t>
            </w:r>
          </w:p>
        </w:tc>
      </w:tr>
    </w:tbl>
    <w:p w14:paraId="339BFAB4" w14:textId="77777777" w:rsidR="007F6EEE" w:rsidRPr="00BF2076" w:rsidRDefault="007F6EEE" w:rsidP="007F6EEE">
      <w:pPr>
        <w:spacing w:after="0" w:line="240" w:lineRule="auto"/>
        <w:jc w:val="both"/>
        <w:rPr>
          <w:rFonts w:ascii="Arial" w:hAnsi="Arial" w:cs="Arial"/>
        </w:rPr>
      </w:pPr>
    </w:p>
    <w:p w14:paraId="7C3865D2" w14:textId="01ED9520" w:rsidR="00C64E91" w:rsidRPr="00BF2076" w:rsidRDefault="00C64E91" w:rsidP="007F6EEE">
      <w:pPr>
        <w:spacing w:after="0" w:line="240" w:lineRule="auto"/>
        <w:jc w:val="both"/>
        <w:rPr>
          <w:rFonts w:ascii="Arial" w:hAnsi="Arial" w:cs="Arial"/>
        </w:rPr>
      </w:pPr>
      <w:r w:rsidRPr="00BF2076">
        <w:rPr>
          <w:rFonts w:ascii="Arial" w:hAnsi="Arial" w:cs="Arial"/>
        </w:rPr>
        <w:t xml:space="preserve">De la tabla anterior, se realizó una revisión de los procesos críticos del apagón tecnológico y que, a su vez, cuentan con planes en el BIA institucional. De lo anterior resulta </w:t>
      </w:r>
      <w:proofErr w:type="gramStart"/>
      <w:r w:rsidRPr="00BF2076">
        <w:rPr>
          <w:rFonts w:ascii="Arial" w:hAnsi="Arial" w:cs="Arial"/>
        </w:rPr>
        <w:t>que</w:t>
      </w:r>
      <w:proofErr w:type="gramEnd"/>
      <w:r w:rsidRPr="00BF2076">
        <w:rPr>
          <w:rFonts w:ascii="Arial" w:hAnsi="Arial" w:cs="Arial"/>
        </w:rPr>
        <w:t xml:space="preserve"> a la lista determinada en el BIA, se incluirían únicamente 3 procesos adicionales al listado de procesos críticos, los cuales son:</w:t>
      </w:r>
    </w:p>
    <w:p w14:paraId="127E95EA" w14:textId="77777777" w:rsidR="007F6EEE" w:rsidRPr="00BF2076" w:rsidRDefault="007F6EEE" w:rsidP="007F6EEE">
      <w:pPr>
        <w:spacing w:after="0" w:line="240" w:lineRule="auto"/>
        <w:jc w:val="both"/>
        <w:rPr>
          <w:rFonts w:ascii="Arial" w:hAnsi="Arial" w:cs="Arial"/>
        </w:rPr>
      </w:pPr>
    </w:p>
    <w:p w14:paraId="1AA73123" w14:textId="77777777" w:rsidR="00C64E91" w:rsidRPr="00BF2076" w:rsidRDefault="00C64E91" w:rsidP="007F6EEE">
      <w:pPr>
        <w:pStyle w:val="Prrafodelista"/>
        <w:widowControl/>
        <w:numPr>
          <w:ilvl w:val="0"/>
          <w:numId w:val="29"/>
        </w:numPr>
        <w:autoSpaceDE/>
        <w:autoSpaceDN/>
        <w:adjustRightInd/>
        <w:contextualSpacing/>
        <w:jc w:val="left"/>
        <w:rPr>
          <w:rFonts w:ascii="Arial" w:hAnsi="Arial" w:cs="Arial"/>
          <w:color w:val="000000"/>
          <w:lang w:eastAsia="es-CR"/>
        </w:rPr>
      </w:pPr>
      <w:r w:rsidRPr="00BF2076">
        <w:rPr>
          <w:rFonts w:ascii="Arial" w:hAnsi="Arial" w:cs="Arial"/>
          <w:color w:val="000000"/>
          <w:lang w:eastAsia="es-CR"/>
        </w:rPr>
        <w:t>Secretaría General de la Corte - Traslado de información a Corte Plena y Consejo Superior para declaratoria de emergencia y acuerdos.</w:t>
      </w:r>
    </w:p>
    <w:p w14:paraId="1B14CB55" w14:textId="77777777" w:rsidR="00C64E91" w:rsidRPr="00BF2076" w:rsidRDefault="00C64E91" w:rsidP="007F6EEE">
      <w:pPr>
        <w:pStyle w:val="Prrafodelista"/>
        <w:widowControl/>
        <w:numPr>
          <w:ilvl w:val="0"/>
          <w:numId w:val="29"/>
        </w:numPr>
        <w:autoSpaceDE/>
        <w:autoSpaceDN/>
        <w:adjustRightInd/>
        <w:contextualSpacing/>
        <w:jc w:val="left"/>
        <w:rPr>
          <w:rFonts w:ascii="Arial" w:hAnsi="Arial" w:cs="Arial"/>
          <w:color w:val="000000"/>
          <w:lang w:eastAsia="es-CR"/>
        </w:rPr>
      </w:pPr>
      <w:r w:rsidRPr="00BF2076">
        <w:rPr>
          <w:rFonts w:ascii="Arial" w:hAnsi="Arial" w:cs="Arial"/>
          <w:color w:val="000000"/>
          <w:lang w:eastAsia="es-CR"/>
        </w:rPr>
        <w:t>Departamento de Artes Gráficas- Impresión de formularios y otros insumos para despachos y oficinas.</w:t>
      </w:r>
    </w:p>
    <w:p w14:paraId="07C93787" w14:textId="77777777" w:rsidR="00C64E91" w:rsidRPr="00BF2076" w:rsidRDefault="00C64E91" w:rsidP="007F6EEE">
      <w:pPr>
        <w:pStyle w:val="Prrafodelista"/>
        <w:widowControl/>
        <w:numPr>
          <w:ilvl w:val="0"/>
          <w:numId w:val="29"/>
        </w:numPr>
        <w:autoSpaceDE/>
        <w:autoSpaceDN/>
        <w:adjustRightInd/>
        <w:contextualSpacing/>
        <w:jc w:val="left"/>
        <w:rPr>
          <w:rFonts w:ascii="Arial" w:hAnsi="Arial" w:cs="Arial"/>
          <w:color w:val="000000"/>
          <w:lang w:eastAsia="es-CR"/>
        </w:rPr>
      </w:pPr>
      <w:r w:rsidRPr="00BF2076">
        <w:rPr>
          <w:rFonts w:ascii="Arial" w:hAnsi="Arial" w:cs="Arial"/>
          <w:color w:val="000000"/>
          <w:lang w:eastAsia="es-CR"/>
        </w:rPr>
        <w:t>Contraloría de Servicios - Línea 800 para atención de la persona usuaria.</w:t>
      </w:r>
    </w:p>
    <w:p w14:paraId="37714929" w14:textId="77777777" w:rsidR="007F6EEE" w:rsidRPr="00BF2076" w:rsidRDefault="007F6EEE" w:rsidP="007F6EEE">
      <w:pPr>
        <w:spacing w:after="0" w:line="240" w:lineRule="auto"/>
        <w:jc w:val="both"/>
        <w:rPr>
          <w:rFonts w:ascii="Arial" w:hAnsi="Arial" w:cs="Arial"/>
        </w:rPr>
      </w:pPr>
    </w:p>
    <w:p w14:paraId="0AA10069" w14:textId="1D49E8B6" w:rsidR="00C64E91" w:rsidRPr="00BF2076" w:rsidRDefault="00C64E91" w:rsidP="007F6EEE">
      <w:pPr>
        <w:spacing w:after="0" w:line="240" w:lineRule="auto"/>
        <w:jc w:val="both"/>
        <w:rPr>
          <w:rFonts w:ascii="Arial" w:hAnsi="Arial" w:cs="Arial"/>
        </w:rPr>
      </w:pPr>
      <w:r w:rsidRPr="00BF2076">
        <w:rPr>
          <w:rFonts w:ascii="Arial" w:hAnsi="Arial" w:cs="Arial"/>
        </w:rPr>
        <w:t xml:space="preserve">En otro sentido, recientemente, la Dirección de Planificación, en coyuntura con el Modelo de Gestión por Procesos (MGP), realizó una actualización de los procesos críticos institucionales de los ámbitos Auxiliar de Justicia y Administrativo, presentado al Consejo Superior mediante oficio 1240-PLA-PE-2022, en el cual se revisó y validó el contenido y plantillas documentales de procesos críticos con la oficinas dueñas de estos procesos, donde se concluyó que, de los 51 procesos críticos identificados en el BIA para estos dos ámbitos, se encuentran vigentes y actualizados un total de 49 procesos. </w:t>
      </w:r>
    </w:p>
    <w:p w14:paraId="655E0C2C" w14:textId="77777777" w:rsidR="007F6EEE" w:rsidRPr="00BF2076" w:rsidRDefault="007F6EEE" w:rsidP="007F6EEE">
      <w:pPr>
        <w:spacing w:after="0" w:line="240" w:lineRule="auto"/>
        <w:jc w:val="both"/>
        <w:rPr>
          <w:rFonts w:ascii="Arial" w:hAnsi="Arial" w:cs="Arial"/>
        </w:rPr>
      </w:pPr>
    </w:p>
    <w:p w14:paraId="5D99667A" w14:textId="101088D5" w:rsidR="00C64E91" w:rsidRPr="00BF2076" w:rsidRDefault="00C64E91" w:rsidP="007F6EEE">
      <w:pPr>
        <w:spacing w:after="0" w:line="240" w:lineRule="auto"/>
        <w:jc w:val="both"/>
        <w:rPr>
          <w:rFonts w:ascii="Arial" w:hAnsi="Arial" w:cs="Arial"/>
        </w:rPr>
      </w:pPr>
      <w:r w:rsidRPr="00BF2076">
        <w:rPr>
          <w:rFonts w:ascii="Arial" w:hAnsi="Arial" w:cs="Arial"/>
        </w:rPr>
        <w:lastRenderedPageBreak/>
        <w:t xml:space="preserve">Cabe indicar que este Subproceso de Gestión de Continuidad del Servicio, realizó una revisión de los procesos OIJ 124 - “Atención de eventos de crisis, emergencias, casos mayores” y  OIJ 092 – “Atención adecuada en los lugares donde se presenten eventos de crisis”, ya que en la elaboración los procesos son diferentes; esta situación fue verificada con la Dirección de Planificación, en donde erróneamente se remitió al Organismo de Investigación Judicial dos procedimientos iguales, por lo que era claro el criterio de vincularlos. </w:t>
      </w:r>
    </w:p>
    <w:p w14:paraId="51A3FC0F" w14:textId="77777777" w:rsidR="007F6EEE" w:rsidRPr="00BF2076" w:rsidRDefault="007F6EEE" w:rsidP="007F6EEE">
      <w:pPr>
        <w:spacing w:after="0" w:line="240" w:lineRule="auto"/>
        <w:jc w:val="both"/>
        <w:rPr>
          <w:rFonts w:ascii="Arial" w:hAnsi="Arial" w:cs="Arial"/>
        </w:rPr>
      </w:pPr>
    </w:p>
    <w:p w14:paraId="60FD4836" w14:textId="6405E80C" w:rsidR="00C64E91" w:rsidRPr="00BF2076" w:rsidRDefault="00C64E91" w:rsidP="007F6EEE">
      <w:pPr>
        <w:spacing w:after="0" w:line="240" w:lineRule="auto"/>
        <w:jc w:val="both"/>
        <w:rPr>
          <w:rFonts w:ascii="Arial" w:hAnsi="Arial" w:cs="Arial"/>
        </w:rPr>
      </w:pPr>
      <w:r w:rsidRPr="00BF2076">
        <w:rPr>
          <w:rFonts w:ascii="Arial" w:hAnsi="Arial" w:cs="Arial"/>
        </w:rPr>
        <w:t>Con el fin de unificar los esfuerzos anteriores y formalizar una única lista de procesos y de operaciones críticas que afectan el servicio institucional en condiciones o escenarios de interrupciones de servicio, se presenta ante el Consejo Superior la lista actualizada de procesos críticos:</w:t>
      </w:r>
    </w:p>
    <w:p w14:paraId="6FC81D0D" w14:textId="77777777" w:rsidR="00C64E91" w:rsidRPr="00BF2076" w:rsidRDefault="00C64E91" w:rsidP="007F6EEE">
      <w:pPr>
        <w:spacing w:after="0" w:line="240" w:lineRule="auto"/>
        <w:rPr>
          <w:rFonts w:ascii="Arial" w:hAnsi="Arial" w:cs="Arial"/>
        </w:rPr>
      </w:pPr>
    </w:p>
    <w:tbl>
      <w:tblPr>
        <w:tblW w:w="0" w:type="auto"/>
        <w:jc w:val="center"/>
        <w:tblCellMar>
          <w:left w:w="70" w:type="dxa"/>
          <w:right w:w="70" w:type="dxa"/>
        </w:tblCellMar>
        <w:tblLook w:val="04A0" w:firstRow="1" w:lastRow="0" w:firstColumn="1" w:lastColumn="0" w:noHBand="0" w:noVBand="1"/>
      </w:tblPr>
      <w:tblGrid>
        <w:gridCol w:w="1001"/>
        <w:gridCol w:w="4841"/>
        <w:gridCol w:w="2986"/>
      </w:tblGrid>
      <w:tr w:rsidR="00C64E91" w:rsidRPr="00BF2076" w14:paraId="60C73F94" w14:textId="77777777" w:rsidTr="007F6EEE">
        <w:trPr>
          <w:trHeight w:val="90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4472C4"/>
            <w:vAlign w:val="center"/>
            <w:hideMark/>
          </w:tcPr>
          <w:p w14:paraId="6B0F68F7" w14:textId="77777777" w:rsidR="00C64E91" w:rsidRPr="00BF2076" w:rsidRDefault="00C64E91" w:rsidP="007F6EEE">
            <w:pPr>
              <w:spacing w:after="0" w:line="240" w:lineRule="auto"/>
              <w:rPr>
                <w:rFonts w:ascii="Arial" w:eastAsia="Times New Roman" w:hAnsi="Arial" w:cs="Arial"/>
                <w:b/>
                <w:bCs/>
                <w:color w:val="FFFFFF"/>
                <w:lang w:eastAsia="es-CR"/>
              </w:rPr>
            </w:pPr>
            <w:r w:rsidRPr="00BF2076">
              <w:rPr>
                <w:rFonts w:ascii="Arial" w:eastAsia="Times New Roman" w:hAnsi="Arial" w:cs="Arial"/>
                <w:b/>
                <w:bCs/>
                <w:color w:val="FFFFFF"/>
                <w:lang w:eastAsia="es-CR"/>
              </w:rPr>
              <w:t>Orden según RTO</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493AC5A3" w14:textId="77777777" w:rsidR="00C64E91" w:rsidRPr="00BF2076" w:rsidRDefault="00C64E91" w:rsidP="007F6EEE">
            <w:pPr>
              <w:spacing w:after="0" w:line="240" w:lineRule="auto"/>
              <w:rPr>
                <w:rFonts w:ascii="Arial" w:eastAsia="Times New Roman" w:hAnsi="Arial" w:cs="Arial"/>
                <w:b/>
                <w:bCs/>
                <w:color w:val="FFFFFF"/>
                <w:lang w:eastAsia="es-CR"/>
              </w:rPr>
            </w:pPr>
            <w:r w:rsidRPr="00BF2076">
              <w:rPr>
                <w:rFonts w:ascii="Arial" w:eastAsia="Times New Roman" w:hAnsi="Arial" w:cs="Arial"/>
                <w:b/>
                <w:bCs/>
                <w:color w:val="FFFFFF"/>
                <w:lang w:eastAsia="es-CR"/>
              </w:rPr>
              <w:t>Nombre del proceso en herramienta</w:t>
            </w:r>
          </w:p>
        </w:tc>
        <w:tc>
          <w:tcPr>
            <w:tcW w:w="0" w:type="auto"/>
            <w:tcBorders>
              <w:top w:val="single" w:sz="4" w:space="0" w:color="auto"/>
              <w:left w:val="nil"/>
              <w:bottom w:val="single" w:sz="4" w:space="0" w:color="auto"/>
              <w:right w:val="single" w:sz="4" w:space="0" w:color="auto"/>
            </w:tcBorders>
            <w:shd w:val="clear" w:color="000000" w:fill="4472C4"/>
            <w:vAlign w:val="center"/>
            <w:hideMark/>
          </w:tcPr>
          <w:p w14:paraId="6EBCEC6F" w14:textId="77777777" w:rsidR="00C64E91" w:rsidRPr="00BF2076" w:rsidRDefault="00C64E91" w:rsidP="007F6EEE">
            <w:pPr>
              <w:spacing w:after="0" w:line="240" w:lineRule="auto"/>
              <w:rPr>
                <w:rFonts w:ascii="Arial" w:eastAsia="Times New Roman" w:hAnsi="Arial" w:cs="Arial"/>
                <w:b/>
                <w:bCs/>
                <w:color w:val="FFFFFF"/>
                <w:lang w:eastAsia="es-CR"/>
              </w:rPr>
            </w:pPr>
            <w:r w:rsidRPr="00BF2076">
              <w:rPr>
                <w:rFonts w:ascii="Arial" w:eastAsia="Times New Roman" w:hAnsi="Arial" w:cs="Arial"/>
                <w:b/>
                <w:bCs/>
                <w:color w:val="FFFFFF"/>
                <w:lang w:eastAsia="es-CR"/>
              </w:rPr>
              <w:t>Oficina</w:t>
            </w:r>
          </w:p>
        </w:tc>
      </w:tr>
      <w:tr w:rsidR="00C64E91" w:rsidRPr="00BF2076" w14:paraId="6B9DF8EC" w14:textId="77777777" w:rsidTr="001E5C55">
        <w:trPr>
          <w:trHeight w:val="443"/>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DF0846"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1</w:t>
            </w:r>
          </w:p>
        </w:tc>
        <w:tc>
          <w:tcPr>
            <w:tcW w:w="0" w:type="auto"/>
            <w:tcBorders>
              <w:top w:val="nil"/>
              <w:left w:val="nil"/>
              <w:bottom w:val="single" w:sz="4" w:space="0" w:color="auto"/>
              <w:right w:val="single" w:sz="4" w:space="0" w:color="auto"/>
            </w:tcBorders>
            <w:shd w:val="clear" w:color="000000" w:fill="FFFFFF"/>
            <w:vAlign w:val="center"/>
            <w:hideMark/>
          </w:tcPr>
          <w:p w14:paraId="454D5AC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 xml:space="preserve">SEG 002 Seguridad Humana y Física Poder Judicial </w:t>
            </w:r>
          </w:p>
        </w:tc>
        <w:tc>
          <w:tcPr>
            <w:tcW w:w="0" w:type="auto"/>
            <w:tcBorders>
              <w:top w:val="nil"/>
              <w:left w:val="nil"/>
              <w:bottom w:val="single" w:sz="4" w:space="0" w:color="auto"/>
              <w:right w:val="single" w:sz="4" w:space="0" w:color="auto"/>
            </w:tcBorders>
            <w:shd w:val="clear" w:color="000000" w:fill="FFFFFF"/>
            <w:vAlign w:val="center"/>
            <w:hideMark/>
          </w:tcPr>
          <w:p w14:paraId="439FFC4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de Seguridad</w:t>
            </w:r>
          </w:p>
        </w:tc>
      </w:tr>
      <w:tr w:rsidR="00C64E91" w:rsidRPr="00BF2076" w14:paraId="6FA5288F" w14:textId="77777777" w:rsidTr="001E5C55">
        <w:trPr>
          <w:trHeight w:val="563"/>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635A5D"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2</w:t>
            </w:r>
          </w:p>
        </w:tc>
        <w:tc>
          <w:tcPr>
            <w:tcW w:w="0" w:type="auto"/>
            <w:tcBorders>
              <w:top w:val="nil"/>
              <w:left w:val="nil"/>
              <w:bottom w:val="single" w:sz="4" w:space="0" w:color="auto"/>
              <w:right w:val="single" w:sz="4" w:space="0" w:color="auto"/>
            </w:tcBorders>
            <w:shd w:val="clear" w:color="000000" w:fill="FFFFFF"/>
            <w:vAlign w:val="center"/>
            <w:hideMark/>
          </w:tcPr>
          <w:p w14:paraId="4C8E798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AR 010 Servicio de Seguridad</w:t>
            </w:r>
          </w:p>
        </w:tc>
        <w:tc>
          <w:tcPr>
            <w:tcW w:w="0" w:type="auto"/>
            <w:tcBorders>
              <w:top w:val="nil"/>
              <w:left w:val="nil"/>
              <w:bottom w:val="single" w:sz="4" w:space="0" w:color="auto"/>
              <w:right w:val="single" w:sz="4" w:space="0" w:color="auto"/>
            </w:tcBorders>
            <w:shd w:val="clear" w:color="000000" w:fill="FFFFFF"/>
            <w:vAlign w:val="center"/>
            <w:hideMark/>
          </w:tcPr>
          <w:p w14:paraId="10D8FE6C"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Administraciones Regionales</w:t>
            </w:r>
          </w:p>
        </w:tc>
      </w:tr>
      <w:tr w:rsidR="00C64E91" w:rsidRPr="00BF2076" w14:paraId="2E0A16B2" w14:textId="77777777" w:rsidTr="001E5C55">
        <w:trPr>
          <w:trHeight w:val="698"/>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11E00D"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3</w:t>
            </w:r>
          </w:p>
        </w:tc>
        <w:tc>
          <w:tcPr>
            <w:tcW w:w="0" w:type="auto"/>
            <w:tcBorders>
              <w:top w:val="nil"/>
              <w:left w:val="nil"/>
              <w:bottom w:val="single" w:sz="4" w:space="0" w:color="auto"/>
              <w:right w:val="single" w:sz="4" w:space="0" w:color="auto"/>
            </w:tcBorders>
            <w:shd w:val="clear" w:color="auto" w:fill="auto"/>
            <w:vAlign w:val="center"/>
            <w:hideMark/>
          </w:tcPr>
          <w:p w14:paraId="7ECD0DFD"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CJIC 001 Intercepción de Comunicaciones Telefónicas</w:t>
            </w:r>
          </w:p>
        </w:tc>
        <w:tc>
          <w:tcPr>
            <w:tcW w:w="0" w:type="auto"/>
            <w:tcBorders>
              <w:top w:val="nil"/>
              <w:left w:val="nil"/>
              <w:bottom w:val="single" w:sz="4" w:space="0" w:color="auto"/>
              <w:right w:val="single" w:sz="4" w:space="0" w:color="auto"/>
            </w:tcBorders>
            <w:shd w:val="clear" w:color="000000" w:fill="FFFFFF"/>
            <w:vAlign w:val="center"/>
            <w:hideMark/>
          </w:tcPr>
          <w:p w14:paraId="1B9E96C0"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Centro Judicial de Intervención de las Comunicaciones (CJIC)</w:t>
            </w:r>
          </w:p>
        </w:tc>
      </w:tr>
      <w:tr w:rsidR="00C64E91" w:rsidRPr="00BF2076" w14:paraId="0D10D208" w14:textId="77777777" w:rsidTr="001E5C55">
        <w:trPr>
          <w:trHeight w:val="709"/>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15876D"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4</w:t>
            </w:r>
          </w:p>
        </w:tc>
        <w:tc>
          <w:tcPr>
            <w:tcW w:w="0" w:type="auto"/>
            <w:tcBorders>
              <w:top w:val="nil"/>
              <w:left w:val="nil"/>
              <w:bottom w:val="single" w:sz="4" w:space="0" w:color="auto"/>
              <w:right w:val="single" w:sz="4" w:space="0" w:color="auto"/>
            </w:tcBorders>
            <w:shd w:val="clear" w:color="auto" w:fill="auto"/>
            <w:vAlign w:val="center"/>
            <w:hideMark/>
          </w:tcPr>
          <w:p w14:paraId="58F9357D"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RJ 003 Seguimiento a la actualización de las bases de datos de los sistemas (SACEJ, SOAP)</w:t>
            </w:r>
          </w:p>
        </w:tc>
        <w:tc>
          <w:tcPr>
            <w:tcW w:w="0" w:type="auto"/>
            <w:tcBorders>
              <w:top w:val="nil"/>
              <w:left w:val="nil"/>
              <w:bottom w:val="single" w:sz="4" w:space="0" w:color="auto"/>
              <w:right w:val="single" w:sz="4" w:space="0" w:color="auto"/>
            </w:tcBorders>
            <w:shd w:val="clear" w:color="000000" w:fill="FFFFFF"/>
            <w:vAlign w:val="center"/>
            <w:hideMark/>
          </w:tcPr>
          <w:p w14:paraId="6B85F4E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Registro Judicial</w:t>
            </w:r>
          </w:p>
        </w:tc>
      </w:tr>
      <w:tr w:rsidR="00C64E91" w:rsidRPr="00BF2076" w14:paraId="3FC78331" w14:textId="77777777" w:rsidTr="001E5C55">
        <w:trPr>
          <w:trHeight w:val="691"/>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56327B"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5</w:t>
            </w:r>
          </w:p>
        </w:tc>
        <w:tc>
          <w:tcPr>
            <w:tcW w:w="0" w:type="auto"/>
            <w:tcBorders>
              <w:top w:val="nil"/>
              <w:left w:val="nil"/>
              <w:bottom w:val="single" w:sz="4" w:space="0" w:color="auto"/>
              <w:right w:val="single" w:sz="4" w:space="0" w:color="auto"/>
            </w:tcBorders>
            <w:shd w:val="clear" w:color="000000" w:fill="FFFFFF"/>
            <w:vAlign w:val="center"/>
            <w:hideMark/>
          </w:tcPr>
          <w:p w14:paraId="5ADB6DA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OIJ 113 Custodia, traslado y manejo de todas las personas que se encuentren detenidas</w:t>
            </w:r>
          </w:p>
        </w:tc>
        <w:tc>
          <w:tcPr>
            <w:tcW w:w="0" w:type="auto"/>
            <w:tcBorders>
              <w:top w:val="nil"/>
              <w:left w:val="nil"/>
              <w:bottom w:val="single" w:sz="4" w:space="0" w:color="auto"/>
              <w:right w:val="single" w:sz="4" w:space="0" w:color="auto"/>
            </w:tcBorders>
            <w:shd w:val="clear" w:color="000000" w:fill="FFFFFF"/>
            <w:vAlign w:val="center"/>
            <w:hideMark/>
          </w:tcPr>
          <w:p w14:paraId="2F0A78C2"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Organismo de Investigación Judicial (OIJ)</w:t>
            </w:r>
          </w:p>
        </w:tc>
      </w:tr>
      <w:tr w:rsidR="00C64E91" w:rsidRPr="00BF2076" w14:paraId="5FA74D4A" w14:textId="77777777" w:rsidTr="001E5C55">
        <w:trPr>
          <w:trHeight w:val="701"/>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00CB09"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6</w:t>
            </w:r>
          </w:p>
        </w:tc>
        <w:tc>
          <w:tcPr>
            <w:tcW w:w="0" w:type="auto"/>
            <w:tcBorders>
              <w:top w:val="nil"/>
              <w:left w:val="nil"/>
              <w:bottom w:val="single" w:sz="4" w:space="0" w:color="auto"/>
              <w:right w:val="single" w:sz="4" w:space="0" w:color="auto"/>
            </w:tcBorders>
            <w:shd w:val="clear" w:color="000000" w:fill="FFFFFF"/>
            <w:vAlign w:val="center"/>
            <w:hideMark/>
          </w:tcPr>
          <w:p w14:paraId="0D7A091D"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OIJ 104 Operación de todo el transporte institucional en las dependencias del OIJ</w:t>
            </w:r>
          </w:p>
        </w:tc>
        <w:tc>
          <w:tcPr>
            <w:tcW w:w="0" w:type="auto"/>
            <w:tcBorders>
              <w:top w:val="nil"/>
              <w:left w:val="nil"/>
              <w:bottom w:val="single" w:sz="4" w:space="0" w:color="auto"/>
              <w:right w:val="single" w:sz="4" w:space="0" w:color="auto"/>
            </w:tcBorders>
            <w:shd w:val="clear" w:color="000000" w:fill="FFFFFF"/>
            <w:vAlign w:val="center"/>
            <w:hideMark/>
          </w:tcPr>
          <w:p w14:paraId="1DBC6625"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Organismo de Investigación Judicial (OIJ)</w:t>
            </w:r>
          </w:p>
        </w:tc>
      </w:tr>
      <w:tr w:rsidR="00C64E91" w:rsidRPr="00BF2076" w14:paraId="43E0DC66" w14:textId="77777777" w:rsidTr="001E5C55">
        <w:trPr>
          <w:trHeight w:val="696"/>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4D0466"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7</w:t>
            </w:r>
          </w:p>
        </w:tc>
        <w:tc>
          <w:tcPr>
            <w:tcW w:w="0" w:type="auto"/>
            <w:tcBorders>
              <w:top w:val="nil"/>
              <w:left w:val="nil"/>
              <w:bottom w:val="single" w:sz="4" w:space="0" w:color="auto"/>
              <w:right w:val="single" w:sz="4" w:space="0" w:color="auto"/>
            </w:tcBorders>
            <w:shd w:val="clear" w:color="000000" w:fill="FFFFFF"/>
            <w:vAlign w:val="center"/>
            <w:hideMark/>
          </w:tcPr>
          <w:p w14:paraId="15AE81D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RJ 001 Emisión de certificaciones de antecedentes penales y de pensiones</w:t>
            </w:r>
          </w:p>
        </w:tc>
        <w:tc>
          <w:tcPr>
            <w:tcW w:w="0" w:type="auto"/>
            <w:tcBorders>
              <w:top w:val="nil"/>
              <w:left w:val="nil"/>
              <w:bottom w:val="single" w:sz="4" w:space="0" w:color="auto"/>
              <w:right w:val="single" w:sz="4" w:space="0" w:color="auto"/>
            </w:tcBorders>
            <w:shd w:val="clear" w:color="000000" w:fill="FFFFFF"/>
            <w:vAlign w:val="center"/>
            <w:hideMark/>
          </w:tcPr>
          <w:p w14:paraId="62B7E53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Registro Judicial</w:t>
            </w:r>
          </w:p>
        </w:tc>
      </w:tr>
      <w:tr w:rsidR="00C64E91" w:rsidRPr="00BF2076" w14:paraId="6BABE934" w14:textId="77777777" w:rsidTr="001E5C55">
        <w:trPr>
          <w:trHeight w:val="707"/>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740D19"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8</w:t>
            </w:r>
          </w:p>
        </w:tc>
        <w:tc>
          <w:tcPr>
            <w:tcW w:w="0" w:type="auto"/>
            <w:tcBorders>
              <w:top w:val="nil"/>
              <w:left w:val="nil"/>
              <w:bottom w:val="single" w:sz="4" w:space="0" w:color="auto"/>
              <w:right w:val="single" w:sz="4" w:space="0" w:color="auto"/>
            </w:tcBorders>
            <w:shd w:val="clear" w:color="000000" w:fill="FFFFFF"/>
            <w:vAlign w:val="center"/>
            <w:hideMark/>
          </w:tcPr>
          <w:p w14:paraId="13273BF8"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OIJ 124 Atención de eventos de crisis, emergencias, casos mayores</w:t>
            </w:r>
          </w:p>
        </w:tc>
        <w:tc>
          <w:tcPr>
            <w:tcW w:w="0" w:type="auto"/>
            <w:tcBorders>
              <w:top w:val="nil"/>
              <w:left w:val="nil"/>
              <w:bottom w:val="single" w:sz="4" w:space="0" w:color="auto"/>
              <w:right w:val="single" w:sz="4" w:space="0" w:color="auto"/>
            </w:tcBorders>
            <w:shd w:val="clear" w:color="000000" w:fill="FFFFFF"/>
            <w:vAlign w:val="center"/>
            <w:hideMark/>
          </w:tcPr>
          <w:p w14:paraId="6334624C"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Organismo de Investigación Judicial (OIJ)</w:t>
            </w:r>
          </w:p>
        </w:tc>
      </w:tr>
      <w:tr w:rsidR="00C64E91" w:rsidRPr="00BF2076" w14:paraId="2C5C44EE" w14:textId="77777777" w:rsidTr="001E5C55">
        <w:trPr>
          <w:trHeight w:val="689"/>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1E69CD"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9</w:t>
            </w:r>
          </w:p>
        </w:tc>
        <w:tc>
          <w:tcPr>
            <w:tcW w:w="0" w:type="auto"/>
            <w:tcBorders>
              <w:top w:val="nil"/>
              <w:left w:val="nil"/>
              <w:bottom w:val="single" w:sz="4" w:space="0" w:color="auto"/>
              <w:right w:val="single" w:sz="4" w:space="0" w:color="auto"/>
            </w:tcBorders>
            <w:shd w:val="clear" w:color="000000" w:fill="FFFFFF"/>
            <w:vAlign w:val="center"/>
            <w:hideMark/>
          </w:tcPr>
          <w:p w14:paraId="52CDA55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OIJ 155 Gestión de las condiciones operativas necesarias del servicio de comunicaciones radiales</w:t>
            </w:r>
          </w:p>
        </w:tc>
        <w:tc>
          <w:tcPr>
            <w:tcW w:w="0" w:type="auto"/>
            <w:tcBorders>
              <w:top w:val="nil"/>
              <w:left w:val="nil"/>
              <w:bottom w:val="single" w:sz="4" w:space="0" w:color="auto"/>
              <w:right w:val="single" w:sz="4" w:space="0" w:color="auto"/>
            </w:tcBorders>
            <w:shd w:val="clear" w:color="000000" w:fill="FFFFFF"/>
            <w:vAlign w:val="center"/>
            <w:hideMark/>
          </w:tcPr>
          <w:p w14:paraId="364C68C6"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Organismo de Investigación Judicial (OIJ)</w:t>
            </w:r>
          </w:p>
        </w:tc>
      </w:tr>
      <w:tr w:rsidR="00C64E91" w:rsidRPr="00BF2076" w14:paraId="7FF9A9DB" w14:textId="77777777" w:rsidTr="001E5C55">
        <w:trPr>
          <w:trHeight w:val="699"/>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CD1F7F"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10</w:t>
            </w:r>
          </w:p>
        </w:tc>
        <w:tc>
          <w:tcPr>
            <w:tcW w:w="0" w:type="auto"/>
            <w:tcBorders>
              <w:top w:val="nil"/>
              <w:left w:val="nil"/>
              <w:bottom w:val="single" w:sz="4" w:space="0" w:color="auto"/>
              <w:right w:val="single" w:sz="4" w:space="0" w:color="auto"/>
            </w:tcBorders>
            <w:shd w:val="clear" w:color="000000" w:fill="FFFFFF"/>
            <w:vAlign w:val="center"/>
            <w:hideMark/>
          </w:tcPr>
          <w:p w14:paraId="5A3E3E73"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 xml:space="preserve">JPEN 001 Etapas preparatoria e intermedia del proceso penal </w:t>
            </w:r>
          </w:p>
        </w:tc>
        <w:tc>
          <w:tcPr>
            <w:tcW w:w="0" w:type="auto"/>
            <w:tcBorders>
              <w:top w:val="nil"/>
              <w:left w:val="nil"/>
              <w:bottom w:val="single" w:sz="4" w:space="0" w:color="auto"/>
              <w:right w:val="single" w:sz="4" w:space="0" w:color="auto"/>
            </w:tcBorders>
            <w:shd w:val="clear" w:color="000000" w:fill="FFFFFF"/>
            <w:vAlign w:val="center"/>
            <w:hideMark/>
          </w:tcPr>
          <w:p w14:paraId="20EEB099"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Juzgado Penal</w:t>
            </w:r>
          </w:p>
        </w:tc>
      </w:tr>
      <w:tr w:rsidR="00C64E91" w:rsidRPr="00BF2076" w14:paraId="160DA5FA" w14:textId="77777777" w:rsidTr="001E5C55">
        <w:trPr>
          <w:trHeight w:val="7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F63351"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11</w:t>
            </w:r>
          </w:p>
        </w:tc>
        <w:tc>
          <w:tcPr>
            <w:tcW w:w="0" w:type="auto"/>
            <w:tcBorders>
              <w:top w:val="nil"/>
              <w:left w:val="nil"/>
              <w:bottom w:val="single" w:sz="4" w:space="0" w:color="auto"/>
              <w:right w:val="single" w:sz="4" w:space="0" w:color="auto"/>
            </w:tcBorders>
            <w:shd w:val="clear" w:color="000000" w:fill="FFFFFF"/>
            <w:vAlign w:val="center"/>
            <w:hideMark/>
          </w:tcPr>
          <w:p w14:paraId="2B1B6E8A"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SEG 001 Continuidad operativa de los sistemas de seguridad electrónica del Poder Judicial</w:t>
            </w:r>
          </w:p>
        </w:tc>
        <w:tc>
          <w:tcPr>
            <w:tcW w:w="0" w:type="auto"/>
            <w:tcBorders>
              <w:top w:val="nil"/>
              <w:left w:val="nil"/>
              <w:bottom w:val="single" w:sz="4" w:space="0" w:color="auto"/>
              <w:right w:val="single" w:sz="4" w:space="0" w:color="auto"/>
            </w:tcBorders>
            <w:shd w:val="clear" w:color="000000" w:fill="FFFFFF"/>
            <w:vAlign w:val="center"/>
            <w:hideMark/>
          </w:tcPr>
          <w:p w14:paraId="566C5BE1"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de Seguridad</w:t>
            </w:r>
          </w:p>
        </w:tc>
      </w:tr>
      <w:tr w:rsidR="00C64E91" w:rsidRPr="00BF2076" w14:paraId="36CC8618" w14:textId="77777777" w:rsidTr="001E5C55">
        <w:trPr>
          <w:trHeight w:val="53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A51621"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lastRenderedPageBreak/>
              <w:t>12</w:t>
            </w:r>
          </w:p>
        </w:tc>
        <w:tc>
          <w:tcPr>
            <w:tcW w:w="0" w:type="auto"/>
            <w:tcBorders>
              <w:top w:val="nil"/>
              <w:left w:val="nil"/>
              <w:bottom w:val="single" w:sz="4" w:space="0" w:color="auto"/>
              <w:right w:val="single" w:sz="4" w:space="0" w:color="auto"/>
            </w:tcBorders>
            <w:shd w:val="clear" w:color="000000" w:fill="FFFFFF"/>
            <w:vAlign w:val="center"/>
            <w:hideMark/>
          </w:tcPr>
          <w:p w14:paraId="6C4EAD3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PCO 001 Comunicados de emergencia</w:t>
            </w:r>
          </w:p>
        </w:tc>
        <w:tc>
          <w:tcPr>
            <w:tcW w:w="0" w:type="auto"/>
            <w:tcBorders>
              <w:top w:val="nil"/>
              <w:left w:val="nil"/>
              <w:bottom w:val="single" w:sz="4" w:space="0" w:color="auto"/>
              <w:right w:val="single" w:sz="4" w:space="0" w:color="auto"/>
            </w:tcBorders>
            <w:shd w:val="clear" w:color="000000" w:fill="FFFFFF"/>
            <w:vAlign w:val="center"/>
            <w:hideMark/>
          </w:tcPr>
          <w:p w14:paraId="21578D18"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de Prensa y Comunicación Organizacional</w:t>
            </w:r>
          </w:p>
        </w:tc>
      </w:tr>
      <w:tr w:rsidR="00C64E91" w:rsidRPr="00BF2076" w14:paraId="65AE42F2" w14:textId="77777777" w:rsidTr="001E5C55">
        <w:trPr>
          <w:trHeight w:val="7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411F48"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13</w:t>
            </w:r>
          </w:p>
        </w:tc>
        <w:tc>
          <w:tcPr>
            <w:tcW w:w="0" w:type="auto"/>
            <w:tcBorders>
              <w:top w:val="nil"/>
              <w:left w:val="nil"/>
              <w:bottom w:val="single" w:sz="4" w:space="0" w:color="auto"/>
              <w:right w:val="single" w:sz="4" w:space="0" w:color="auto"/>
            </w:tcBorders>
            <w:shd w:val="clear" w:color="000000" w:fill="FFFFFF"/>
            <w:vAlign w:val="center"/>
            <w:hideMark/>
          </w:tcPr>
          <w:p w14:paraId="605A01D1"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PROV 034 Abastecimiento de combustible para uso de la flotilla Institucional</w:t>
            </w:r>
          </w:p>
        </w:tc>
        <w:tc>
          <w:tcPr>
            <w:tcW w:w="0" w:type="auto"/>
            <w:tcBorders>
              <w:top w:val="nil"/>
              <w:left w:val="nil"/>
              <w:bottom w:val="single" w:sz="4" w:space="0" w:color="auto"/>
              <w:right w:val="single" w:sz="4" w:space="0" w:color="auto"/>
            </w:tcBorders>
            <w:shd w:val="clear" w:color="000000" w:fill="FFFFFF"/>
            <w:vAlign w:val="center"/>
            <w:hideMark/>
          </w:tcPr>
          <w:p w14:paraId="7804A802"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de Proveeduría</w:t>
            </w:r>
          </w:p>
        </w:tc>
      </w:tr>
      <w:tr w:rsidR="00C64E91" w:rsidRPr="00BF2076" w14:paraId="7915CEA5" w14:textId="77777777" w:rsidTr="001E5C55">
        <w:trPr>
          <w:trHeight w:val="603"/>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4B1F3E"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14</w:t>
            </w:r>
          </w:p>
        </w:tc>
        <w:tc>
          <w:tcPr>
            <w:tcW w:w="0" w:type="auto"/>
            <w:tcBorders>
              <w:top w:val="nil"/>
              <w:left w:val="nil"/>
              <w:bottom w:val="single" w:sz="4" w:space="0" w:color="auto"/>
              <w:right w:val="single" w:sz="4" w:space="0" w:color="auto"/>
            </w:tcBorders>
            <w:shd w:val="clear" w:color="000000" w:fill="FFFFFF"/>
            <w:vAlign w:val="center"/>
            <w:hideMark/>
          </w:tcPr>
          <w:p w14:paraId="01FA8BDB"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DTIC 017 Soporte y atención de usuarios</w:t>
            </w:r>
          </w:p>
        </w:tc>
        <w:tc>
          <w:tcPr>
            <w:tcW w:w="0" w:type="auto"/>
            <w:tcBorders>
              <w:top w:val="nil"/>
              <w:left w:val="nil"/>
              <w:bottom w:val="single" w:sz="4" w:space="0" w:color="auto"/>
              <w:right w:val="single" w:sz="4" w:space="0" w:color="auto"/>
            </w:tcBorders>
            <w:shd w:val="clear" w:color="000000" w:fill="FFFFFF"/>
            <w:vAlign w:val="center"/>
            <w:hideMark/>
          </w:tcPr>
          <w:p w14:paraId="03D40D7B"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Dirección de Tecnología de Información y Comunicaciones</w:t>
            </w:r>
          </w:p>
        </w:tc>
      </w:tr>
      <w:tr w:rsidR="00C64E91" w:rsidRPr="00BF2076" w14:paraId="1C5A4BFF" w14:textId="77777777" w:rsidTr="001E5C55">
        <w:trPr>
          <w:trHeight w:val="319"/>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A59228"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15</w:t>
            </w:r>
          </w:p>
        </w:tc>
        <w:tc>
          <w:tcPr>
            <w:tcW w:w="0" w:type="auto"/>
            <w:tcBorders>
              <w:top w:val="nil"/>
              <w:left w:val="nil"/>
              <w:bottom w:val="single" w:sz="4" w:space="0" w:color="auto"/>
              <w:right w:val="single" w:sz="4" w:space="0" w:color="auto"/>
            </w:tcBorders>
            <w:shd w:val="clear" w:color="000000" w:fill="FFFFFF"/>
            <w:vAlign w:val="center"/>
            <w:hideMark/>
          </w:tcPr>
          <w:p w14:paraId="6EE4EDC2"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PCO 005 Atención de Periodistas</w:t>
            </w:r>
          </w:p>
        </w:tc>
        <w:tc>
          <w:tcPr>
            <w:tcW w:w="0" w:type="auto"/>
            <w:tcBorders>
              <w:top w:val="nil"/>
              <w:left w:val="nil"/>
              <w:bottom w:val="single" w:sz="4" w:space="0" w:color="auto"/>
              <w:right w:val="single" w:sz="4" w:space="0" w:color="auto"/>
            </w:tcBorders>
            <w:shd w:val="clear" w:color="000000" w:fill="FFFFFF"/>
            <w:vAlign w:val="center"/>
            <w:hideMark/>
          </w:tcPr>
          <w:p w14:paraId="5F821486"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de Prensa y Comunicación Organizacional</w:t>
            </w:r>
          </w:p>
        </w:tc>
      </w:tr>
      <w:tr w:rsidR="00C64E91" w:rsidRPr="00BF2076" w14:paraId="690919BC" w14:textId="77777777" w:rsidTr="001E5C55">
        <w:trPr>
          <w:trHeight w:val="7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223E04"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16</w:t>
            </w:r>
          </w:p>
        </w:tc>
        <w:tc>
          <w:tcPr>
            <w:tcW w:w="0" w:type="auto"/>
            <w:tcBorders>
              <w:top w:val="nil"/>
              <w:left w:val="nil"/>
              <w:bottom w:val="single" w:sz="4" w:space="0" w:color="auto"/>
              <w:right w:val="single" w:sz="4" w:space="0" w:color="auto"/>
            </w:tcBorders>
            <w:shd w:val="clear" w:color="000000" w:fill="FFFFFF"/>
            <w:vAlign w:val="center"/>
            <w:hideMark/>
          </w:tcPr>
          <w:p w14:paraId="6FB20B1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SRVGR 008 Atención de emergencias fuera de horas hábiles</w:t>
            </w:r>
          </w:p>
        </w:tc>
        <w:tc>
          <w:tcPr>
            <w:tcW w:w="0" w:type="auto"/>
            <w:tcBorders>
              <w:top w:val="nil"/>
              <w:left w:val="nil"/>
              <w:bottom w:val="single" w:sz="4" w:space="0" w:color="auto"/>
              <w:right w:val="single" w:sz="4" w:space="0" w:color="auto"/>
            </w:tcBorders>
            <w:shd w:val="clear" w:color="000000" w:fill="FFFFFF"/>
            <w:vAlign w:val="center"/>
            <w:hideMark/>
          </w:tcPr>
          <w:p w14:paraId="1C61A52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de Servicios Generales</w:t>
            </w:r>
          </w:p>
        </w:tc>
      </w:tr>
      <w:tr w:rsidR="00C64E91" w:rsidRPr="00BF2076" w14:paraId="6402F554" w14:textId="77777777" w:rsidTr="001E5C55">
        <w:trPr>
          <w:trHeight w:val="57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D2D4253"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17</w:t>
            </w:r>
          </w:p>
        </w:tc>
        <w:tc>
          <w:tcPr>
            <w:tcW w:w="0" w:type="auto"/>
            <w:tcBorders>
              <w:top w:val="nil"/>
              <w:left w:val="nil"/>
              <w:bottom w:val="single" w:sz="4" w:space="0" w:color="auto"/>
              <w:right w:val="single" w:sz="4" w:space="0" w:color="auto"/>
            </w:tcBorders>
            <w:shd w:val="clear" w:color="000000" w:fill="FFFFFF"/>
            <w:vAlign w:val="center"/>
            <w:hideMark/>
          </w:tcPr>
          <w:p w14:paraId="6C563BB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 xml:space="preserve">SRVGR 021 Limpieza de las áreas afectas por inundaciones </w:t>
            </w:r>
          </w:p>
        </w:tc>
        <w:tc>
          <w:tcPr>
            <w:tcW w:w="0" w:type="auto"/>
            <w:tcBorders>
              <w:top w:val="nil"/>
              <w:left w:val="nil"/>
              <w:bottom w:val="single" w:sz="4" w:space="0" w:color="auto"/>
              <w:right w:val="single" w:sz="4" w:space="0" w:color="auto"/>
            </w:tcBorders>
            <w:shd w:val="clear" w:color="000000" w:fill="FFFFFF"/>
            <w:vAlign w:val="center"/>
            <w:hideMark/>
          </w:tcPr>
          <w:p w14:paraId="433F072C"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de Servicios Generales</w:t>
            </w:r>
          </w:p>
        </w:tc>
      </w:tr>
      <w:tr w:rsidR="00C64E91" w:rsidRPr="00BF2076" w14:paraId="2F897B10" w14:textId="77777777" w:rsidTr="001E5C55">
        <w:trPr>
          <w:trHeight w:val="57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8A8941"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18</w:t>
            </w:r>
          </w:p>
        </w:tc>
        <w:tc>
          <w:tcPr>
            <w:tcW w:w="0" w:type="auto"/>
            <w:tcBorders>
              <w:top w:val="nil"/>
              <w:left w:val="nil"/>
              <w:bottom w:val="single" w:sz="4" w:space="0" w:color="auto"/>
              <w:right w:val="single" w:sz="4" w:space="0" w:color="auto"/>
            </w:tcBorders>
            <w:shd w:val="clear" w:color="000000" w:fill="FFFFFF"/>
            <w:vAlign w:val="center"/>
            <w:hideMark/>
          </w:tcPr>
          <w:p w14:paraId="3DC0787A"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SRVGR 043 Restablecimiento de servicios básicos</w:t>
            </w:r>
          </w:p>
        </w:tc>
        <w:tc>
          <w:tcPr>
            <w:tcW w:w="0" w:type="auto"/>
            <w:tcBorders>
              <w:top w:val="nil"/>
              <w:left w:val="nil"/>
              <w:bottom w:val="single" w:sz="4" w:space="0" w:color="auto"/>
              <w:right w:val="single" w:sz="4" w:space="0" w:color="auto"/>
            </w:tcBorders>
            <w:shd w:val="clear" w:color="000000" w:fill="FFFFFF"/>
            <w:vAlign w:val="center"/>
            <w:hideMark/>
          </w:tcPr>
          <w:p w14:paraId="1BDAAF72"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de Servicios Generales</w:t>
            </w:r>
          </w:p>
        </w:tc>
      </w:tr>
      <w:tr w:rsidR="00C64E91" w:rsidRPr="00BF2076" w14:paraId="474F0957" w14:textId="77777777" w:rsidTr="001E5C55">
        <w:trPr>
          <w:trHeight w:val="57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42D5B3"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19</w:t>
            </w:r>
          </w:p>
        </w:tc>
        <w:tc>
          <w:tcPr>
            <w:tcW w:w="0" w:type="auto"/>
            <w:tcBorders>
              <w:top w:val="nil"/>
              <w:left w:val="nil"/>
              <w:bottom w:val="single" w:sz="4" w:space="0" w:color="auto"/>
              <w:right w:val="single" w:sz="4" w:space="0" w:color="auto"/>
            </w:tcBorders>
            <w:shd w:val="clear" w:color="000000" w:fill="FFFFFF"/>
            <w:vAlign w:val="center"/>
            <w:hideMark/>
          </w:tcPr>
          <w:p w14:paraId="470D1968"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PROV 058 Caja chica</w:t>
            </w:r>
          </w:p>
        </w:tc>
        <w:tc>
          <w:tcPr>
            <w:tcW w:w="0" w:type="auto"/>
            <w:tcBorders>
              <w:top w:val="nil"/>
              <w:left w:val="nil"/>
              <w:bottom w:val="single" w:sz="4" w:space="0" w:color="auto"/>
              <w:right w:val="single" w:sz="4" w:space="0" w:color="auto"/>
            </w:tcBorders>
            <w:shd w:val="clear" w:color="000000" w:fill="FFFFFF"/>
            <w:vAlign w:val="center"/>
            <w:hideMark/>
          </w:tcPr>
          <w:p w14:paraId="5C947B6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de Proveeduría</w:t>
            </w:r>
          </w:p>
        </w:tc>
      </w:tr>
      <w:tr w:rsidR="00C64E91" w:rsidRPr="00BF2076" w14:paraId="5E2F5AB6" w14:textId="77777777" w:rsidTr="001E5C55">
        <w:trPr>
          <w:trHeight w:val="759"/>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26302A"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20</w:t>
            </w:r>
          </w:p>
        </w:tc>
        <w:tc>
          <w:tcPr>
            <w:tcW w:w="0" w:type="auto"/>
            <w:tcBorders>
              <w:top w:val="nil"/>
              <w:left w:val="nil"/>
              <w:bottom w:val="single" w:sz="4" w:space="0" w:color="auto"/>
              <w:right w:val="single" w:sz="4" w:space="0" w:color="auto"/>
            </w:tcBorders>
            <w:shd w:val="clear" w:color="000000" w:fill="FFFFFF"/>
            <w:vAlign w:val="center"/>
            <w:hideMark/>
          </w:tcPr>
          <w:p w14:paraId="5A1281C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DP 002 “Atención de la Defensa Pública a la población privada de libertad”</w:t>
            </w:r>
          </w:p>
        </w:tc>
        <w:tc>
          <w:tcPr>
            <w:tcW w:w="0" w:type="auto"/>
            <w:tcBorders>
              <w:top w:val="nil"/>
              <w:left w:val="nil"/>
              <w:bottom w:val="single" w:sz="4" w:space="0" w:color="auto"/>
              <w:right w:val="single" w:sz="4" w:space="0" w:color="auto"/>
            </w:tcBorders>
            <w:shd w:val="clear" w:color="000000" w:fill="FFFFFF"/>
            <w:vAlign w:val="center"/>
            <w:hideMark/>
          </w:tcPr>
          <w:p w14:paraId="1309131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Defensa Pública</w:t>
            </w:r>
          </w:p>
        </w:tc>
      </w:tr>
      <w:tr w:rsidR="00C64E91" w:rsidRPr="00BF2076" w14:paraId="67DB3FD6" w14:textId="77777777" w:rsidTr="001E5C55">
        <w:trPr>
          <w:trHeight w:val="543"/>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B7D8C6"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21</w:t>
            </w:r>
          </w:p>
        </w:tc>
        <w:tc>
          <w:tcPr>
            <w:tcW w:w="0" w:type="auto"/>
            <w:tcBorders>
              <w:top w:val="nil"/>
              <w:left w:val="nil"/>
              <w:bottom w:val="single" w:sz="4" w:space="0" w:color="auto"/>
              <w:right w:val="single" w:sz="4" w:space="0" w:color="auto"/>
            </w:tcBorders>
            <w:shd w:val="clear" w:color="000000" w:fill="FFFFFF"/>
            <w:vAlign w:val="center"/>
            <w:hideMark/>
          </w:tcPr>
          <w:p w14:paraId="7D0409E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AR 007 Mantenimiento y Reparaciones</w:t>
            </w:r>
          </w:p>
        </w:tc>
        <w:tc>
          <w:tcPr>
            <w:tcW w:w="0" w:type="auto"/>
            <w:tcBorders>
              <w:top w:val="nil"/>
              <w:left w:val="nil"/>
              <w:bottom w:val="single" w:sz="4" w:space="0" w:color="auto"/>
              <w:right w:val="single" w:sz="4" w:space="0" w:color="auto"/>
            </w:tcBorders>
            <w:shd w:val="clear" w:color="000000" w:fill="FFFFFF"/>
            <w:vAlign w:val="center"/>
            <w:hideMark/>
          </w:tcPr>
          <w:p w14:paraId="1EFCEB4A"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Administraciones Regionales</w:t>
            </w:r>
          </w:p>
        </w:tc>
      </w:tr>
      <w:tr w:rsidR="00C64E91" w:rsidRPr="00BF2076" w14:paraId="55E17981" w14:textId="77777777" w:rsidTr="001E5C55">
        <w:trPr>
          <w:trHeight w:val="57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2CD94B"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22</w:t>
            </w:r>
          </w:p>
        </w:tc>
        <w:tc>
          <w:tcPr>
            <w:tcW w:w="0" w:type="auto"/>
            <w:tcBorders>
              <w:top w:val="nil"/>
              <w:left w:val="nil"/>
              <w:bottom w:val="single" w:sz="4" w:space="0" w:color="auto"/>
              <w:right w:val="single" w:sz="4" w:space="0" w:color="auto"/>
            </w:tcBorders>
            <w:shd w:val="clear" w:color="000000" w:fill="FFFFFF"/>
            <w:vAlign w:val="center"/>
            <w:hideMark/>
          </w:tcPr>
          <w:p w14:paraId="1099094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 xml:space="preserve">TCA 007 Resolución de Medidas Cautelares Ante </w:t>
            </w:r>
            <w:proofErr w:type="spellStart"/>
            <w:r w:rsidRPr="00BF2076">
              <w:rPr>
                <w:rFonts w:ascii="Arial" w:eastAsia="Times New Roman" w:hAnsi="Arial" w:cs="Arial"/>
                <w:color w:val="000000"/>
                <w:lang w:eastAsia="es-CR"/>
              </w:rPr>
              <w:t>Causam</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5A06E73A"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Tribunal Contencioso Administrativo</w:t>
            </w:r>
          </w:p>
        </w:tc>
      </w:tr>
      <w:tr w:rsidR="00C64E91" w:rsidRPr="00BF2076" w14:paraId="3B9EB2A2" w14:textId="77777777" w:rsidTr="001E5C55">
        <w:trPr>
          <w:trHeight w:val="418"/>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FF371C"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23</w:t>
            </w:r>
          </w:p>
        </w:tc>
        <w:tc>
          <w:tcPr>
            <w:tcW w:w="0" w:type="auto"/>
            <w:tcBorders>
              <w:top w:val="nil"/>
              <w:left w:val="nil"/>
              <w:bottom w:val="single" w:sz="4" w:space="0" w:color="auto"/>
              <w:right w:val="single" w:sz="4" w:space="0" w:color="auto"/>
            </w:tcBorders>
            <w:shd w:val="clear" w:color="000000" w:fill="FFFFFF"/>
            <w:vAlign w:val="center"/>
            <w:hideMark/>
          </w:tcPr>
          <w:p w14:paraId="6AF20091"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GH 009 Gestión de seguridad y accesos</w:t>
            </w:r>
          </w:p>
        </w:tc>
        <w:tc>
          <w:tcPr>
            <w:tcW w:w="0" w:type="auto"/>
            <w:tcBorders>
              <w:top w:val="nil"/>
              <w:left w:val="nil"/>
              <w:bottom w:val="single" w:sz="4" w:space="0" w:color="auto"/>
              <w:right w:val="single" w:sz="4" w:space="0" w:color="auto"/>
            </w:tcBorders>
            <w:shd w:val="clear" w:color="000000" w:fill="FFFFFF"/>
            <w:vAlign w:val="center"/>
            <w:hideMark/>
          </w:tcPr>
          <w:p w14:paraId="610C9AE2"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Dirección de Gestión Humana</w:t>
            </w:r>
          </w:p>
        </w:tc>
      </w:tr>
      <w:tr w:rsidR="00C64E91" w:rsidRPr="00BF2076" w14:paraId="72BE9A41" w14:textId="77777777" w:rsidTr="001E5C55">
        <w:trPr>
          <w:trHeight w:val="8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37C538"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24</w:t>
            </w:r>
          </w:p>
        </w:tc>
        <w:tc>
          <w:tcPr>
            <w:tcW w:w="0" w:type="auto"/>
            <w:tcBorders>
              <w:top w:val="nil"/>
              <w:left w:val="nil"/>
              <w:bottom w:val="single" w:sz="4" w:space="0" w:color="auto"/>
              <w:right w:val="single" w:sz="4" w:space="0" w:color="auto"/>
            </w:tcBorders>
            <w:shd w:val="clear" w:color="000000" w:fill="FFFFFF"/>
            <w:vAlign w:val="center"/>
            <w:hideMark/>
          </w:tcPr>
          <w:p w14:paraId="4095E36A"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OIJ 092 Atención adecuada en los lugares donde se presenten eventos de crisis</w:t>
            </w:r>
          </w:p>
        </w:tc>
        <w:tc>
          <w:tcPr>
            <w:tcW w:w="0" w:type="auto"/>
            <w:tcBorders>
              <w:top w:val="nil"/>
              <w:left w:val="nil"/>
              <w:bottom w:val="single" w:sz="4" w:space="0" w:color="auto"/>
              <w:right w:val="single" w:sz="4" w:space="0" w:color="auto"/>
            </w:tcBorders>
            <w:shd w:val="clear" w:color="000000" w:fill="FFFFFF"/>
            <w:vAlign w:val="center"/>
            <w:hideMark/>
          </w:tcPr>
          <w:p w14:paraId="51422CD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Organismo de Investigación Judicial (OIJ)</w:t>
            </w:r>
          </w:p>
        </w:tc>
      </w:tr>
      <w:tr w:rsidR="00C64E91" w:rsidRPr="00BF2076" w14:paraId="76A4F151" w14:textId="77777777" w:rsidTr="001E5C55">
        <w:trPr>
          <w:trHeight w:val="96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309645"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25</w:t>
            </w:r>
          </w:p>
        </w:tc>
        <w:tc>
          <w:tcPr>
            <w:tcW w:w="0" w:type="auto"/>
            <w:tcBorders>
              <w:top w:val="nil"/>
              <w:left w:val="nil"/>
              <w:bottom w:val="single" w:sz="4" w:space="0" w:color="auto"/>
              <w:right w:val="single" w:sz="4" w:space="0" w:color="auto"/>
            </w:tcBorders>
            <w:shd w:val="clear" w:color="000000" w:fill="FFFFFF"/>
            <w:vAlign w:val="center"/>
            <w:hideMark/>
          </w:tcPr>
          <w:p w14:paraId="040182DA"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 xml:space="preserve">JPA 001 Solicitudes y entregas de </w:t>
            </w:r>
            <w:proofErr w:type="spellStart"/>
            <w:r w:rsidRPr="00BF2076">
              <w:rPr>
                <w:rFonts w:ascii="Arial" w:eastAsia="Times New Roman" w:hAnsi="Arial" w:cs="Arial"/>
                <w:color w:val="000000"/>
                <w:lang w:eastAsia="es-CR"/>
              </w:rPr>
              <w:t>apremios</w:t>
            </w:r>
            <w:proofErr w:type="spellEnd"/>
            <w:r w:rsidRPr="00BF2076">
              <w:rPr>
                <w:rFonts w:ascii="Arial" w:eastAsia="Times New Roman" w:hAnsi="Arial" w:cs="Arial"/>
                <w:color w:val="000000"/>
                <w:lang w:eastAsia="es-CR"/>
              </w:rPr>
              <w:t xml:space="preserve">, giros de dineros, permisos y salidas del país, libertades y beneficios </w:t>
            </w:r>
          </w:p>
        </w:tc>
        <w:tc>
          <w:tcPr>
            <w:tcW w:w="0" w:type="auto"/>
            <w:tcBorders>
              <w:top w:val="nil"/>
              <w:left w:val="nil"/>
              <w:bottom w:val="single" w:sz="4" w:space="0" w:color="auto"/>
              <w:right w:val="single" w:sz="4" w:space="0" w:color="auto"/>
            </w:tcBorders>
            <w:shd w:val="clear" w:color="000000" w:fill="FFFFFF"/>
            <w:vAlign w:val="center"/>
            <w:hideMark/>
          </w:tcPr>
          <w:p w14:paraId="490597F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Juzgado de Pensiones Alimentarias</w:t>
            </w:r>
          </w:p>
        </w:tc>
      </w:tr>
      <w:tr w:rsidR="00C64E91" w:rsidRPr="00BF2076" w14:paraId="78F84214" w14:textId="77777777" w:rsidTr="001E5C55">
        <w:trPr>
          <w:trHeight w:val="409"/>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CAAEE8"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26</w:t>
            </w:r>
          </w:p>
        </w:tc>
        <w:tc>
          <w:tcPr>
            <w:tcW w:w="0" w:type="auto"/>
            <w:tcBorders>
              <w:top w:val="nil"/>
              <w:left w:val="nil"/>
              <w:bottom w:val="single" w:sz="4" w:space="0" w:color="auto"/>
              <w:right w:val="single" w:sz="4" w:space="0" w:color="auto"/>
            </w:tcBorders>
            <w:shd w:val="clear" w:color="000000" w:fill="FFFFFF"/>
            <w:vAlign w:val="center"/>
            <w:hideMark/>
          </w:tcPr>
          <w:p w14:paraId="6AA4C522"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FICO 009 Gestión de Caja Chica</w:t>
            </w:r>
          </w:p>
        </w:tc>
        <w:tc>
          <w:tcPr>
            <w:tcW w:w="0" w:type="auto"/>
            <w:tcBorders>
              <w:top w:val="nil"/>
              <w:left w:val="nil"/>
              <w:bottom w:val="single" w:sz="4" w:space="0" w:color="auto"/>
              <w:right w:val="single" w:sz="4" w:space="0" w:color="auto"/>
            </w:tcBorders>
            <w:shd w:val="clear" w:color="000000" w:fill="FFFFFF"/>
            <w:vAlign w:val="center"/>
            <w:hideMark/>
          </w:tcPr>
          <w:p w14:paraId="4E2B94CC"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Financiero Contable</w:t>
            </w:r>
          </w:p>
        </w:tc>
      </w:tr>
      <w:tr w:rsidR="00C64E91" w:rsidRPr="00BF2076" w14:paraId="4229D062" w14:textId="77777777" w:rsidTr="001E5C55">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0BEFA6"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27</w:t>
            </w:r>
          </w:p>
        </w:tc>
        <w:tc>
          <w:tcPr>
            <w:tcW w:w="0" w:type="auto"/>
            <w:tcBorders>
              <w:top w:val="nil"/>
              <w:left w:val="nil"/>
              <w:bottom w:val="single" w:sz="4" w:space="0" w:color="auto"/>
              <w:right w:val="single" w:sz="4" w:space="0" w:color="auto"/>
            </w:tcBorders>
            <w:shd w:val="clear" w:color="000000" w:fill="FFFFFF"/>
            <w:vAlign w:val="center"/>
            <w:hideMark/>
          </w:tcPr>
          <w:p w14:paraId="4FF5B335"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JCTR 015 Notificación de medidas de protección</w:t>
            </w:r>
          </w:p>
        </w:tc>
        <w:tc>
          <w:tcPr>
            <w:tcW w:w="0" w:type="auto"/>
            <w:tcBorders>
              <w:top w:val="nil"/>
              <w:left w:val="nil"/>
              <w:bottom w:val="single" w:sz="4" w:space="0" w:color="auto"/>
              <w:right w:val="single" w:sz="4" w:space="0" w:color="auto"/>
            </w:tcBorders>
            <w:shd w:val="clear" w:color="000000" w:fill="FFFFFF"/>
            <w:vAlign w:val="center"/>
            <w:hideMark/>
          </w:tcPr>
          <w:p w14:paraId="1FE8D46B"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Violencia Doméstica</w:t>
            </w:r>
          </w:p>
        </w:tc>
      </w:tr>
      <w:tr w:rsidR="00C64E91" w:rsidRPr="00BF2076" w14:paraId="0AE22F54" w14:textId="77777777" w:rsidTr="001E5C55">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2C0C54"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lastRenderedPageBreak/>
              <w:t>28</w:t>
            </w:r>
          </w:p>
        </w:tc>
        <w:tc>
          <w:tcPr>
            <w:tcW w:w="0" w:type="auto"/>
            <w:tcBorders>
              <w:top w:val="nil"/>
              <w:left w:val="nil"/>
              <w:bottom w:val="single" w:sz="4" w:space="0" w:color="auto"/>
              <w:right w:val="single" w:sz="4" w:space="0" w:color="auto"/>
            </w:tcBorders>
            <w:shd w:val="clear" w:color="000000" w:fill="FFFFFF"/>
            <w:vAlign w:val="center"/>
            <w:hideMark/>
          </w:tcPr>
          <w:p w14:paraId="09E1CC5C"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MP 002 Ingreso y toma de denuncia</w:t>
            </w:r>
          </w:p>
        </w:tc>
        <w:tc>
          <w:tcPr>
            <w:tcW w:w="0" w:type="auto"/>
            <w:tcBorders>
              <w:top w:val="nil"/>
              <w:left w:val="nil"/>
              <w:bottom w:val="single" w:sz="4" w:space="0" w:color="auto"/>
              <w:right w:val="single" w:sz="4" w:space="0" w:color="auto"/>
            </w:tcBorders>
            <w:shd w:val="clear" w:color="000000" w:fill="FFFFFF"/>
            <w:vAlign w:val="center"/>
            <w:hideMark/>
          </w:tcPr>
          <w:p w14:paraId="366990BB"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Ministerio Público</w:t>
            </w:r>
          </w:p>
        </w:tc>
      </w:tr>
      <w:tr w:rsidR="00C64E91" w:rsidRPr="00BF2076" w14:paraId="4830ED22" w14:textId="77777777" w:rsidTr="001E5C55">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3E5161"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29</w:t>
            </w:r>
          </w:p>
        </w:tc>
        <w:tc>
          <w:tcPr>
            <w:tcW w:w="0" w:type="auto"/>
            <w:tcBorders>
              <w:top w:val="nil"/>
              <w:left w:val="nil"/>
              <w:bottom w:val="single" w:sz="4" w:space="0" w:color="auto"/>
              <w:right w:val="single" w:sz="4" w:space="0" w:color="auto"/>
            </w:tcBorders>
            <w:shd w:val="clear" w:color="000000" w:fill="FFFFFF"/>
            <w:vAlign w:val="center"/>
            <w:hideMark/>
          </w:tcPr>
          <w:p w14:paraId="4BC4C1FE"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MP 008 Declaración de la Persona Imputada</w:t>
            </w:r>
          </w:p>
        </w:tc>
        <w:tc>
          <w:tcPr>
            <w:tcW w:w="0" w:type="auto"/>
            <w:tcBorders>
              <w:top w:val="nil"/>
              <w:left w:val="nil"/>
              <w:bottom w:val="single" w:sz="4" w:space="0" w:color="auto"/>
              <w:right w:val="single" w:sz="4" w:space="0" w:color="auto"/>
            </w:tcBorders>
            <w:shd w:val="clear" w:color="000000" w:fill="FFFFFF"/>
            <w:vAlign w:val="center"/>
            <w:hideMark/>
          </w:tcPr>
          <w:p w14:paraId="5652F940"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Ministerio Público</w:t>
            </w:r>
          </w:p>
        </w:tc>
      </w:tr>
      <w:tr w:rsidR="00C64E91" w:rsidRPr="00BF2076" w14:paraId="22427D2A" w14:textId="77777777" w:rsidTr="001E5C55">
        <w:trPr>
          <w:trHeight w:val="661"/>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0605E0"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30</w:t>
            </w:r>
          </w:p>
        </w:tc>
        <w:tc>
          <w:tcPr>
            <w:tcW w:w="0" w:type="auto"/>
            <w:tcBorders>
              <w:top w:val="nil"/>
              <w:left w:val="nil"/>
              <w:bottom w:val="single" w:sz="4" w:space="0" w:color="auto"/>
              <w:right w:val="single" w:sz="4" w:space="0" w:color="auto"/>
            </w:tcBorders>
            <w:shd w:val="clear" w:color="000000" w:fill="FFFFFF"/>
            <w:vAlign w:val="center"/>
            <w:hideMark/>
          </w:tcPr>
          <w:p w14:paraId="3A1C11A8"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OIJ 053 Custodia, traslado y recepción de drogas decomisadas</w:t>
            </w:r>
          </w:p>
        </w:tc>
        <w:tc>
          <w:tcPr>
            <w:tcW w:w="0" w:type="auto"/>
            <w:tcBorders>
              <w:top w:val="nil"/>
              <w:left w:val="nil"/>
              <w:bottom w:val="single" w:sz="4" w:space="0" w:color="auto"/>
              <w:right w:val="single" w:sz="4" w:space="0" w:color="auto"/>
            </w:tcBorders>
            <w:shd w:val="clear" w:color="000000" w:fill="FFFFFF"/>
            <w:vAlign w:val="center"/>
            <w:hideMark/>
          </w:tcPr>
          <w:p w14:paraId="61DE251C"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Organismo de Investigación Judicial (OIJ)</w:t>
            </w:r>
          </w:p>
        </w:tc>
      </w:tr>
      <w:tr w:rsidR="00C64E91" w:rsidRPr="00BF2076" w14:paraId="500D21C2" w14:textId="77777777" w:rsidTr="001E5C55">
        <w:trPr>
          <w:trHeight w:val="41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C86D80"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31</w:t>
            </w:r>
          </w:p>
        </w:tc>
        <w:tc>
          <w:tcPr>
            <w:tcW w:w="0" w:type="auto"/>
            <w:tcBorders>
              <w:top w:val="nil"/>
              <w:left w:val="nil"/>
              <w:bottom w:val="single" w:sz="4" w:space="0" w:color="auto"/>
              <w:right w:val="single" w:sz="4" w:space="0" w:color="auto"/>
            </w:tcBorders>
            <w:shd w:val="clear" w:color="000000" w:fill="FFFFFF"/>
            <w:vAlign w:val="center"/>
            <w:hideMark/>
          </w:tcPr>
          <w:p w14:paraId="031DBF0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OIJ 084 Peritajes Forenses</w:t>
            </w:r>
          </w:p>
        </w:tc>
        <w:tc>
          <w:tcPr>
            <w:tcW w:w="0" w:type="auto"/>
            <w:tcBorders>
              <w:top w:val="nil"/>
              <w:left w:val="nil"/>
              <w:bottom w:val="single" w:sz="4" w:space="0" w:color="auto"/>
              <w:right w:val="single" w:sz="4" w:space="0" w:color="auto"/>
            </w:tcBorders>
            <w:shd w:val="clear" w:color="000000" w:fill="FFFFFF"/>
            <w:vAlign w:val="center"/>
            <w:hideMark/>
          </w:tcPr>
          <w:p w14:paraId="2735A52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Organismo de Investigación Judicial (OIJ)</w:t>
            </w:r>
          </w:p>
        </w:tc>
      </w:tr>
      <w:tr w:rsidR="00C64E91" w:rsidRPr="00BF2076" w14:paraId="54052810" w14:textId="77777777" w:rsidTr="001E5C55">
        <w:trPr>
          <w:trHeight w:val="607"/>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D4EB7E"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32</w:t>
            </w:r>
          </w:p>
        </w:tc>
        <w:tc>
          <w:tcPr>
            <w:tcW w:w="0" w:type="auto"/>
            <w:tcBorders>
              <w:top w:val="nil"/>
              <w:left w:val="nil"/>
              <w:bottom w:val="single" w:sz="4" w:space="0" w:color="auto"/>
              <w:right w:val="single" w:sz="4" w:space="0" w:color="auto"/>
            </w:tcBorders>
            <w:shd w:val="clear" w:color="000000" w:fill="FFFFFF"/>
            <w:vAlign w:val="center"/>
            <w:hideMark/>
          </w:tcPr>
          <w:p w14:paraId="5D5AF659"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OIJ 058 Continuidad operativa de los sistemas informáticos</w:t>
            </w:r>
          </w:p>
        </w:tc>
        <w:tc>
          <w:tcPr>
            <w:tcW w:w="0" w:type="auto"/>
            <w:tcBorders>
              <w:top w:val="nil"/>
              <w:left w:val="nil"/>
              <w:bottom w:val="single" w:sz="4" w:space="0" w:color="auto"/>
              <w:right w:val="single" w:sz="4" w:space="0" w:color="auto"/>
            </w:tcBorders>
            <w:shd w:val="clear" w:color="000000" w:fill="FFFFFF"/>
            <w:vAlign w:val="center"/>
            <w:hideMark/>
          </w:tcPr>
          <w:p w14:paraId="05A9894E"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Organismo de Investigación Judicial (OIJ)</w:t>
            </w:r>
          </w:p>
        </w:tc>
      </w:tr>
      <w:tr w:rsidR="00C64E91" w:rsidRPr="00BF2076" w14:paraId="0BADE6D3" w14:textId="77777777" w:rsidTr="001E5C55">
        <w:trPr>
          <w:trHeight w:val="8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DEC687"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33</w:t>
            </w:r>
          </w:p>
        </w:tc>
        <w:tc>
          <w:tcPr>
            <w:tcW w:w="0" w:type="auto"/>
            <w:tcBorders>
              <w:top w:val="nil"/>
              <w:left w:val="nil"/>
              <w:bottom w:val="single" w:sz="4" w:space="0" w:color="auto"/>
              <w:right w:val="single" w:sz="4" w:space="0" w:color="auto"/>
            </w:tcBorders>
            <w:shd w:val="clear" w:color="000000" w:fill="FFFFFF"/>
            <w:vAlign w:val="center"/>
            <w:hideMark/>
          </w:tcPr>
          <w:p w14:paraId="5173054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OIJ 008 Autopsia médico legal e identificación de personas</w:t>
            </w:r>
          </w:p>
        </w:tc>
        <w:tc>
          <w:tcPr>
            <w:tcW w:w="0" w:type="auto"/>
            <w:tcBorders>
              <w:top w:val="nil"/>
              <w:left w:val="nil"/>
              <w:bottom w:val="single" w:sz="4" w:space="0" w:color="auto"/>
              <w:right w:val="single" w:sz="4" w:space="0" w:color="auto"/>
            </w:tcBorders>
            <w:shd w:val="clear" w:color="000000" w:fill="FFFFFF"/>
            <w:vAlign w:val="center"/>
            <w:hideMark/>
          </w:tcPr>
          <w:p w14:paraId="449E65A3"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Organismo de Investigación Judicial (OIJ)</w:t>
            </w:r>
          </w:p>
        </w:tc>
      </w:tr>
      <w:tr w:rsidR="00C64E91" w:rsidRPr="00BF2076" w14:paraId="0C67F543" w14:textId="77777777" w:rsidTr="001E5C55">
        <w:trPr>
          <w:trHeight w:val="603"/>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7CE081"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34</w:t>
            </w:r>
          </w:p>
        </w:tc>
        <w:tc>
          <w:tcPr>
            <w:tcW w:w="0" w:type="auto"/>
            <w:tcBorders>
              <w:top w:val="nil"/>
              <w:left w:val="nil"/>
              <w:bottom w:val="single" w:sz="4" w:space="0" w:color="auto"/>
              <w:right w:val="single" w:sz="4" w:space="0" w:color="auto"/>
            </w:tcBorders>
            <w:shd w:val="clear" w:color="000000" w:fill="FFFFFF"/>
            <w:vAlign w:val="center"/>
            <w:hideMark/>
          </w:tcPr>
          <w:p w14:paraId="36BD830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JVD 001 Solicitud de medidas de protección en materia de violencia doméstica</w:t>
            </w:r>
          </w:p>
        </w:tc>
        <w:tc>
          <w:tcPr>
            <w:tcW w:w="0" w:type="auto"/>
            <w:tcBorders>
              <w:top w:val="nil"/>
              <w:left w:val="nil"/>
              <w:bottom w:val="single" w:sz="4" w:space="0" w:color="auto"/>
              <w:right w:val="single" w:sz="4" w:space="0" w:color="auto"/>
            </w:tcBorders>
            <w:shd w:val="clear" w:color="000000" w:fill="FFFFFF"/>
            <w:vAlign w:val="center"/>
            <w:hideMark/>
          </w:tcPr>
          <w:p w14:paraId="1F57F53D"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Juzgado contra la Violencia Doméstica</w:t>
            </w:r>
          </w:p>
        </w:tc>
      </w:tr>
      <w:tr w:rsidR="00C64E91" w:rsidRPr="00BF2076" w14:paraId="1B271FBB" w14:textId="77777777" w:rsidTr="001E5C55">
        <w:trPr>
          <w:trHeight w:val="427"/>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38C57D"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35</w:t>
            </w:r>
          </w:p>
        </w:tc>
        <w:tc>
          <w:tcPr>
            <w:tcW w:w="0" w:type="auto"/>
            <w:tcBorders>
              <w:top w:val="nil"/>
              <w:left w:val="nil"/>
              <w:bottom w:val="single" w:sz="4" w:space="0" w:color="auto"/>
              <w:right w:val="single" w:sz="4" w:space="0" w:color="auto"/>
            </w:tcBorders>
            <w:shd w:val="clear" w:color="000000" w:fill="FFFFFF"/>
            <w:vAlign w:val="center"/>
            <w:hideMark/>
          </w:tcPr>
          <w:p w14:paraId="1BFCFE1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JEP 002 Modificación de pena o cumplimiento</w:t>
            </w:r>
          </w:p>
        </w:tc>
        <w:tc>
          <w:tcPr>
            <w:tcW w:w="0" w:type="auto"/>
            <w:tcBorders>
              <w:top w:val="nil"/>
              <w:left w:val="nil"/>
              <w:bottom w:val="single" w:sz="4" w:space="0" w:color="auto"/>
              <w:right w:val="single" w:sz="4" w:space="0" w:color="auto"/>
            </w:tcBorders>
            <w:shd w:val="clear" w:color="000000" w:fill="FFFFFF"/>
            <w:vAlign w:val="center"/>
            <w:hideMark/>
          </w:tcPr>
          <w:p w14:paraId="53AC7C3D"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Juzgado de Ejecución de la Pena</w:t>
            </w:r>
          </w:p>
        </w:tc>
      </w:tr>
      <w:tr w:rsidR="00C64E91" w:rsidRPr="00BF2076" w14:paraId="426D71B5" w14:textId="77777777" w:rsidTr="001E5C55">
        <w:trPr>
          <w:trHeight w:val="561"/>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F90E2B"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36</w:t>
            </w:r>
          </w:p>
        </w:tc>
        <w:tc>
          <w:tcPr>
            <w:tcW w:w="0" w:type="auto"/>
            <w:tcBorders>
              <w:top w:val="nil"/>
              <w:left w:val="nil"/>
              <w:bottom w:val="single" w:sz="4" w:space="0" w:color="auto"/>
              <w:right w:val="single" w:sz="4" w:space="0" w:color="auto"/>
            </w:tcBorders>
            <w:shd w:val="clear" w:color="000000" w:fill="FFFFFF"/>
            <w:vAlign w:val="center"/>
            <w:hideMark/>
          </w:tcPr>
          <w:p w14:paraId="5BA15B2A"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OIJ 030 Investigación e identificación criminal</w:t>
            </w:r>
          </w:p>
        </w:tc>
        <w:tc>
          <w:tcPr>
            <w:tcW w:w="0" w:type="auto"/>
            <w:tcBorders>
              <w:top w:val="nil"/>
              <w:left w:val="nil"/>
              <w:bottom w:val="single" w:sz="4" w:space="0" w:color="auto"/>
              <w:right w:val="single" w:sz="4" w:space="0" w:color="auto"/>
            </w:tcBorders>
            <w:shd w:val="clear" w:color="000000" w:fill="FFFFFF"/>
            <w:vAlign w:val="center"/>
            <w:hideMark/>
          </w:tcPr>
          <w:p w14:paraId="5833486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Organismo de Investigación Judicial (OIJ)</w:t>
            </w:r>
          </w:p>
        </w:tc>
      </w:tr>
      <w:tr w:rsidR="00C64E91" w:rsidRPr="00BF2076" w14:paraId="05473FAB" w14:textId="77777777" w:rsidTr="001E5C55">
        <w:trPr>
          <w:trHeight w:val="697"/>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B001DE"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37</w:t>
            </w:r>
          </w:p>
        </w:tc>
        <w:tc>
          <w:tcPr>
            <w:tcW w:w="0" w:type="auto"/>
            <w:tcBorders>
              <w:top w:val="nil"/>
              <w:left w:val="nil"/>
              <w:bottom w:val="single" w:sz="4" w:space="0" w:color="auto"/>
              <w:right w:val="single" w:sz="4" w:space="0" w:color="auto"/>
            </w:tcBorders>
            <w:shd w:val="clear" w:color="000000" w:fill="FFFFFF"/>
            <w:vAlign w:val="center"/>
            <w:hideMark/>
          </w:tcPr>
          <w:p w14:paraId="2A44AF0A"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DTIC 026 Gestionar las Operaciones</w:t>
            </w:r>
          </w:p>
        </w:tc>
        <w:tc>
          <w:tcPr>
            <w:tcW w:w="0" w:type="auto"/>
            <w:tcBorders>
              <w:top w:val="nil"/>
              <w:left w:val="nil"/>
              <w:bottom w:val="single" w:sz="4" w:space="0" w:color="auto"/>
              <w:right w:val="single" w:sz="4" w:space="0" w:color="auto"/>
            </w:tcBorders>
            <w:shd w:val="clear" w:color="000000" w:fill="FFFFFF"/>
            <w:vAlign w:val="center"/>
            <w:hideMark/>
          </w:tcPr>
          <w:p w14:paraId="27FBE32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Dirección de Tecnología de Información y Comunicaciones</w:t>
            </w:r>
          </w:p>
        </w:tc>
      </w:tr>
      <w:tr w:rsidR="00C64E91" w:rsidRPr="00BF2076" w14:paraId="44F454A0" w14:textId="77777777" w:rsidTr="001E5C55">
        <w:trPr>
          <w:trHeight w:val="693"/>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624270"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38</w:t>
            </w:r>
          </w:p>
        </w:tc>
        <w:tc>
          <w:tcPr>
            <w:tcW w:w="0" w:type="auto"/>
            <w:tcBorders>
              <w:top w:val="nil"/>
              <w:left w:val="nil"/>
              <w:bottom w:val="single" w:sz="4" w:space="0" w:color="auto"/>
              <w:right w:val="single" w:sz="4" w:space="0" w:color="auto"/>
            </w:tcBorders>
            <w:shd w:val="clear" w:color="000000" w:fill="FFFFFF"/>
            <w:vAlign w:val="center"/>
            <w:hideMark/>
          </w:tcPr>
          <w:p w14:paraId="699B88D1"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PCO 002 Campañas de comunicación de emergencia</w:t>
            </w:r>
          </w:p>
        </w:tc>
        <w:tc>
          <w:tcPr>
            <w:tcW w:w="0" w:type="auto"/>
            <w:tcBorders>
              <w:top w:val="nil"/>
              <w:left w:val="nil"/>
              <w:bottom w:val="single" w:sz="4" w:space="0" w:color="auto"/>
              <w:right w:val="single" w:sz="4" w:space="0" w:color="auto"/>
            </w:tcBorders>
            <w:shd w:val="clear" w:color="000000" w:fill="FFFFFF"/>
            <w:vAlign w:val="center"/>
            <w:hideMark/>
          </w:tcPr>
          <w:p w14:paraId="0EDCBABB"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de Prensa y Comunicación Organizacional</w:t>
            </w:r>
          </w:p>
        </w:tc>
      </w:tr>
      <w:tr w:rsidR="00C64E91" w:rsidRPr="00BF2076" w14:paraId="5F0498CE" w14:textId="77777777" w:rsidTr="001E5C55">
        <w:trPr>
          <w:trHeight w:val="419"/>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5F5CE8"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39</w:t>
            </w:r>
          </w:p>
        </w:tc>
        <w:tc>
          <w:tcPr>
            <w:tcW w:w="0" w:type="auto"/>
            <w:tcBorders>
              <w:top w:val="nil"/>
              <w:left w:val="nil"/>
              <w:bottom w:val="single" w:sz="4" w:space="0" w:color="auto"/>
              <w:right w:val="single" w:sz="4" w:space="0" w:color="auto"/>
            </w:tcBorders>
            <w:shd w:val="clear" w:color="000000" w:fill="FFFFFF"/>
            <w:vAlign w:val="center"/>
            <w:hideMark/>
          </w:tcPr>
          <w:p w14:paraId="217C27DE"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AR 017 Recepción de documentos</w:t>
            </w:r>
          </w:p>
        </w:tc>
        <w:tc>
          <w:tcPr>
            <w:tcW w:w="0" w:type="auto"/>
            <w:tcBorders>
              <w:top w:val="nil"/>
              <w:left w:val="nil"/>
              <w:bottom w:val="single" w:sz="4" w:space="0" w:color="auto"/>
              <w:right w:val="single" w:sz="4" w:space="0" w:color="auto"/>
            </w:tcBorders>
            <w:shd w:val="clear" w:color="000000" w:fill="FFFFFF"/>
            <w:vAlign w:val="center"/>
            <w:hideMark/>
          </w:tcPr>
          <w:p w14:paraId="33124598"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Administraciones Regionales</w:t>
            </w:r>
          </w:p>
        </w:tc>
      </w:tr>
      <w:tr w:rsidR="00C64E91" w:rsidRPr="00BF2076" w14:paraId="0E723299" w14:textId="77777777" w:rsidTr="001E5C55">
        <w:trPr>
          <w:trHeight w:val="69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6706B4"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40</w:t>
            </w:r>
          </w:p>
        </w:tc>
        <w:tc>
          <w:tcPr>
            <w:tcW w:w="0" w:type="auto"/>
            <w:tcBorders>
              <w:top w:val="nil"/>
              <w:left w:val="nil"/>
              <w:bottom w:val="single" w:sz="4" w:space="0" w:color="auto"/>
              <w:right w:val="single" w:sz="4" w:space="0" w:color="auto"/>
            </w:tcBorders>
            <w:shd w:val="clear" w:color="000000" w:fill="FFFFFF"/>
            <w:vAlign w:val="center"/>
            <w:hideMark/>
          </w:tcPr>
          <w:p w14:paraId="6179087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 013 Otorgamiento de claves de acceso a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7B47D98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Dirección Ejecutiva</w:t>
            </w:r>
          </w:p>
        </w:tc>
      </w:tr>
      <w:tr w:rsidR="00C64E91" w:rsidRPr="00BF2076" w14:paraId="52C08665" w14:textId="77777777" w:rsidTr="001E5C55">
        <w:trPr>
          <w:trHeight w:val="7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0BBD92"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41</w:t>
            </w:r>
          </w:p>
        </w:tc>
        <w:tc>
          <w:tcPr>
            <w:tcW w:w="0" w:type="auto"/>
            <w:tcBorders>
              <w:top w:val="nil"/>
              <w:left w:val="nil"/>
              <w:bottom w:val="single" w:sz="4" w:space="0" w:color="auto"/>
              <w:right w:val="single" w:sz="4" w:space="0" w:color="auto"/>
            </w:tcBorders>
            <w:shd w:val="clear" w:color="000000" w:fill="FFFFFF"/>
            <w:vAlign w:val="center"/>
            <w:hideMark/>
          </w:tcPr>
          <w:p w14:paraId="3374676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FICO 006 Gestión de Trasiego de información del Sistema de Depósitos Judiciales (SDJ)</w:t>
            </w:r>
          </w:p>
        </w:tc>
        <w:tc>
          <w:tcPr>
            <w:tcW w:w="0" w:type="auto"/>
            <w:tcBorders>
              <w:top w:val="nil"/>
              <w:left w:val="nil"/>
              <w:bottom w:val="single" w:sz="4" w:space="0" w:color="auto"/>
              <w:right w:val="single" w:sz="4" w:space="0" w:color="auto"/>
            </w:tcBorders>
            <w:shd w:val="clear" w:color="000000" w:fill="FFFFFF"/>
            <w:vAlign w:val="center"/>
            <w:hideMark/>
          </w:tcPr>
          <w:p w14:paraId="13AF9A56"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Financiero Contable</w:t>
            </w:r>
          </w:p>
        </w:tc>
      </w:tr>
      <w:tr w:rsidR="00C64E91" w:rsidRPr="00BF2076" w14:paraId="0C0BE07B" w14:textId="77777777" w:rsidTr="001E5C55">
        <w:trPr>
          <w:trHeight w:val="7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F0B086"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42</w:t>
            </w:r>
          </w:p>
        </w:tc>
        <w:tc>
          <w:tcPr>
            <w:tcW w:w="0" w:type="auto"/>
            <w:tcBorders>
              <w:top w:val="nil"/>
              <w:left w:val="nil"/>
              <w:bottom w:val="single" w:sz="4" w:space="0" w:color="auto"/>
              <w:right w:val="single" w:sz="4" w:space="0" w:color="auto"/>
            </w:tcBorders>
            <w:shd w:val="clear" w:color="000000" w:fill="FFFFFF"/>
            <w:vAlign w:val="center"/>
            <w:hideMark/>
          </w:tcPr>
          <w:p w14:paraId="32B0EABC"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FICO 012 Gestión de pago de asignaciones a personas jubiladas y pensionadas</w:t>
            </w:r>
          </w:p>
        </w:tc>
        <w:tc>
          <w:tcPr>
            <w:tcW w:w="0" w:type="auto"/>
            <w:tcBorders>
              <w:top w:val="nil"/>
              <w:left w:val="nil"/>
              <w:bottom w:val="single" w:sz="4" w:space="0" w:color="auto"/>
              <w:right w:val="single" w:sz="4" w:space="0" w:color="auto"/>
            </w:tcBorders>
            <w:shd w:val="clear" w:color="000000" w:fill="FFFFFF"/>
            <w:vAlign w:val="center"/>
            <w:hideMark/>
          </w:tcPr>
          <w:p w14:paraId="4829F0E8"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Financiero Contable</w:t>
            </w:r>
          </w:p>
        </w:tc>
      </w:tr>
      <w:tr w:rsidR="00C64E91" w:rsidRPr="00BF2076" w14:paraId="49342C7C" w14:textId="77777777" w:rsidTr="001E5C55">
        <w:trPr>
          <w:trHeight w:val="7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AF8D40"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43</w:t>
            </w:r>
          </w:p>
        </w:tc>
        <w:tc>
          <w:tcPr>
            <w:tcW w:w="0" w:type="auto"/>
            <w:tcBorders>
              <w:top w:val="nil"/>
              <w:left w:val="nil"/>
              <w:bottom w:val="single" w:sz="4" w:space="0" w:color="auto"/>
              <w:right w:val="single" w:sz="4" w:space="0" w:color="auto"/>
            </w:tcBorders>
            <w:shd w:val="clear" w:color="000000" w:fill="FFFFFF"/>
            <w:vAlign w:val="center"/>
            <w:hideMark/>
          </w:tcPr>
          <w:p w14:paraId="6FCA9D6C"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SRVGR 034 Asignación de transporte para el traslado de funcionarios judiciales</w:t>
            </w:r>
          </w:p>
        </w:tc>
        <w:tc>
          <w:tcPr>
            <w:tcW w:w="0" w:type="auto"/>
            <w:tcBorders>
              <w:top w:val="nil"/>
              <w:left w:val="nil"/>
              <w:bottom w:val="single" w:sz="4" w:space="0" w:color="auto"/>
              <w:right w:val="single" w:sz="4" w:space="0" w:color="auto"/>
            </w:tcBorders>
            <w:shd w:val="clear" w:color="000000" w:fill="FFFFFF"/>
            <w:vAlign w:val="center"/>
            <w:hideMark/>
          </w:tcPr>
          <w:p w14:paraId="4B063BE2"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de Servicios Generales</w:t>
            </w:r>
          </w:p>
        </w:tc>
      </w:tr>
      <w:tr w:rsidR="00C64E91" w:rsidRPr="00BF2076" w14:paraId="38B431B4" w14:textId="77777777" w:rsidTr="001E5C55">
        <w:trPr>
          <w:trHeight w:val="96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9B73A6"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lastRenderedPageBreak/>
              <w:t>44</w:t>
            </w:r>
          </w:p>
        </w:tc>
        <w:tc>
          <w:tcPr>
            <w:tcW w:w="0" w:type="auto"/>
            <w:tcBorders>
              <w:top w:val="nil"/>
              <w:left w:val="nil"/>
              <w:bottom w:val="single" w:sz="4" w:space="0" w:color="auto"/>
              <w:right w:val="single" w:sz="4" w:space="0" w:color="auto"/>
            </w:tcBorders>
            <w:shd w:val="clear" w:color="000000" w:fill="FFFFFF"/>
            <w:vAlign w:val="center"/>
            <w:hideMark/>
          </w:tcPr>
          <w:p w14:paraId="73B0A901"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MP 021 Trámite de solicitud de Protección Procesal y/o Extraprocesal de Víctimas, Testigos u otros intervinientes del proceso</w:t>
            </w:r>
          </w:p>
        </w:tc>
        <w:tc>
          <w:tcPr>
            <w:tcW w:w="0" w:type="auto"/>
            <w:tcBorders>
              <w:top w:val="nil"/>
              <w:left w:val="nil"/>
              <w:bottom w:val="single" w:sz="4" w:space="0" w:color="auto"/>
              <w:right w:val="single" w:sz="4" w:space="0" w:color="auto"/>
            </w:tcBorders>
            <w:shd w:val="clear" w:color="000000" w:fill="FFFFFF"/>
            <w:vAlign w:val="center"/>
            <w:hideMark/>
          </w:tcPr>
          <w:p w14:paraId="5B507563"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Ministerio Público</w:t>
            </w:r>
          </w:p>
        </w:tc>
      </w:tr>
      <w:tr w:rsidR="00C64E91" w:rsidRPr="00BF2076" w14:paraId="0B600141" w14:textId="77777777" w:rsidTr="001E5C55">
        <w:trPr>
          <w:trHeight w:val="7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E39EF4"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45</w:t>
            </w:r>
          </w:p>
        </w:tc>
        <w:tc>
          <w:tcPr>
            <w:tcW w:w="0" w:type="auto"/>
            <w:tcBorders>
              <w:top w:val="nil"/>
              <w:left w:val="nil"/>
              <w:bottom w:val="single" w:sz="4" w:space="0" w:color="auto"/>
              <w:right w:val="single" w:sz="4" w:space="0" w:color="auto"/>
            </w:tcBorders>
            <w:shd w:val="clear" w:color="000000" w:fill="FFFFFF"/>
            <w:vAlign w:val="center"/>
            <w:hideMark/>
          </w:tcPr>
          <w:p w14:paraId="7E55EB4D"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PLAN 025 Formulación del Anteproyecto de Presupuesto Institucional</w:t>
            </w:r>
          </w:p>
        </w:tc>
        <w:tc>
          <w:tcPr>
            <w:tcW w:w="0" w:type="auto"/>
            <w:tcBorders>
              <w:top w:val="nil"/>
              <w:left w:val="nil"/>
              <w:bottom w:val="single" w:sz="4" w:space="0" w:color="auto"/>
              <w:right w:val="single" w:sz="4" w:space="0" w:color="auto"/>
            </w:tcBorders>
            <w:shd w:val="clear" w:color="000000" w:fill="FFFFFF"/>
            <w:vAlign w:val="center"/>
            <w:hideMark/>
          </w:tcPr>
          <w:p w14:paraId="4130E222"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Dirección de Planificación</w:t>
            </w:r>
          </w:p>
        </w:tc>
      </w:tr>
      <w:tr w:rsidR="00C64E91" w:rsidRPr="00BF2076" w14:paraId="7D8E05B2" w14:textId="77777777" w:rsidTr="001E5C55">
        <w:trPr>
          <w:trHeight w:val="491"/>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1CD85A"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46</w:t>
            </w:r>
          </w:p>
        </w:tc>
        <w:tc>
          <w:tcPr>
            <w:tcW w:w="0" w:type="auto"/>
            <w:tcBorders>
              <w:top w:val="nil"/>
              <w:left w:val="nil"/>
              <w:bottom w:val="single" w:sz="4" w:space="0" w:color="auto"/>
              <w:right w:val="single" w:sz="4" w:space="0" w:color="auto"/>
            </w:tcBorders>
            <w:shd w:val="clear" w:color="000000" w:fill="FFFFFF"/>
            <w:noWrap/>
            <w:vAlign w:val="center"/>
            <w:hideMark/>
          </w:tcPr>
          <w:p w14:paraId="56A4E84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AR 009 Servicio de Transportes</w:t>
            </w:r>
          </w:p>
        </w:tc>
        <w:tc>
          <w:tcPr>
            <w:tcW w:w="0" w:type="auto"/>
            <w:tcBorders>
              <w:top w:val="nil"/>
              <w:left w:val="nil"/>
              <w:bottom w:val="single" w:sz="4" w:space="0" w:color="auto"/>
              <w:right w:val="single" w:sz="4" w:space="0" w:color="auto"/>
            </w:tcBorders>
            <w:shd w:val="clear" w:color="000000" w:fill="FFFFFF"/>
            <w:vAlign w:val="center"/>
            <w:hideMark/>
          </w:tcPr>
          <w:p w14:paraId="0F710308"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Administraciones Regionales</w:t>
            </w:r>
          </w:p>
        </w:tc>
      </w:tr>
      <w:tr w:rsidR="00C64E91" w:rsidRPr="00BF2076" w14:paraId="1D76658F" w14:textId="77777777" w:rsidTr="001E5C55">
        <w:trPr>
          <w:trHeight w:val="567"/>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7D7BEB"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47</w:t>
            </w:r>
          </w:p>
        </w:tc>
        <w:tc>
          <w:tcPr>
            <w:tcW w:w="0" w:type="auto"/>
            <w:tcBorders>
              <w:top w:val="nil"/>
              <w:left w:val="nil"/>
              <w:bottom w:val="single" w:sz="4" w:space="0" w:color="auto"/>
              <w:right w:val="single" w:sz="4" w:space="0" w:color="auto"/>
            </w:tcBorders>
            <w:shd w:val="clear" w:color="000000" w:fill="FFFFFF"/>
            <w:vAlign w:val="center"/>
            <w:hideMark/>
          </w:tcPr>
          <w:p w14:paraId="0507C2C3"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AR 013 Sistema de depósitos judiciales</w:t>
            </w:r>
          </w:p>
        </w:tc>
        <w:tc>
          <w:tcPr>
            <w:tcW w:w="0" w:type="auto"/>
            <w:tcBorders>
              <w:top w:val="nil"/>
              <w:left w:val="nil"/>
              <w:bottom w:val="single" w:sz="4" w:space="0" w:color="auto"/>
              <w:right w:val="single" w:sz="4" w:space="0" w:color="auto"/>
            </w:tcBorders>
            <w:shd w:val="clear" w:color="000000" w:fill="FFFFFF"/>
            <w:vAlign w:val="center"/>
            <w:hideMark/>
          </w:tcPr>
          <w:p w14:paraId="15C764E5"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Administraciones Regionales</w:t>
            </w:r>
          </w:p>
        </w:tc>
      </w:tr>
      <w:tr w:rsidR="00C64E91" w:rsidRPr="00BF2076" w14:paraId="329032C6" w14:textId="77777777" w:rsidTr="001E5C55">
        <w:trPr>
          <w:trHeight w:val="7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22D38C"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48</w:t>
            </w:r>
          </w:p>
        </w:tc>
        <w:tc>
          <w:tcPr>
            <w:tcW w:w="0" w:type="auto"/>
            <w:tcBorders>
              <w:top w:val="nil"/>
              <w:left w:val="nil"/>
              <w:bottom w:val="single" w:sz="4" w:space="0" w:color="auto"/>
              <w:right w:val="single" w:sz="4" w:space="0" w:color="auto"/>
            </w:tcBorders>
            <w:shd w:val="clear" w:color="000000" w:fill="FFFFFF"/>
            <w:vAlign w:val="center"/>
            <w:hideMark/>
          </w:tcPr>
          <w:p w14:paraId="6D1A8F5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GH 007 Proceso de pagos de salarios de las personas servidoras judiciales</w:t>
            </w:r>
          </w:p>
        </w:tc>
        <w:tc>
          <w:tcPr>
            <w:tcW w:w="0" w:type="auto"/>
            <w:tcBorders>
              <w:top w:val="nil"/>
              <w:left w:val="nil"/>
              <w:bottom w:val="single" w:sz="4" w:space="0" w:color="auto"/>
              <w:right w:val="single" w:sz="4" w:space="0" w:color="auto"/>
            </w:tcBorders>
            <w:shd w:val="clear" w:color="000000" w:fill="FFFFFF"/>
            <w:vAlign w:val="center"/>
            <w:hideMark/>
          </w:tcPr>
          <w:p w14:paraId="2EF971D1"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Dirección de Gestión Humana</w:t>
            </w:r>
          </w:p>
        </w:tc>
      </w:tr>
      <w:tr w:rsidR="00C64E91" w:rsidRPr="00BF2076" w14:paraId="37263532" w14:textId="77777777" w:rsidTr="001E5C55">
        <w:trPr>
          <w:trHeight w:val="531"/>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F89338"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49</w:t>
            </w:r>
          </w:p>
        </w:tc>
        <w:tc>
          <w:tcPr>
            <w:tcW w:w="0" w:type="auto"/>
            <w:tcBorders>
              <w:top w:val="nil"/>
              <w:left w:val="nil"/>
              <w:bottom w:val="single" w:sz="4" w:space="0" w:color="auto"/>
              <w:right w:val="single" w:sz="4" w:space="0" w:color="auto"/>
            </w:tcBorders>
            <w:shd w:val="clear" w:color="000000" w:fill="FFFFFF"/>
            <w:vAlign w:val="center"/>
            <w:hideMark/>
          </w:tcPr>
          <w:p w14:paraId="3B34BB83"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SIV 001 Recepción y resolución de recursos</w:t>
            </w:r>
          </w:p>
        </w:tc>
        <w:tc>
          <w:tcPr>
            <w:tcW w:w="0" w:type="auto"/>
            <w:tcBorders>
              <w:top w:val="nil"/>
              <w:left w:val="nil"/>
              <w:bottom w:val="single" w:sz="4" w:space="0" w:color="auto"/>
              <w:right w:val="single" w:sz="4" w:space="0" w:color="auto"/>
            </w:tcBorders>
            <w:shd w:val="clear" w:color="000000" w:fill="FFFFFF"/>
            <w:vAlign w:val="center"/>
            <w:hideMark/>
          </w:tcPr>
          <w:p w14:paraId="710A673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Sala Constitucional</w:t>
            </w:r>
          </w:p>
        </w:tc>
      </w:tr>
      <w:tr w:rsidR="00C64E91" w:rsidRPr="00BF2076" w14:paraId="490C5811" w14:textId="77777777" w:rsidTr="001E5C55">
        <w:trPr>
          <w:trHeight w:val="709"/>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D38A04"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50</w:t>
            </w:r>
          </w:p>
        </w:tc>
        <w:tc>
          <w:tcPr>
            <w:tcW w:w="0" w:type="auto"/>
            <w:tcBorders>
              <w:top w:val="nil"/>
              <w:left w:val="nil"/>
              <w:bottom w:val="single" w:sz="4" w:space="0" w:color="auto"/>
              <w:right w:val="single" w:sz="4" w:space="0" w:color="auto"/>
            </w:tcBorders>
            <w:shd w:val="clear" w:color="000000" w:fill="FFFFFF"/>
            <w:vAlign w:val="center"/>
            <w:hideMark/>
          </w:tcPr>
          <w:p w14:paraId="0162A6E8"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DTIC 027 DSS02 Gestionar Peticiones e Incidentes de Servicio</w:t>
            </w:r>
          </w:p>
        </w:tc>
        <w:tc>
          <w:tcPr>
            <w:tcW w:w="0" w:type="auto"/>
            <w:tcBorders>
              <w:top w:val="nil"/>
              <w:left w:val="nil"/>
              <w:bottom w:val="single" w:sz="4" w:space="0" w:color="auto"/>
              <w:right w:val="single" w:sz="4" w:space="0" w:color="auto"/>
            </w:tcBorders>
            <w:shd w:val="clear" w:color="000000" w:fill="FFFFFF"/>
            <w:vAlign w:val="center"/>
            <w:hideMark/>
          </w:tcPr>
          <w:p w14:paraId="40A9B18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Dirección de Tecnología de Información y Comunicaciones</w:t>
            </w:r>
          </w:p>
        </w:tc>
      </w:tr>
      <w:tr w:rsidR="00C64E91" w:rsidRPr="00BF2076" w14:paraId="3062BFC3" w14:textId="77777777" w:rsidTr="001E5C55">
        <w:trPr>
          <w:trHeight w:val="48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9B692D"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51</w:t>
            </w:r>
          </w:p>
        </w:tc>
        <w:tc>
          <w:tcPr>
            <w:tcW w:w="0" w:type="auto"/>
            <w:tcBorders>
              <w:top w:val="nil"/>
              <w:left w:val="nil"/>
              <w:bottom w:val="single" w:sz="4" w:space="0" w:color="auto"/>
              <w:right w:val="single" w:sz="4" w:space="0" w:color="auto"/>
            </w:tcBorders>
            <w:shd w:val="clear" w:color="000000" w:fill="FFFFFF"/>
            <w:vAlign w:val="center"/>
            <w:hideMark/>
          </w:tcPr>
          <w:p w14:paraId="5A1EDDDB"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RLAB 007 Calificación de huelga</w:t>
            </w:r>
          </w:p>
        </w:tc>
        <w:tc>
          <w:tcPr>
            <w:tcW w:w="0" w:type="auto"/>
            <w:tcBorders>
              <w:top w:val="nil"/>
              <w:left w:val="nil"/>
              <w:bottom w:val="single" w:sz="4" w:space="0" w:color="auto"/>
              <w:right w:val="single" w:sz="4" w:space="0" w:color="auto"/>
            </w:tcBorders>
            <w:shd w:val="clear" w:color="000000" w:fill="FFFFFF"/>
            <w:vAlign w:val="center"/>
            <w:hideMark/>
          </w:tcPr>
          <w:p w14:paraId="6D31F3CC"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Reforma Laboral</w:t>
            </w:r>
          </w:p>
        </w:tc>
      </w:tr>
      <w:tr w:rsidR="00C64E91" w:rsidRPr="00BF2076" w14:paraId="6AD0A896" w14:textId="77777777" w:rsidTr="001E5C55">
        <w:trPr>
          <w:trHeight w:val="461"/>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636FFC"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52</w:t>
            </w:r>
          </w:p>
        </w:tc>
        <w:tc>
          <w:tcPr>
            <w:tcW w:w="0" w:type="auto"/>
            <w:tcBorders>
              <w:top w:val="nil"/>
              <w:left w:val="nil"/>
              <w:bottom w:val="single" w:sz="4" w:space="0" w:color="auto"/>
              <w:right w:val="single" w:sz="4" w:space="0" w:color="auto"/>
            </w:tcBorders>
            <w:shd w:val="clear" w:color="000000" w:fill="FFFFFF"/>
            <w:vAlign w:val="center"/>
            <w:hideMark/>
          </w:tcPr>
          <w:p w14:paraId="1CCBEFB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AR 018 Comunicaciones judiciales</w:t>
            </w:r>
          </w:p>
        </w:tc>
        <w:tc>
          <w:tcPr>
            <w:tcW w:w="0" w:type="auto"/>
            <w:tcBorders>
              <w:top w:val="nil"/>
              <w:left w:val="nil"/>
              <w:bottom w:val="single" w:sz="4" w:space="0" w:color="auto"/>
              <w:right w:val="single" w:sz="4" w:space="0" w:color="auto"/>
            </w:tcBorders>
            <w:shd w:val="clear" w:color="000000" w:fill="FFFFFF"/>
            <w:vAlign w:val="center"/>
            <w:hideMark/>
          </w:tcPr>
          <w:p w14:paraId="56B7F8CD"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Administraciones Regionales</w:t>
            </w:r>
          </w:p>
        </w:tc>
      </w:tr>
      <w:tr w:rsidR="00C64E91" w:rsidRPr="00BF2076" w14:paraId="11089A91" w14:textId="77777777" w:rsidTr="001E5C55">
        <w:trPr>
          <w:trHeight w:val="28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E073B5"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53</w:t>
            </w:r>
          </w:p>
        </w:tc>
        <w:tc>
          <w:tcPr>
            <w:tcW w:w="0" w:type="auto"/>
            <w:tcBorders>
              <w:top w:val="nil"/>
              <w:left w:val="nil"/>
              <w:bottom w:val="single" w:sz="4" w:space="0" w:color="auto"/>
              <w:right w:val="single" w:sz="4" w:space="0" w:color="auto"/>
            </w:tcBorders>
            <w:shd w:val="clear" w:color="000000" w:fill="FFFFFF"/>
            <w:vAlign w:val="center"/>
            <w:hideMark/>
          </w:tcPr>
          <w:p w14:paraId="7AC3D246"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JPJUV 008 Medidas Cautelares</w:t>
            </w:r>
          </w:p>
        </w:tc>
        <w:tc>
          <w:tcPr>
            <w:tcW w:w="0" w:type="auto"/>
            <w:tcBorders>
              <w:top w:val="nil"/>
              <w:left w:val="nil"/>
              <w:bottom w:val="single" w:sz="4" w:space="0" w:color="auto"/>
              <w:right w:val="single" w:sz="4" w:space="0" w:color="auto"/>
            </w:tcBorders>
            <w:shd w:val="clear" w:color="000000" w:fill="FFFFFF"/>
            <w:vAlign w:val="center"/>
            <w:hideMark/>
          </w:tcPr>
          <w:p w14:paraId="4566BA5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Juzgado Penal Juvenil</w:t>
            </w:r>
          </w:p>
        </w:tc>
      </w:tr>
      <w:tr w:rsidR="00C64E91" w:rsidRPr="00BF2076" w14:paraId="68C72A47" w14:textId="77777777" w:rsidTr="001E5C55">
        <w:trPr>
          <w:trHeight w:val="451"/>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1E6E2B"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54</w:t>
            </w:r>
          </w:p>
        </w:tc>
        <w:tc>
          <w:tcPr>
            <w:tcW w:w="0" w:type="auto"/>
            <w:tcBorders>
              <w:top w:val="nil"/>
              <w:left w:val="nil"/>
              <w:bottom w:val="single" w:sz="4" w:space="0" w:color="auto"/>
              <w:right w:val="single" w:sz="4" w:space="0" w:color="auto"/>
            </w:tcBorders>
            <w:shd w:val="clear" w:color="000000" w:fill="FFFFFF"/>
            <w:vAlign w:val="center"/>
            <w:hideMark/>
          </w:tcPr>
          <w:p w14:paraId="347511A8"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CACMFJ 001 Nombramiento de personas juzgadoras</w:t>
            </w:r>
          </w:p>
        </w:tc>
        <w:tc>
          <w:tcPr>
            <w:tcW w:w="0" w:type="auto"/>
            <w:tcBorders>
              <w:top w:val="nil"/>
              <w:left w:val="nil"/>
              <w:bottom w:val="single" w:sz="4" w:space="0" w:color="auto"/>
              <w:right w:val="single" w:sz="4" w:space="0" w:color="auto"/>
            </w:tcBorders>
            <w:shd w:val="clear" w:color="000000" w:fill="FFFFFF"/>
            <w:vAlign w:val="center"/>
            <w:hideMark/>
          </w:tcPr>
          <w:p w14:paraId="0A33300D"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Centro de Apoyo Coordinación y Mejoramiento de la Función Jurisdiccional (CACMFJ)</w:t>
            </w:r>
          </w:p>
        </w:tc>
      </w:tr>
      <w:tr w:rsidR="00C64E91" w:rsidRPr="00BF2076" w14:paraId="5D0D6A39" w14:textId="77777777" w:rsidTr="001E5C55">
        <w:trPr>
          <w:trHeight w:val="7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ADD18A"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55</w:t>
            </w:r>
          </w:p>
        </w:tc>
        <w:tc>
          <w:tcPr>
            <w:tcW w:w="0" w:type="auto"/>
            <w:tcBorders>
              <w:top w:val="nil"/>
              <w:left w:val="nil"/>
              <w:bottom w:val="single" w:sz="4" w:space="0" w:color="auto"/>
              <w:right w:val="single" w:sz="4" w:space="0" w:color="auto"/>
            </w:tcBorders>
            <w:shd w:val="clear" w:color="000000" w:fill="FFFFFF"/>
            <w:vAlign w:val="center"/>
            <w:hideMark/>
          </w:tcPr>
          <w:p w14:paraId="164C7C9E"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MP 020 Trámite de solicitud de Anticipo Jurisdiccional de Prueba</w:t>
            </w:r>
          </w:p>
        </w:tc>
        <w:tc>
          <w:tcPr>
            <w:tcW w:w="0" w:type="auto"/>
            <w:tcBorders>
              <w:top w:val="nil"/>
              <w:left w:val="nil"/>
              <w:bottom w:val="single" w:sz="4" w:space="0" w:color="auto"/>
              <w:right w:val="single" w:sz="4" w:space="0" w:color="auto"/>
            </w:tcBorders>
            <w:shd w:val="clear" w:color="000000" w:fill="FFFFFF"/>
            <w:vAlign w:val="center"/>
            <w:hideMark/>
          </w:tcPr>
          <w:p w14:paraId="0F5578F1"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Ministerio Público</w:t>
            </w:r>
          </w:p>
        </w:tc>
      </w:tr>
      <w:tr w:rsidR="00C64E91" w:rsidRPr="00BF2076" w14:paraId="33F65451" w14:textId="77777777" w:rsidTr="001E5C55">
        <w:trPr>
          <w:trHeight w:val="7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B10125"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56</w:t>
            </w:r>
          </w:p>
        </w:tc>
        <w:tc>
          <w:tcPr>
            <w:tcW w:w="0" w:type="auto"/>
            <w:tcBorders>
              <w:top w:val="nil"/>
              <w:left w:val="nil"/>
              <w:bottom w:val="single" w:sz="4" w:space="0" w:color="auto"/>
              <w:right w:val="single" w:sz="4" w:space="0" w:color="auto"/>
            </w:tcBorders>
            <w:shd w:val="clear" w:color="000000" w:fill="FFFFFF"/>
            <w:vAlign w:val="center"/>
            <w:hideMark/>
          </w:tcPr>
          <w:p w14:paraId="2F85CC9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MP 022 Trámite al Aviso de Incumplimiento de Medidas Cautelares</w:t>
            </w:r>
          </w:p>
        </w:tc>
        <w:tc>
          <w:tcPr>
            <w:tcW w:w="0" w:type="auto"/>
            <w:tcBorders>
              <w:top w:val="nil"/>
              <w:left w:val="nil"/>
              <w:bottom w:val="single" w:sz="4" w:space="0" w:color="auto"/>
              <w:right w:val="single" w:sz="4" w:space="0" w:color="auto"/>
            </w:tcBorders>
            <w:shd w:val="clear" w:color="000000" w:fill="FFFFFF"/>
            <w:vAlign w:val="center"/>
            <w:hideMark/>
          </w:tcPr>
          <w:p w14:paraId="3B07C3FB"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Ministerio Público</w:t>
            </w:r>
          </w:p>
        </w:tc>
      </w:tr>
      <w:tr w:rsidR="00C64E91" w:rsidRPr="00BF2076" w14:paraId="26551698" w14:textId="77777777" w:rsidTr="001E5C55">
        <w:trPr>
          <w:trHeight w:val="511"/>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C0D82FE"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57</w:t>
            </w:r>
          </w:p>
        </w:tc>
        <w:tc>
          <w:tcPr>
            <w:tcW w:w="0" w:type="auto"/>
            <w:tcBorders>
              <w:top w:val="nil"/>
              <w:left w:val="nil"/>
              <w:bottom w:val="single" w:sz="4" w:space="0" w:color="auto"/>
              <w:right w:val="single" w:sz="4" w:space="0" w:color="auto"/>
            </w:tcBorders>
            <w:shd w:val="clear" w:color="000000" w:fill="FFFFFF"/>
            <w:vAlign w:val="center"/>
            <w:hideMark/>
          </w:tcPr>
          <w:p w14:paraId="7D66FC66"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JFAM 001 Medidas cautelares</w:t>
            </w:r>
          </w:p>
        </w:tc>
        <w:tc>
          <w:tcPr>
            <w:tcW w:w="0" w:type="auto"/>
            <w:tcBorders>
              <w:top w:val="nil"/>
              <w:left w:val="nil"/>
              <w:bottom w:val="single" w:sz="4" w:space="0" w:color="auto"/>
              <w:right w:val="single" w:sz="4" w:space="0" w:color="auto"/>
            </w:tcBorders>
            <w:shd w:val="clear" w:color="000000" w:fill="FFFFFF"/>
            <w:vAlign w:val="center"/>
            <w:hideMark/>
          </w:tcPr>
          <w:p w14:paraId="72EDC2B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Juzgado de Familia</w:t>
            </w:r>
          </w:p>
        </w:tc>
      </w:tr>
      <w:tr w:rsidR="00C64E91" w:rsidRPr="00BF2076" w14:paraId="49A49D6B" w14:textId="77777777" w:rsidTr="001E5C55">
        <w:trPr>
          <w:trHeight w:val="57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508CC7"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58</w:t>
            </w:r>
          </w:p>
        </w:tc>
        <w:tc>
          <w:tcPr>
            <w:tcW w:w="0" w:type="auto"/>
            <w:tcBorders>
              <w:top w:val="nil"/>
              <w:left w:val="nil"/>
              <w:bottom w:val="single" w:sz="4" w:space="0" w:color="auto"/>
              <w:right w:val="single" w:sz="4" w:space="0" w:color="auto"/>
            </w:tcBorders>
            <w:shd w:val="clear" w:color="000000" w:fill="FFFFFF"/>
            <w:vAlign w:val="center"/>
            <w:hideMark/>
          </w:tcPr>
          <w:p w14:paraId="123573AE"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 xml:space="preserve">TPEN 003 Resolución de causas en la Sección de Flagrancia </w:t>
            </w:r>
          </w:p>
        </w:tc>
        <w:tc>
          <w:tcPr>
            <w:tcW w:w="0" w:type="auto"/>
            <w:tcBorders>
              <w:top w:val="nil"/>
              <w:left w:val="nil"/>
              <w:bottom w:val="single" w:sz="4" w:space="0" w:color="auto"/>
              <w:right w:val="single" w:sz="4" w:space="0" w:color="auto"/>
            </w:tcBorders>
            <w:shd w:val="clear" w:color="000000" w:fill="FFFFFF"/>
            <w:vAlign w:val="center"/>
            <w:hideMark/>
          </w:tcPr>
          <w:p w14:paraId="27A39555"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Tribunal Penal de Juicio</w:t>
            </w:r>
          </w:p>
        </w:tc>
      </w:tr>
      <w:tr w:rsidR="00C64E91" w:rsidRPr="00BF2076" w14:paraId="02320967" w14:textId="77777777" w:rsidTr="001E5C55">
        <w:trPr>
          <w:trHeight w:val="7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B37ECE9"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59</w:t>
            </w:r>
          </w:p>
        </w:tc>
        <w:tc>
          <w:tcPr>
            <w:tcW w:w="0" w:type="auto"/>
            <w:tcBorders>
              <w:top w:val="nil"/>
              <w:left w:val="nil"/>
              <w:bottom w:val="single" w:sz="4" w:space="0" w:color="auto"/>
              <w:right w:val="single" w:sz="4" w:space="0" w:color="auto"/>
            </w:tcBorders>
            <w:shd w:val="clear" w:color="000000" w:fill="FFFFFF"/>
            <w:vAlign w:val="center"/>
            <w:hideMark/>
          </w:tcPr>
          <w:p w14:paraId="3B8874B8"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TPEN 004 Resolución de causas en la Sección Ordinaria / Apelaciones y extradiciones</w:t>
            </w:r>
          </w:p>
        </w:tc>
        <w:tc>
          <w:tcPr>
            <w:tcW w:w="0" w:type="auto"/>
            <w:tcBorders>
              <w:top w:val="nil"/>
              <w:left w:val="nil"/>
              <w:bottom w:val="single" w:sz="4" w:space="0" w:color="auto"/>
              <w:right w:val="single" w:sz="4" w:space="0" w:color="auto"/>
            </w:tcBorders>
            <w:shd w:val="clear" w:color="000000" w:fill="FFFFFF"/>
            <w:vAlign w:val="center"/>
            <w:hideMark/>
          </w:tcPr>
          <w:p w14:paraId="7CF29B05"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Tribunal Penal de Juicio</w:t>
            </w:r>
          </w:p>
        </w:tc>
      </w:tr>
      <w:tr w:rsidR="00C64E91" w:rsidRPr="00BF2076" w14:paraId="7CB0F467" w14:textId="77777777" w:rsidTr="001E5C55">
        <w:trPr>
          <w:trHeight w:val="38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9F6E30"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60</w:t>
            </w:r>
          </w:p>
        </w:tc>
        <w:tc>
          <w:tcPr>
            <w:tcW w:w="0" w:type="auto"/>
            <w:tcBorders>
              <w:top w:val="nil"/>
              <w:left w:val="nil"/>
              <w:bottom w:val="single" w:sz="4" w:space="0" w:color="auto"/>
              <w:right w:val="single" w:sz="4" w:space="0" w:color="auto"/>
            </w:tcBorders>
            <w:shd w:val="clear" w:color="000000" w:fill="FFFFFF"/>
            <w:vAlign w:val="center"/>
            <w:hideMark/>
          </w:tcPr>
          <w:p w14:paraId="03530302"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MP 019 Trámite de Solicitud Allanamiento</w:t>
            </w:r>
          </w:p>
        </w:tc>
        <w:tc>
          <w:tcPr>
            <w:tcW w:w="0" w:type="auto"/>
            <w:tcBorders>
              <w:top w:val="nil"/>
              <w:left w:val="nil"/>
              <w:bottom w:val="single" w:sz="4" w:space="0" w:color="auto"/>
              <w:right w:val="single" w:sz="4" w:space="0" w:color="auto"/>
            </w:tcBorders>
            <w:shd w:val="clear" w:color="000000" w:fill="FFFFFF"/>
            <w:vAlign w:val="center"/>
            <w:hideMark/>
          </w:tcPr>
          <w:p w14:paraId="22A7067F"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Ministerio Público</w:t>
            </w:r>
          </w:p>
        </w:tc>
      </w:tr>
      <w:tr w:rsidR="00C64E91" w:rsidRPr="00BF2076" w14:paraId="7224F025" w14:textId="77777777" w:rsidTr="001E5C55">
        <w:trPr>
          <w:trHeight w:val="459"/>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9D0217"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lastRenderedPageBreak/>
              <w:t>61</w:t>
            </w:r>
          </w:p>
        </w:tc>
        <w:tc>
          <w:tcPr>
            <w:tcW w:w="0" w:type="auto"/>
            <w:tcBorders>
              <w:top w:val="nil"/>
              <w:left w:val="nil"/>
              <w:bottom w:val="single" w:sz="4" w:space="0" w:color="auto"/>
              <w:right w:val="single" w:sz="4" w:space="0" w:color="auto"/>
            </w:tcBorders>
            <w:shd w:val="clear" w:color="000000" w:fill="FFFFFF"/>
            <w:vAlign w:val="center"/>
            <w:hideMark/>
          </w:tcPr>
          <w:p w14:paraId="4165EAC5"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MP 029 Recepción y Custodia de Armas y Explosivos</w:t>
            </w:r>
          </w:p>
        </w:tc>
        <w:tc>
          <w:tcPr>
            <w:tcW w:w="0" w:type="auto"/>
            <w:tcBorders>
              <w:top w:val="nil"/>
              <w:left w:val="nil"/>
              <w:bottom w:val="single" w:sz="4" w:space="0" w:color="auto"/>
              <w:right w:val="single" w:sz="4" w:space="0" w:color="auto"/>
            </w:tcBorders>
            <w:shd w:val="clear" w:color="000000" w:fill="FFFFFF"/>
            <w:vAlign w:val="center"/>
            <w:hideMark/>
          </w:tcPr>
          <w:p w14:paraId="7DEC6D2A"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Ministerio Público</w:t>
            </w:r>
          </w:p>
        </w:tc>
      </w:tr>
      <w:tr w:rsidR="00C64E91" w:rsidRPr="00BF2076" w14:paraId="7DB444B0" w14:textId="77777777" w:rsidTr="001E5C55">
        <w:trPr>
          <w:trHeight w:val="521"/>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1DC071"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62</w:t>
            </w:r>
          </w:p>
        </w:tc>
        <w:tc>
          <w:tcPr>
            <w:tcW w:w="0" w:type="auto"/>
            <w:tcBorders>
              <w:top w:val="nil"/>
              <w:left w:val="nil"/>
              <w:bottom w:val="single" w:sz="4" w:space="0" w:color="auto"/>
              <w:right w:val="single" w:sz="4" w:space="0" w:color="auto"/>
            </w:tcBorders>
            <w:shd w:val="clear" w:color="000000" w:fill="FFFFFF"/>
            <w:vAlign w:val="center"/>
            <w:hideMark/>
          </w:tcPr>
          <w:p w14:paraId="266C726A"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MP 016 Gestión de Secuestros de Evidencia</w:t>
            </w:r>
          </w:p>
        </w:tc>
        <w:tc>
          <w:tcPr>
            <w:tcW w:w="0" w:type="auto"/>
            <w:tcBorders>
              <w:top w:val="nil"/>
              <w:left w:val="nil"/>
              <w:bottom w:val="single" w:sz="4" w:space="0" w:color="auto"/>
              <w:right w:val="single" w:sz="4" w:space="0" w:color="auto"/>
            </w:tcBorders>
            <w:shd w:val="clear" w:color="000000" w:fill="FFFFFF"/>
            <w:vAlign w:val="center"/>
            <w:hideMark/>
          </w:tcPr>
          <w:p w14:paraId="296E0B4D"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Ministerio Público</w:t>
            </w:r>
          </w:p>
        </w:tc>
      </w:tr>
      <w:tr w:rsidR="00C64E91" w:rsidRPr="00BF2076" w14:paraId="2DC8782D" w14:textId="77777777" w:rsidTr="001E5C55">
        <w:trPr>
          <w:trHeight w:val="543"/>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C0B3A"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63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4076A2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MP 025 Recepción y Custodia de Evidencias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7FB82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Ministerio Público</w:t>
            </w:r>
          </w:p>
        </w:tc>
      </w:tr>
      <w:tr w:rsidR="00C64E91" w:rsidRPr="00BF2076" w14:paraId="784E6E61" w14:textId="77777777" w:rsidTr="001E5C55">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71F2D"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64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233F077"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MP 038 Solicitud y Declaratoria de Rebeldía. Control y Seguimiento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D9CED75"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Ministerio Público</w:t>
            </w:r>
          </w:p>
        </w:tc>
      </w:tr>
      <w:tr w:rsidR="00C64E91" w:rsidRPr="00BF2076" w14:paraId="369F288B" w14:textId="77777777" w:rsidTr="001E5C55">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73ED6703"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65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595CDF4"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SGCSJ 001 Dar trámite a las gestiones a conocer por la Corte Plena, el Consejo Superior y la Secretaría General de la Corte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F0B1130"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Secretaría General de la Corte</w:t>
            </w:r>
          </w:p>
        </w:tc>
      </w:tr>
      <w:tr w:rsidR="00C64E91" w:rsidRPr="00BF2076" w14:paraId="2C65262D" w14:textId="77777777" w:rsidTr="001E5C55">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12E328A0"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66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F9A4A95"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CTSERV 002 Atención de Consultas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D2C0268"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Contraloría de Servicios</w:t>
            </w:r>
          </w:p>
        </w:tc>
      </w:tr>
      <w:tr w:rsidR="00C64E91" w:rsidRPr="00BF2076" w14:paraId="4D238F88" w14:textId="77777777" w:rsidTr="001E5C55">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3F765062" w14:textId="77777777" w:rsidR="00C64E91" w:rsidRPr="00BF2076" w:rsidRDefault="00C64E91" w:rsidP="007F6EEE">
            <w:pPr>
              <w:spacing w:after="0" w:line="240" w:lineRule="auto"/>
              <w:jc w:val="center"/>
              <w:rPr>
                <w:rFonts w:ascii="Arial" w:eastAsia="Times New Roman" w:hAnsi="Arial" w:cs="Arial"/>
                <w:color w:val="000000"/>
                <w:lang w:eastAsia="es-CR"/>
              </w:rPr>
            </w:pPr>
            <w:r w:rsidRPr="00BF2076">
              <w:rPr>
                <w:rFonts w:ascii="Arial" w:eastAsia="Times New Roman" w:hAnsi="Arial" w:cs="Arial"/>
                <w:color w:val="000000"/>
                <w:lang w:eastAsia="es-CR"/>
              </w:rPr>
              <w:t>67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8F696BE"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ART 001 Impresión de formularios y documentación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701DA60" w14:textId="77777777" w:rsidR="00C64E91" w:rsidRPr="00BF2076" w:rsidRDefault="00C64E91" w:rsidP="007F6EEE">
            <w:pPr>
              <w:spacing w:after="0" w:line="240" w:lineRule="auto"/>
              <w:rPr>
                <w:rFonts w:ascii="Arial" w:eastAsia="Times New Roman" w:hAnsi="Arial" w:cs="Arial"/>
                <w:color w:val="000000"/>
                <w:lang w:eastAsia="es-CR"/>
              </w:rPr>
            </w:pPr>
            <w:r w:rsidRPr="00BF2076">
              <w:rPr>
                <w:rFonts w:ascii="Arial" w:eastAsia="Times New Roman" w:hAnsi="Arial" w:cs="Arial"/>
                <w:color w:val="000000"/>
                <w:lang w:eastAsia="es-CR"/>
              </w:rPr>
              <w:t>Departamento de Artes Gráficas</w:t>
            </w:r>
          </w:p>
        </w:tc>
      </w:tr>
    </w:tbl>
    <w:p w14:paraId="68463B81" w14:textId="77777777" w:rsidR="00C64E91" w:rsidRPr="00BF2076" w:rsidRDefault="00C64E91" w:rsidP="007F6EEE">
      <w:pPr>
        <w:spacing w:after="0" w:line="240" w:lineRule="auto"/>
        <w:rPr>
          <w:rFonts w:ascii="Arial" w:hAnsi="Arial" w:cs="Arial"/>
        </w:rPr>
      </w:pPr>
    </w:p>
    <w:p w14:paraId="6965C1AA" w14:textId="77777777" w:rsidR="00C64E91" w:rsidRPr="00BF2076" w:rsidRDefault="00C64E91" w:rsidP="007F6EEE">
      <w:pPr>
        <w:spacing w:after="0" w:line="240" w:lineRule="auto"/>
        <w:jc w:val="both"/>
        <w:rPr>
          <w:rFonts w:ascii="Arial" w:hAnsi="Arial" w:cs="Arial"/>
        </w:rPr>
      </w:pPr>
      <w:r w:rsidRPr="00BF2076">
        <w:rPr>
          <w:rFonts w:ascii="Arial" w:hAnsi="Arial" w:cs="Arial"/>
        </w:rPr>
        <w:t xml:space="preserve">En relación con esta lista, es necesario indicar que, para cada proceso u operación crítica se han desarrollado procedimientos para la contingencia ante una eventual interrupción de los servicios institucionales, por lo que </w:t>
      </w:r>
      <w:bookmarkStart w:id="4" w:name="_Hlk129265756"/>
      <w:r w:rsidRPr="00BF2076">
        <w:rPr>
          <w:rFonts w:ascii="Arial" w:hAnsi="Arial" w:cs="Arial"/>
        </w:rPr>
        <w:t>el Subproceso de Gestión de Continuidad del Servicio</w:t>
      </w:r>
      <w:bookmarkEnd w:id="4"/>
      <w:r w:rsidRPr="00BF2076">
        <w:rPr>
          <w:rFonts w:ascii="Arial" w:hAnsi="Arial" w:cs="Arial"/>
        </w:rPr>
        <w:t>, se encuentra desarrollando un plan de sensibilización - capacitación y la respectiva divulgación al personal judicial implicado, durante el primer semestre del 2023, para la ejecución de estos planes en el momento oportuno</w:t>
      </w:r>
    </w:p>
    <w:p w14:paraId="5E55BFB0" w14:textId="77777777" w:rsidR="007F6EEE" w:rsidRPr="00BF2076" w:rsidRDefault="007F6EEE" w:rsidP="007F6EEE">
      <w:pPr>
        <w:spacing w:after="0" w:line="240" w:lineRule="auto"/>
        <w:jc w:val="both"/>
        <w:rPr>
          <w:rFonts w:ascii="Arial" w:hAnsi="Arial" w:cs="Arial"/>
        </w:rPr>
      </w:pPr>
    </w:p>
    <w:p w14:paraId="7FC395FC" w14:textId="1B09B447" w:rsidR="00C64E91" w:rsidRPr="00BF2076" w:rsidRDefault="00C64E91" w:rsidP="007F6EEE">
      <w:pPr>
        <w:spacing w:after="0" w:line="240" w:lineRule="auto"/>
        <w:jc w:val="both"/>
        <w:rPr>
          <w:rFonts w:ascii="Arial" w:hAnsi="Arial" w:cs="Arial"/>
        </w:rPr>
      </w:pPr>
      <w:r w:rsidRPr="00BF2076">
        <w:rPr>
          <w:rFonts w:ascii="Arial" w:hAnsi="Arial" w:cs="Arial"/>
        </w:rPr>
        <w:t>Como meta para finalizar el año 2023, se realizará una actualización del BIA institucional que integre los procesos y operaciones críticas indicadas en este informe y cualquiera otra que surja del plan de actualización.</w:t>
      </w:r>
    </w:p>
    <w:p w14:paraId="2E1BEE9A" w14:textId="77777777" w:rsidR="007F6EEE" w:rsidRPr="00BF2076" w:rsidRDefault="007F6EEE" w:rsidP="007F6EEE">
      <w:pPr>
        <w:spacing w:after="0" w:line="240" w:lineRule="auto"/>
        <w:jc w:val="both"/>
        <w:rPr>
          <w:rFonts w:ascii="Arial" w:hAnsi="Arial" w:cs="Arial"/>
        </w:rPr>
      </w:pPr>
    </w:p>
    <w:p w14:paraId="0D5DCEB9" w14:textId="1AA7B01C" w:rsidR="00C64E91" w:rsidRPr="00BF2076" w:rsidRDefault="00C64E91" w:rsidP="007F6EEE">
      <w:pPr>
        <w:spacing w:after="0" w:line="240" w:lineRule="auto"/>
        <w:jc w:val="both"/>
        <w:rPr>
          <w:rFonts w:ascii="Arial" w:hAnsi="Arial" w:cs="Arial"/>
        </w:rPr>
      </w:pPr>
      <w:r w:rsidRPr="00BF2076">
        <w:rPr>
          <w:rFonts w:ascii="Arial" w:hAnsi="Arial" w:cs="Arial"/>
        </w:rPr>
        <w:t xml:space="preserve">Además, se encuentra en depuración el </w:t>
      </w:r>
      <w:proofErr w:type="spellStart"/>
      <w:r w:rsidRPr="00BF2076">
        <w:rPr>
          <w:rFonts w:ascii="Arial" w:hAnsi="Arial" w:cs="Arial"/>
        </w:rPr>
        <w:t>Sharepoint</w:t>
      </w:r>
      <w:proofErr w:type="spellEnd"/>
      <w:r w:rsidRPr="00BF2076">
        <w:rPr>
          <w:rFonts w:ascii="Arial" w:hAnsi="Arial" w:cs="Arial"/>
        </w:rPr>
        <w:t xml:space="preserve"> donde se ubica el “repositorio de Planes de Continuidad”, en donde las oficinas y despachos judiciales dueñas de procesos críticos podrán encontrar de manera fácil, ágil y ordenada los planes de contingencia para los diferentes escenarios.</w:t>
      </w:r>
    </w:p>
    <w:p w14:paraId="62D05184" w14:textId="77777777" w:rsidR="00C64E91" w:rsidRPr="00BF2076" w:rsidRDefault="00C64E91" w:rsidP="007F6EEE">
      <w:pPr>
        <w:spacing w:after="0" w:line="240" w:lineRule="auto"/>
        <w:rPr>
          <w:rFonts w:ascii="Arial" w:hAnsi="Arial" w:cs="Arial"/>
        </w:rPr>
      </w:pPr>
    </w:p>
    <w:p w14:paraId="6CD42BA3" w14:textId="77777777" w:rsidR="00C64E91" w:rsidRPr="00BF2076" w:rsidRDefault="00C64E91" w:rsidP="007F6EEE">
      <w:pPr>
        <w:pStyle w:val="Prrafodelista"/>
        <w:numPr>
          <w:ilvl w:val="0"/>
          <w:numId w:val="27"/>
        </w:numPr>
        <w:rPr>
          <w:rFonts w:ascii="Arial" w:eastAsia="Calibri" w:hAnsi="Arial" w:cs="Arial"/>
          <w:b/>
          <w:bCs/>
          <w:i/>
          <w:iCs/>
          <w:color w:val="4472C4" w:themeColor="accent1"/>
        </w:rPr>
      </w:pPr>
      <w:r w:rsidRPr="00BF2076">
        <w:rPr>
          <w:rStyle w:val="nfasisintenso"/>
          <w:rFonts w:ascii="Arial" w:eastAsia="Calibri" w:hAnsi="Arial" w:cs="Arial"/>
          <w:b/>
          <w:bCs/>
        </w:rPr>
        <w:t>Resumen:</w:t>
      </w:r>
    </w:p>
    <w:p w14:paraId="229B01A1" w14:textId="77777777" w:rsidR="00C64E91" w:rsidRPr="00BF2076" w:rsidRDefault="00C64E91" w:rsidP="007F6EEE">
      <w:pPr>
        <w:spacing w:after="0" w:line="240" w:lineRule="auto"/>
        <w:rPr>
          <w:rFonts w:ascii="Arial" w:hAnsi="Arial" w:cs="Arial"/>
        </w:rPr>
      </w:pPr>
    </w:p>
    <w:p w14:paraId="2F9A493E" w14:textId="77777777" w:rsidR="00C64E91" w:rsidRPr="00BF2076" w:rsidRDefault="00C64E91" w:rsidP="007F6EEE">
      <w:pPr>
        <w:spacing w:after="0" w:line="240" w:lineRule="auto"/>
        <w:jc w:val="both"/>
        <w:rPr>
          <w:rFonts w:ascii="Arial" w:hAnsi="Arial" w:cs="Arial"/>
        </w:rPr>
      </w:pPr>
      <w:r w:rsidRPr="00BF2076">
        <w:rPr>
          <w:rFonts w:ascii="Arial" w:hAnsi="Arial" w:cs="Arial"/>
        </w:rPr>
        <w:t xml:space="preserve">Desde el año 2019, el Poder Judicial cuenta con un el Informe del Análisis de Impacto al Servicio, el cual fue aprobado por el Consejo Superior en la sesión 103-19, del 26 de noviembre 2019, artículo XXIV. En este informe, se contemplaron 64 procesos críticos a nivel institucional, ante un evento disruptivo. </w:t>
      </w:r>
    </w:p>
    <w:p w14:paraId="2CDC97CD" w14:textId="77777777" w:rsidR="007F6EEE" w:rsidRPr="00BF2076" w:rsidRDefault="007F6EEE" w:rsidP="007F6EEE">
      <w:pPr>
        <w:spacing w:after="0" w:line="240" w:lineRule="auto"/>
        <w:jc w:val="both"/>
        <w:rPr>
          <w:rFonts w:ascii="Arial" w:hAnsi="Arial" w:cs="Arial"/>
        </w:rPr>
      </w:pPr>
    </w:p>
    <w:p w14:paraId="4CF89B80" w14:textId="009D47EA" w:rsidR="00C64E91" w:rsidRPr="00BF2076" w:rsidRDefault="00C64E91" w:rsidP="007F6EEE">
      <w:pPr>
        <w:spacing w:after="0" w:line="240" w:lineRule="auto"/>
        <w:jc w:val="both"/>
        <w:rPr>
          <w:rFonts w:ascii="Arial" w:hAnsi="Arial" w:cs="Arial"/>
        </w:rPr>
      </w:pPr>
      <w:r w:rsidRPr="00BF2076">
        <w:rPr>
          <w:rFonts w:ascii="Arial" w:hAnsi="Arial" w:cs="Arial"/>
        </w:rPr>
        <w:t>Durante el año 2022, a raíz de la amenaza de un ataque cibernético que inhabilite la plataforma tecnológica del Poder Judicial, el Consejo Superior ordenó a todos los despachos y oficinas judiciales, definir un plan de continuidad bajo ese escenario.</w:t>
      </w:r>
    </w:p>
    <w:p w14:paraId="2EFBB69A" w14:textId="77777777" w:rsidR="007F6EEE" w:rsidRPr="00BF2076" w:rsidRDefault="007F6EEE" w:rsidP="007F6EEE">
      <w:pPr>
        <w:spacing w:after="0" w:line="240" w:lineRule="auto"/>
        <w:jc w:val="both"/>
        <w:rPr>
          <w:rFonts w:ascii="Arial" w:hAnsi="Arial" w:cs="Arial"/>
        </w:rPr>
      </w:pPr>
    </w:p>
    <w:p w14:paraId="78725E61" w14:textId="25B86B5E" w:rsidR="00C64E91" w:rsidRPr="00BF2076" w:rsidRDefault="00C64E91" w:rsidP="007F6EEE">
      <w:pPr>
        <w:spacing w:after="0" w:line="240" w:lineRule="auto"/>
        <w:jc w:val="both"/>
        <w:rPr>
          <w:rFonts w:ascii="Arial" w:hAnsi="Arial" w:cs="Arial"/>
        </w:rPr>
      </w:pPr>
      <w:r w:rsidRPr="00BF2076">
        <w:rPr>
          <w:rFonts w:ascii="Arial" w:hAnsi="Arial" w:cs="Arial"/>
        </w:rPr>
        <w:lastRenderedPageBreak/>
        <w:t>Por otra parte, es necesario aclarar que en la gestión de la continuidad del servicio se consideran dos niveles:</w:t>
      </w:r>
      <w:r w:rsidRPr="00BF2076">
        <w:rPr>
          <w:rFonts w:ascii="Arial" w:hAnsi="Arial" w:cs="Arial"/>
          <w:b/>
          <w:bCs/>
        </w:rPr>
        <w:t xml:space="preserve"> a) </w:t>
      </w:r>
      <w:r w:rsidRPr="00BF2076">
        <w:rPr>
          <w:rFonts w:ascii="Arial" w:hAnsi="Arial" w:cs="Arial"/>
        </w:rPr>
        <w:t xml:space="preserve">la continuidad de nivel operativo de la oficina y </w:t>
      </w:r>
      <w:r w:rsidRPr="00BF2076">
        <w:rPr>
          <w:rFonts w:ascii="Arial" w:hAnsi="Arial" w:cs="Arial"/>
          <w:b/>
          <w:bCs/>
        </w:rPr>
        <w:t>b)</w:t>
      </w:r>
      <w:r w:rsidRPr="00BF2076">
        <w:rPr>
          <w:rFonts w:ascii="Arial" w:hAnsi="Arial" w:cs="Arial"/>
        </w:rPr>
        <w:t xml:space="preserve"> la continuidad para los procesos y servicios catalogados como críticos según el Análisis de Impacto al Servicio y a los cuales se les debe dar prioridad para el desarrollo de planes de continuidad, ante un estado de crisis formalmente declarado.  </w:t>
      </w:r>
    </w:p>
    <w:p w14:paraId="4A96371B" w14:textId="77777777" w:rsidR="007F6EEE" w:rsidRPr="00BF2076" w:rsidRDefault="007F6EEE" w:rsidP="007F6EEE">
      <w:pPr>
        <w:spacing w:after="0" w:line="240" w:lineRule="auto"/>
        <w:jc w:val="both"/>
        <w:rPr>
          <w:rFonts w:ascii="Arial" w:hAnsi="Arial" w:cs="Arial"/>
        </w:rPr>
      </w:pPr>
    </w:p>
    <w:p w14:paraId="569BAA1F" w14:textId="0998EBAE" w:rsidR="00C64E91" w:rsidRPr="00BF2076" w:rsidRDefault="00C64E91" w:rsidP="007F6EEE">
      <w:pPr>
        <w:spacing w:after="0" w:line="240" w:lineRule="auto"/>
        <w:jc w:val="both"/>
        <w:rPr>
          <w:rFonts w:ascii="Arial" w:hAnsi="Arial" w:cs="Arial"/>
        </w:rPr>
      </w:pPr>
      <w:r w:rsidRPr="00BF2076">
        <w:rPr>
          <w:rFonts w:ascii="Arial" w:hAnsi="Arial" w:cs="Arial"/>
        </w:rPr>
        <w:t xml:space="preserve">El escenario de indisponibilidad tecnológica afecta a casi la totalidad de los procesos críticos identificados a la fecha, pero también incide sobre una amplia lista de tareas o servicios internos y externos que son operativos, pero que se verían perjudicados al carecer de la plataforma tecnológica que da soporte a los procesos y servicios del Poder Judicial. </w:t>
      </w:r>
    </w:p>
    <w:p w14:paraId="0813B054" w14:textId="77777777" w:rsidR="007F6EEE" w:rsidRPr="00BF2076" w:rsidRDefault="007F6EEE" w:rsidP="007F6EEE">
      <w:pPr>
        <w:spacing w:after="0" w:line="240" w:lineRule="auto"/>
        <w:jc w:val="both"/>
        <w:rPr>
          <w:rFonts w:ascii="Arial" w:hAnsi="Arial" w:cs="Arial"/>
        </w:rPr>
      </w:pPr>
    </w:p>
    <w:p w14:paraId="2CDA3CE8" w14:textId="5ABFB871" w:rsidR="00C64E91" w:rsidRPr="00BF2076" w:rsidRDefault="00C64E91" w:rsidP="007F6EEE">
      <w:pPr>
        <w:spacing w:after="0" w:line="240" w:lineRule="auto"/>
        <w:jc w:val="both"/>
        <w:rPr>
          <w:rFonts w:ascii="Arial" w:hAnsi="Arial" w:cs="Arial"/>
        </w:rPr>
      </w:pPr>
      <w:r w:rsidRPr="00BF2076">
        <w:rPr>
          <w:rFonts w:ascii="Arial" w:hAnsi="Arial" w:cs="Arial"/>
        </w:rPr>
        <w:t xml:space="preserve">Como resultado de lo anterior, se han documentado 369 planes aportados por las oficinas y despachos judiciales en los 3 Ámbitos institucionales, que afectan tanto procesos de índole operativo como procesos formalmente establecidos como críticos y prioritarios. </w:t>
      </w:r>
    </w:p>
    <w:p w14:paraId="74CE3FAD" w14:textId="77777777" w:rsidR="007F6EEE" w:rsidRPr="00BF2076" w:rsidRDefault="007F6EEE" w:rsidP="007F6EEE">
      <w:pPr>
        <w:spacing w:after="0" w:line="240" w:lineRule="auto"/>
        <w:jc w:val="both"/>
        <w:rPr>
          <w:rFonts w:ascii="Arial" w:hAnsi="Arial" w:cs="Arial"/>
        </w:rPr>
      </w:pPr>
    </w:p>
    <w:p w14:paraId="4B5F5B5C" w14:textId="4AF074C7" w:rsidR="00C64E91" w:rsidRPr="00BF2076" w:rsidRDefault="007F6EEE" w:rsidP="007F6EEE">
      <w:pPr>
        <w:spacing w:after="0" w:line="240" w:lineRule="auto"/>
        <w:jc w:val="both"/>
        <w:rPr>
          <w:rFonts w:ascii="Arial" w:hAnsi="Arial" w:cs="Arial"/>
        </w:rPr>
      </w:pPr>
      <w:r w:rsidRPr="00BF2076">
        <w:rPr>
          <w:rFonts w:ascii="Arial" w:hAnsi="Arial" w:cs="Arial"/>
        </w:rPr>
        <w:t xml:space="preserve">A partir </w:t>
      </w:r>
      <w:r w:rsidR="00C64E91" w:rsidRPr="00BF2076">
        <w:rPr>
          <w:rFonts w:ascii="Arial" w:hAnsi="Arial" w:cs="Arial"/>
        </w:rPr>
        <w:t>de una revisión de los diferentes procesos críticos ya identificados, así como los surgidos a partir del escenario de indisponibilidad tecnológica total, se tiene la necesidad de actualizar la lista a un total de 67 procesos críticos.</w:t>
      </w:r>
    </w:p>
    <w:p w14:paraId="384F7170" w14:textId="77777777" w:rsidR="007F6EEE" w:rsidRPr="00BF2076" w:rsidRDefault="007F6EEE" w:rsidP="007F6EEE">
      <w:pPr>
        <w:spacing w:after="0" w:line="240" w:lineRule="auto"/>
        <w:jc w:val="both"/>
        <w:rPr>
          <w:rFonts w:ascii="Arial" w:hAnsi="Arial" w:cs="Arial"/>
        </w:rPr>
      </w:pPr>
    </w:p>
    <w:p w14:paraId="2440B26A" w14:textId="276DBF45" w:rsidR="00C64E91" w:rsidRPr="00BF2076" w:rsidRDefault="00C64E91" w:rsidP="007F6EEE">
      <w:pPr>
        <w:spacing w:after="0" w:line="240" w:lineRule="auto"/>
        <w:jc w:val="both"/>
        <w:rPr>
          <w:rFonts w:ascii="Arial" w:hAnsi="Arial" w:cs="Arial"/>
        </w:rPr>
      </w:pPr>
      <w:r w:rsidRPr="00BF2076">
        <w:rPr>
          <w:rFonts w:ascii="Arial" w:hAnsi="Arial" w:cs="Arial"/>
        </w:rPr>
        <w:t>Finalmente, el Subproceso de Gestión de Continuidad del Servicio se encuentra trabajando en un plan de capacitación y divulgación de los diferentes planes de continuidad para aplicar en estado de contingencia, considerando tanto los catalogados como críticos ante cualquier evento disruptivo, como los de continuidad operativa ante el escenario de indisponibilidad tecnológica.</w:t>
      </w:r>
    </w:p>
    <w:p w14:paraId="610945C0" w14:textId="77777777" w:rsidR="00C64E91" w:rsidRPr="00BF2076" w:rsidRDefault="00C64E91" w:rsidP="007F6EEE">
      <w:pPr>
        <w:spacing w:after="0" w:line="240" w:lineRule="auto"/>
        <w:jc w:val="both"/>
        <w:rPr>
          <w:rFonts w:ascii="Arial" w:hAnsi="Arial" w:cs="Arial"/>
        </w:rPr>
      </w:pPr>
    </w:p>
    <w:p w14:paraId="3BC5CE43" w14:textId="77777777" w:rsidR="00C64E91" w:rsidRPr="00BF2076" w:rsidRDefault="00C64E91" w:rsidP="007F6EEE">
      <w:pPr>
        <w:pStyle w:val="Prrafodelista"/>
        <w:numPr>
          <w:ilvl w:val="0"/>
          <w:numId w:val="27"/>
        </w:numPr>
        <w:rPr>
          <w:rFonts w:ascii="Arial" w:eastAsia="Calibri" w:hAnsi="Arial" w:cs="Arial"/>
          <w:b/>
          <w:bCs/>
          <w:i/>
          <w:iCs/>
          <w:color w:val="4472C4" w:themeColor="accent1"/>
        </w:rPr>
      </w:pPr>
      <w:r w:rsidRPr="00BF2076">
        <w:rPr>
          <w:rStyle w:val="nfasisintenso"/>
          <w:rFonts w:ascii="Arial" w:eastAsia="Calibri" w:hAnsi="Arial" w:cs="Arial"/>
          <w:b/>
          <w:bCs/>
        </w:rPr>
        <w:t>Recomendaciones:</w:t>
      </w:r>
    </w:p>
    <w:p w14:paraId="2E86AF51" w14:textId="77777777" w:rsidR="00C64E91" w:rsidRPr="00BF2076" w:rsidRDefault="00C64E91" w:rsidP="007F6EEE">
      <w:pPr>
        <w:spacing w:after="0" w:line="240" w:lineRule="auto"/>
        <w:jc w:val="both"/>
        <w:rPr>
          <w:rFonts w:ascii="Arial" w:hAnsi="Arial" w:cs="Arial"/>
        </w:rPr>
      </w:pPr>
    </w:p>
    <w:p w14:paraId="00007B24" w14:textId="56768B78" w:rsidR="00C64E91" w:rsidRPr="00BF2076" w:rsidRDefault="00C64E91" w:rsidP="007F6EEE">
      <w:pPr>
        <w:pStyle w:val="Prrafodelista"/>
        <w:numPr>
          <w:ilvl w:val="0"/>
          <w:numId w:val="30"/>
        </w:numPr>
        <w:rPr>
          <w:rFonts w:ascii="Arial" w:hAnsi="Arial" w:cs="Arial"/>
        </w:rPr>
      </w:pPr>
      <w:r w:rsidRPr="00BF2076">
        <w:rPr>
          <w:rFonts w:ascii="Arial" w:hAnsi="Arial" w:cs="Arial"/>
        </w:rPr>
        <w:t>Solicitar al Consejo Superior la aprobación del presente informe, donde se realizó la revisión y ampliación de los procesos críticos con la incorporación del escenario de apagón tecnológico, de lo cual se tiene a la fecha un total de 67 procesos críticos.</w:t>
      </w:r>
    </w:p>
    <w:p w14:paraId="1CD1706C" w14:textId="77777777" w:rsidR="007F6EEE" w:rsidRPr="00BF2076" w:rsidRDefault="007F6EEE" w:rsidP="007F6EEE">
      <w:pPr>
        <w:pStyle w:val="Prrafodelista"/>
        <w:ind w:left="720"/>
        <w:rPr>
          <w:rFonts w:ascii="Arial" w:hAnsi="Arial" w:cs="Arial"/>
        </w:rPr>
      </w:pPr>
    </w:p>
    <w:p w14:paraId="2D80B6D9" w14:textId="29D297BB" w:rsidR="00C64E91" w:rsidRPr="00BF2076" w:rsidRDefault="00C64E91" w:rsidP="007F6EEE">
      <w:pPr>
        <w:pStyle w:val="Prrafodelista"/>
        <w:numPr>
          <w:ilvl w:val="0"/>
          <w:numId w:val="30"/>
        </w:numPr>
        <w:rPr>
          <w:rFonts w:ascii="Arial" w:hAnsi="Arial" w:cs="Arial"/>
        </w:rPr>
      </w:pPr>
      <w:r w:rsidRPr="00BF2076">
        <w:rPr>
          <w:rFonts w:ascii="Arial" w:hAnsi="Arial" w:cs="Arial"/>
        </w:rPr>
        <w:t xml:space="preserve">Informar al Consejo Superior </w:t>
      </w:r>
      <w:proofErr w:type="gramStart"/>
      <w:r w:rsidRPr="00BF2076">
        <w:rPr>
          <w:rFonts w:ascii="Arial" w:hAnsi="Arial" w:cs="Arial"/>
        </w:rPr>
        <w:t>que</w:t>
      </w:r>
      <w:proofErr w:type="gramEnd"/>
      <w:r w:rsidRPr="00BF2076">
        <w:rPr>
          <w:rFonts w:ascii="Arial" w:hAnsi="Arial" w:cs="Arial"/>
        </w:rPr>
        <w:t xml:space="preserve"> como parte del Plan de Trabajo del año 2023, para el segundo semestre se tiene contemplada la realización del Análisis del Impacto al Servicio del Poder Judicial (BIA-2023), donde se realizará de manera integral este ejercicio para actualizar la lista de procesos y servicios críticos a nivel institucional, bajo la aplicación de un modelo de priorización y ejecución de un análisis de riesgos ante los diferentes escenarios que afectan la continuidad del servicio.</w:t>
      </w:r>
    </w:p>
    <w:p w14:paraId="02B1D273" w14:textId="77777777" w:rsidR="007F6EEE" w:rsidRPr="00BF2076" w:rsidRDefault="007F6EEE" w:rsidP="007F6EEE">
      <w:pPr>
        <w:pStyle w:val="Prrafodelista"/>
        <w:rPr>
          <w:rFonts w:ascii="Arial" w:hAnsi="Arial" w:cs="Arial"/>
        </w:rPr>
      </w:pPr>
    </w:p>
    <w:p w14:paraId="3DF36119" w14:textId="38EFA5AF" w:rsidR="00C64E91" w:rsidRPr="00BF2076" w:rsidRDefault="00C64E91" w:rsidP="007F6EEE">
      <w:pPr>
        <w:pStyle w:val="Prrafodelista"/>
        <w:numPr>
          <w:ilvl w:val="0"/>
          <w:numId w:val="30"/>
        </w:numPr>
        <w:rPr>
          <w:rFonts w:ascii="Arial" w:hAnsi="Arial" w:cs="Arial"/>
        </w:rPr>
      </w:pPr>
      <w:r w:rsidRPr="00BF2076">
        <w:rPr>
          <w:rFonts w:ascii="Arial" w:hAnsi="Arial" w:cs="Arial"/>
        </w:rPr>
        <w:t xml:space="preserve">Tomar nota </w:t>
      </w:r>
      <w:proofErr w:type="gramStart"/>
      <w:r w:rsidRPr="00BF2076">
        <w:rPr>
          <w:rFonts w:ascii="Arial" w:hAnsi="Arial" w:cs="Arial"/>
        </w:rPr>
        <w:t>que</w:t>
      </w:r>
      <w:proofErr w:type="gramEnd"/>
      <w:r w:rsidRPr="00BF2076">
        <w:rPr>
          <w:rFonts w:ascii="Arial" w:hAnsi="Arial" w:cs="Arial"/>
        </w:rPr>
        <w:t xml:space="preserve"> a nivel de continuidad de servicios, se abordan dos niveles: </w:t>
      </w:r>
      <w:r w:rsidRPr="00BF2076">
        <w:rPr>
          <w:rFonts w:ascii="Arial" w:hAnsi="Arial" w:cs="Arial"/>
          <w:b/>
          <w:bCs/>
        </w:rPr>
        <w:t>a)</w:t>
      </w:r>
      <w:r w:rsidRPr="00BF2076">
        <w:rPr>
          <w:rFonts w:ascii="Arial" w:hAnsi="Arial" w:cs="Arial"/>
        </w:rPr>
        <w:t xml:space="preserve"> la continuidad operativa de las oficinas y </w:t>
      </w:r>
      <w:r w:rsidRPr="00BF2076">
        <w:rPr>
          <w:rFonts w:ascii="Arial" w:hAnsi="Arial" w:cs="Arial"/>
          <w:b/>
          <w:bCs/>
        </w:rPr>
        <w:t xml:space="preserve">b) </w:t>
      </w:r>
      <w:r w:rsidRPr="00BF2076">
        <w:rPr>
          <w:rFonts w:ascii="Arial" w:hAnsi="Arial" w:cs="Arial"/>
        </w:rPr>
        <w:t>la continuidad de procesos y servicios catalogados como críticos</w:t>
      </w:r>
      <w:r w:rsidR="007F6EEE" w:rsidRPr="00BF2076">
        <w:rPr>
          <w:rFonts w:ascii="Arial" w:hAnsi="Arial" w:cs="Arial"/>
        </w:rPr>
        <w:t>,</w:t>
      </w:r>
      <w:r w:rsidRPr="00BF2076">
        <w:rPr>
          <w:rFonts w:ascii="Arial" w:hAnsi="Arial" w:cs="Arial"/>
        </w:rPr>
        <w:t xml:space="preserve"> según el Análisis de Impacto al Servicio institucional. </w:t>
      </w:r>
    </w:p>
    <w:p w14:paraId="48A76503" w14:textId="3CE0E189" w:rsidR="00575D93" w:rsidRPr="00BF2076" w:rsidRDefault="00575D93" w:rsidP="004514FE">
      <w:pPr>
        <w:widowControl w:val="0"/>
        <w:autoSpaceDE w:val="0"/>
        <w:autoSpaceDN w:val="0"/>
        <w:adjustRightInd w:val="0"/>
        <w:spacing w:after="0" w:line="240" w:lineRule="auto"/>
        <w:ind w:right="142"/>
        <w:jc w:val="both"/>
        <w:rPr>
          <w:rFonts w:ascii="Arial" w:hAnsi="Arial" w:cs="Arial"/>
          <w:lang w:val="es-ES"/>
        </w:rPr>
      </w:pPr>
    </w:p>
    <w:p w14:paraId="00A17A7E" w14:textId="77777777" w:rsidR="0043729E" w:rsidRPr="00BF2076" w:rsidRDefault="0043729E" w:rsidP="004514FE">
      <w:pPr>
        <w:widowControl w:val="0"/>
        <w:autoSpaceDE w:val="0"/>
        <w:autoSpaceDN w:val="0"/>
        <w:adjustRightInd w:val="0"/>
        <w:spacing w:after="0" w:line="240" w:lineRule="auto"/>
        <w:ind w:right="142"/>
        <w:jc w:val="both"/>
        <w:rPr>
          <w:rFonts w:ascii="Arial" w:hAnsi="Arial" w:cs="Arial"/>
          <w:lang w:val="es-ES"/>
        </w:rPr>
      </w:pPr>
    </w:p>
    <w:p w14:paraId="787FB6DD" w14:textId="3A3EF217" w:rsidR="00D1170C" w:rsidRPr="00BF2076" w:rsidRDefault="00D1170C" w:rsidP="004514FE">
      <w:pPr>
        <w:spacing w:after="0" w:line="240" w:lineRule="auto"/>
        <w:jc w:val="both"/>
        <w:rPr>
          <w:rFonts w:ascii="Arial" w:hAnsi="Arial" w:cs="Arial"/>
          <w:lang w:val="es-ES"/>
        </w:rPr>
      </w:pPr>
      <w:r w:rsidRPr="00BF2076">
        <w:rPr>
          <w:rFonts w:ascii="Arial" w:eastAsia="Times New Roman" w:hAnsi="Arial" w:cs="Arial"/>
          <w:b/>
          <w:bCs/>
          <w:lang w:eastAsia="es-ES"/>
        </w:rPr>
        <w:t>Se acuerda:</w:t>
      </w:r>
      <w:r w:rsidRPr="00BF2076">
        <w:rPr>
          <w:rFonts w:ascii="Arial" w:eastAsia="Times New Roman" w:hAnsi="Arial" w:cs="Arial"/>
          <w:lang w:eastAsia="es-ES"/>
        </w:rPr>
        <w:t xml:space="preserve"> </w:t>
      </w:r>
      <w:r w:rsidRPr="00BF2076">
        <w:rPr>
          <w:rFonts w:ascii="Arial" w:eastAsia="Times New Roman" w:hAnsi="Arial" w:cs="Arial"/>
          <w:b/>
          <w:bCs/>
          <w:lang w:eastAsia="es-ES"/>
        </w:rPr>
        <w:t>1)</w:t>
      </w:r>
      <w:r w:rsidR="00A430F8" w:rsidRPr="00BF2076">
        <w:rPr>
          <w:rFonts w:ascii="Arial" w:eastAsia="Times New Roman" w:hAnsi="Arial" w:cs="Arial"/>
          <w:b/>
          <w:bCs/>
          <w:lang w:eastAsia="es-ES"/>
        </w:rPr>
        <w:t xml:space="preserve"> </w:t>
      </w:r>
      <w:r w:rsidR="007F6EEE" w:rsidRPr="00BF2076">
        <w:rPr>
          <w:rFonts w:ascii="Arial" w:eastAsia="Times New Roman" w:hAnsi="Arial" w:cs="Arial"/>
          <w:lang w:eastAsia="es-ES"/>
        </w:rPr>
        <w:t xml:space="preserve">Tener por conocido el </w:t>
      </w:r>
      <w:r w:rsidR="007F6EEE" w:rsidRPr="00BF2076">
        <w:rPr>
          <w:rFonts w:ascii="Arial" w:hAnsi="Arial" w:cs="Arial"/>
        </w:rPr>
        <w:t>Informe de ampliación del Análisis de Impacto al Servicio (BIA) – procesos críticos, presentado por el Subproceso de Gestión de Continuidad del Servicio.</w:t>
      </w:r>
      <w:r w:rsidR="007F6EEE" w:rsidRPr="00BF2076">
        <w:rPr>
          <w:rFonts w:ascii="Arial" w:hAnsi="Arial" w:cs="Arial"/>
          <w:b/>
        </w:rPr>
        <w:t xml:space="preserve"> 2) </w:t>
      </w:r>
      <w:r w:rsidR="00ED7444" w:rsidRPr="00BF2076">
        <w:rPr>
          <w:rFonts w:ascii="Arial" w:hAnsi="Arial" w:cs="Arial"/>
          <w:bCs/>
        </w:rPr>
        <w:t>Aprobar el contenido de dicho informe y sus recomendaciones.</w:t>
      </w:r>
      <w:r w:rsidR="00ED7444" w:rsidRPr="00BF2076">
        <w:rPr>
          <w:rFonts w:ascii="Arial" w:hAnsi="Arial" w:cs="Arial"/>
          <w:b/>
        </w:rPr>
        <w:t xml:space="preserve"> 3) </w:t>
      </w:r>
      <w:r w:rsidR="00ED7444" w:rsidRPr="00BF2076">
        <w:rPr>
          <w:rFonts w:ascii="Arial" w:hAnsi="Arial" w:cs="Arial"/>
          <w:bCs/>
        </w:rPr>
        <w:t>Autorizar el Subproceso de Gesti</w:t>
      </w:r>
      <w:r w:rsidR="00ED7444" w:rsidRPr="00BF2076">
        <w:rPr>
          <w:rFonts w:ascii="Arial" w:hAnsi="Arial" w:cs="Arial"/>
        </w:rPr>
        <w:t xml:space="preserve">ón de Continuidad del Servicio para que traslade mediante oficio el </w:t>
      </w:r>
      <w:r w:rsidR="00ED7444" w:rsidRPr="00BF2076">
        <w:rPr>
          <w:rFonts w:ascii="Arial" w:hAnsi="Arial" w:cs="Arial"/>
        </w:rPr>
        <w:lastRenderedPageBreak/>
        <w:t>informe, para conocimiento y aprobación del Consejo Superior</w:t>
      </w:r>
      <w:r w:rsidRPr="00BF2076">
        <w:rPr>
          <w:rFonts w:ascii="Arial" w:eastAsia="Times New Roman" w:hAnsi="Arial" w:cs="Arial"/>
          <w:lang w:eastAsia="es-ES"/>
        </w:rPr>
        <w:t>.</w:t>
      </w:r>
      <w:r w:rsidR="00395272">
        <w:rPr>
          <w:rFonts w:ascii="Arial" w:eastAsia="Times New Roman" w:hAnsi="Arial" w:cs="Arial"/>
          <w:lang w:eastAsia="es-ES"/>
        </w:rPr>
        <w:t xml:space="preserve"> 4) En relación con las funciones asignadas por el “</w:t>
      </w:r>
      <w:r w:rsidR="00395272" w:rsidRPr="00395272">
        <w:rPr>
          <w:rFonts w:ascii="Arial" w:eastAsia="Times New Roman" w:hAnsi="Arial" w:cs="Arial"/>
          <w:b/>
          <w:bCs/>
          <w:lang w:eastAsia="es-ES"/>
        </w:rPr>
        <w:t>Reglamento de Gobierno, la Gestión y el uso de los servicios tecnológicos</w:t>
      </w:r>
      <w:r w:rsidR="00395272">
        <w:rPr>
          <w:rFonts w:ascii="Arial" w:eastAsia="Times New Roman" w:hAnsi="Arial" w:cs="Arial"/>
          <w:lang w:eastAsia="es-ES"/>
        </w:rPr>
        <w:t xml:space="preserve">” al Subcomité Institucional de Continuidad de los Servicios </w:t>
      </w:r>
      <w:proofErr w:type="gramStart"/>
      <w:r w:rsidR="00395272">
        <w:rPr>
          <w:rFonts w:ascii="Arial" w:eastAsia="Times New Roman" w:hAnsi="Arial" w:cs="Arial"/>
          <w:lang w:eastAsia="es-ES"/>
        </w:rPr>
        <w:t xml:space="preserve">Tecnológicos </w:t>
      </w:r>
      <w:r w:rsidRPr="00BF2076">
        <w:rPr>
          <w:rFonts w:ascii="Arial" w:eastAsia="Times New Roman" w:hAnsi="Arial" w:cs="Arial"/>
          <w:lang w:eastAsia="es-ES"/>
        </w:rPr>
        <w:t xml:space="preserve"> </w:t>
      </w:r>
      <w:r w:rsidRPr="00BF2076">
        <w:rPr>
          <w:rFonts w:ascii="Arial" w:eastAsia="Times New Roman" w:hAnsi="Arial" w:cs="Arial"/>
          <w:b/>
          <w:bCs/>
          <w:lang w:eastAsia="es-ES"/>
        </w:rPr>
        <w:t>ACUERDO</w:t>
      </w:r>
      <w:proofErr w:type="gramEnd"/>
      <w:r w:rsidRPr="00BF2076">
        <w:rPr>
          <w:rFonts w:ascii="Arial" w:eastAsia="Times New Roman" w:hAnsi="Arial" w:cs="Arial"/>
          <w:b/>
          <w:bCs/>
          <w:lang w:eastAsia="es-ES"/>
        </w:rPr>
        <w:t xml:space="preserve"> FIRME.</w:t>
      </w:r>
    </w:p>
    <w:p w14:paraId="68CF37FD" w14:textId="3E04585F" w:rsidR="00813B82" w:rsidRPr="00BF2076" w:rsidRDefault="00813B82" w:rsidP="004514FE">
      <w:pPr>
        <w:widowControl w:val="0"/>
        <w:autoSpaceDE w:val="0"/>
        <w:autoSpaceDN w:val="0"/>
        <w:adjustRightInd w:val="0"/>
        <w:spacing w:after="0" w:line="240" w:lineRule="auto"/>
        <w:ind w:right="142"/>
        <w:jc w:val="both"/>
        <w:rPr>
          <w:rFonts w:ascii="Arial" w:eastAsia="Times New Roman" w:hAnsi="Arial" w:cs="Arial"/>
          <w:b/>
          <w:color w:val="000000"/>
          <w:lang w:val="es-ES" w:eastAsia="es-ES"/>
        </w:rPr>
      </w:pPr>
    </w:p>
    <w:p w14:paraId="1B0B2846" w14:textId="77777777" w:rsidR="00F35E40" w:rsidRPr="00BF2076" w:rsidRDefault="00F35E40" w:rsidP="004514FE">
      <w:pPr>
        <w:spacing w:after="0" w:line="240" w:lineRule="auto"/>
        <w:jc w:val="center"/>
        <w:rPr>
          <w:rFonts w:ascii="Arial" w:hAnsi="Arial" w:cs="Arial"/>
          <w:b/>
          <w:color w:val="2F5496"/>
        </w:rPr>
      </w:pPr>
    </w:p>
    <w:p w14:paraId="1614C2F3" w14:textId="312D94D1" w:rsidR="006064DE" w:rsidRPr="00BF2076" w:rsidRDefault="006064DE" w:rsidP="004514FE">
      <w:pPr>
        <w:spacing w:after="0" w:line="240" w:lineRule="auto"/>
        <w:jc w:val="center"/>
        <w:rPr>
          <w:rFonts w:ascii="Arial" w:hAnsi="Arial" w:cs="Arial"/>
          <w:b/>
          <w:color w:val="2F5496"/>
        </w:rPr>
      </w:pPr>
      <w:r w:rsidRPr="00BF2076">
        <w:rPr>
          <w:rFonts w:ascii="Arial" w:hAnsi="Arial" w:cs="Arial"/>
          <w:b/>
          <w:color w:val="2F5496"/>
        </w:rPr>
        <w:t>ARTÍCULO I</w:t>
      </w:r>
      <w:r w:rsidR="00813B82" w:rsidRPr="00BF2076">
        <w:rPr>
          <w:rFonts w:ascii="Arial" w:hAnsi="Arial" w:cs="Arial"/>
          <w:b/>
          <w:color w:val="2F5496"/>
        </w:rPr>
        <w:t>I</w:t>
      </w:r>
      <w:r w:rsidR="00650770" w:rsidRPr="00BF2076">
        <w:rPr>
          <w:rFonts w:ascii="Arial" w:hAnsi="Arial" w:cs="Arial"/>
          <w:b/>
          <w:color w:val="2F5496"/>
        </w:rPr>
        <w:t>I</w:t>
      </w:r>
    </w:p>
    <w:p w14:paraId="3CB2DC95" w14:textId="34C524FC" w:rsidR="00F4547F" w:rsidRPr="00BF2076" w:rsidRDefault="00F4547F" w:rsidP="004514FE">
      <w:pPr>
        <w:spacing w:after="0" w:line="240" w:lineRule="auto"/>
        <w:jc w:val="center"/>
        <w:rPr>
          <w:rFonts w:ascii="Arial" w:hAnsi="Arial" w:cs="Arial"/>
          <w:b/>
          <w:color w:val="2F5496"/>
        </w:rPr>
      </w:pPr>
    </w:p>
    <w:p w14:paraId="4EAE72BA" w14:textId="77777777" w:rsidR="001F2D50" w:rsidRPr="00BF2076" w:rsidRDefault="001F2D50" w:rsidP="001F2D50">
      <w:pPr>
        <w:spacing w:after="0" w:line="240" w:lineRule="auto"/>
        <w:jc w:val="both"/>
        <w:rPr>
          <w:rFonts w:ascii="Arial" w:hAnsi="Arial" w:cs="Arial"/>
          <w:bCs/>
        </w:rPr>
      </w:pPr>
      <w:r w:rsidRPr="00BF2076">
        <w:rPr>
          <w:rFonts w:ascii="Arial" w:hAnsi="Arial" w:cs="Arial"/>
          <w:bCs/>
        </w:rPr>
        <w:t xml:space="preserve">En la sesión número 1-2023 del Comité Técnico, celebrada el 22 de febrero de 2023, artículo V, se conoció lo siguiente: </w:t>
      </w:r>
    </w:p>
    <w:p w14:paraId="244B5BA3" w14:textId="7A073D8D" w:rsidR="001F2D50" w:rsidRPr="00BF2076" w:rsidRDefault="001F2D50" w:rsidP="001F2D50">
      <w:pPr>
        <w:spacing w:after="0" w:line="240" w:lineRule="auto"/>
        <w:jc w:val="both"/>
        <w:rPr>
          <w:rFonts w:ascii="Arial" w:hAnsi="Arial" w:cs="Arial"/>
          <w:bCs/>
        </w:rPr>
      </w:pPr>
    </w:p>
    <w:p w14:paraId="4384995C" w14:textId="6A321BED" w:rsidR="001F2D50" w:rsidRPr="00BF2076" w:rsidRDefault="001F2D50" w:rsidP="001F2D50">
      <w:pPr>
        <w:autoSpaceDE w:val="0"/>
        <w:autoSpaceDN w:val="0"/>
        <w:spacing w:after="0" w:line="240" w:lineRule="auto"/>
        <w:ind w:left="851" w:right="49"/>
        <w:jc w:val="both"/>
        <w:rPr>
          <w:rFonts w:ascii="Arial" w:hAnsi="Arial" w:cs="Arial"/>
          <w:i/>
          <w:iCs/>
          <w:lang w:eastAsia="es-ES"/>
        </w:rPr>
      </w:pPr>
      <w:r w:rsidRPr="00BF2076">
        <w:rPr>
          <w:rFonts w:ascii="Arial" w:eastAsia="Times New Roman" w:hAnsi="Arial" w:cs="Arial"/>
          <w:i/>
          <w:iCs/>
          <w:lang w:eastAsia="es-ES"/>
        </w:rPr>
        <w:t>“Por parte del Subproceso de Gestión de la Continuidad se informa al Comité Técnico que mediante el oficio 54-DE-SGCS-2022 del 19 de diciembre de 2022 se reiteró a la Comisión Institucional de Emergencias del Poder Judicial la solicitud realizada con el oficio 16-DE-SGCS-2022 del 28 de octubre de 2022, en el cual se solicitó formalmente audiencia a esa Comisión para presentar el “Plan de Gestión de Crisis del Poder Judicial”, así como los roles y responsabilidades de las partes intervinientes en la atención de la continuidad del servicio institucional. Lo anterior, en cumplimiento de lo acordado por el Consejo Superior en la sesión número 87-2022, celebrada el 6 de octubre del 2022, artículo XXIV, donde se aprobó la actualización del “Plan de Gestión de Crisis del</w:t>
      </w:r>
      <w:r w:rsidRPr="00BF2076">
        <w:rPr>
          <w:rFonts w:ascii="Arial" w:hAnsi="Arial" w:cs="Arial"/>
          <w:i/>
          <w:iCs/>
          <w:lang w:eastAsia="es-ES"/>
        </w:rPr>
        <w:t xml:space="preserve"> Poder Judicial”, además de establecer que el Subproceso de Gestión de la Continuidad presentará lo pertinente a la Comisión Institucional de Emergencias y a los Consejos de Administración, así como a cualquier otra oficina responsable de participar en la gestión de emergencias y crisis, para que conozcan el contenido de ese documento y lo apliquen, cuando sea necesario.</w:t>
      </w:r>
    </w:p>
    <w:p w14:paraId="50FC3A0F" w14:textId="77777777" w:rsidR="001F2D50" w:rsidRPr="00BF2076" w:rsidRDefault="001F2D50" w:rsidP="001F2D50">
      <w:pPr>
        <w:autoSpaceDE w:val="0"/>
        <w:autoSpaceDN w:val="0"/>
        <w:spacing w:after="0" w:line="240" w:lineRule="auto"/>
        <w:ind w:left="851" w:right="49"/>
        <w:jc w:val="both"/>
        <w:rPr>
          <w:rFonts w:ascii="Arial" w:hAnsi="Arial" w:cs="Arial"/>
          <w:i/>
          <w:iCs/>
          <w:lang w:eastAsia="es-ES"/>
        </w:rPr>
      </w:pPr>
    </w:p>
    <w:p w14:paraId="774C30E8" w14:textId="77777777" w:rsidR="001F2D50" w:rsidRPr="00BF2076" w:rsidRDefault="001F2D50" w:rsidP="001F2D50">
      <w:pPr>
        <w:spacing w:after="0" w:line="240" w:lineRule="auto"/>
        <w:ind w:left="851"/>
        <w:jc w:val="both"/>
        <w:rPr>
          <w:rFonts w:ascii="Arial" w:hAnsi="Arial" w:cs="Arial"/>
          <w:i/>
          <w:iCs/>
          <w:lang w:eastAsia="es-ES"/>
        </w:rPr>
      </w:pPr>
      <w:r w:rsidRPr="00BF2076">
        <w:rPr>
          <w:rFonts w:ascii="Arial" w:hAnsi="Arial" w:cs="Arial"/>
          <w:i/>
          <w:iCs/>
          <w:lang w:eastAsia="es-ES"/>
        </w:rPr>
        <w:t xml:space="preserve">Adicionalmente, mediante correo electrónico del 14 de febrero de 2022, dirigido a la cuenta oficial de la Comisión, se consultó en seguimiento por la solicitud realizada; no obstante, a la fecha no se ha tenido respuesta de la petición formulada y al seguimiento realizado. </w:t>
      </w:r>
    </w:p>
    <w:p w14:paraId="40FD1DDB" w14:textId="77777777" w:rsidR="001F2D50" w:rsidRPr="00BF2076" w:rsidRDefault="001F2D50" w:rsidP="001F2D50">
      <w:pPr>
        <w:spacing w:after="0" w:line="240" w:lineRule="auto"/>
        <w:ind w:left="851"/>
        <w:jc w:val="both"/>
        <w:rPr>
          <w:rFonts w:ascii="Arial" w:eastAsia="Times New Roman" w:hAnsi="Arial" w:cs="Arial"/>
          <w:i/>
          <w:iCs/>
          <w:lang w:eastAsia="es-ES"/>
        </w:rPr>
      </w:pPr>
    </w:p>
    <w:p w14:paraId="496F31DA" w14:textId="2248482B" w:rsidR="001F2D50" w:rsidRPr="00BF2076" w:rsidRDefault="001F2D50" w:rsidP="001F2D50">
      <w:pPr>
        <w:spacing w:after="0" w:line="240" w:lineRule="auto"/>
        <w:ind w:left="851"/>
        <w:jc w:val="both"/>
        <w:rPr>
          <w:rFonts w:ascii="Arial" w:eastAsia="Times New Roman" w:hAnsi="Arial" w:cs="Arial"/>
          <w:b/>
          <w:bCs/>
          <w:i/>
          <w:iCs/>
          <w:lang w:eastAsia="es-ES"/>
        </w:rPr>
      </w:pPr>
      <w:r w:rsidRPr="00BF2076">
        <w:rPr>
          <w:rFonts w:ascii="Arial" w:eastAsia="Times New Roman" w:hAnsi="Arial" w:cs="Arial"/>
          <w:b/>
          <w:bCs/>
          <w:i/>
          <w:iCs/>
          <w:lang w:eastAsia="es-ES"/>
        </w:rPr>
        <w:t>Se acuerda:</w:t>
      </w:r>
      <w:r w:rsidRPr="00BF2076">
        <w:rPr>
          <w:rFonts w:ascii="Arial" w:eastAsia="Times New Roman" w:hAnsi="Arial" w:cs="Arial"/>
          <w:i/>
          <w:iCs/>
          <w:lang w:eastAsia="es-ES"/>
        </w:rPr>
        <w:t xml:space="preserve"> </w:t>
      </w:r>
      <w:r w:rsidRPr="00BF2076">
        <w:rPr>
          <w:rFonts w:ascii="Arial" w:eastAsia="Times New Roman" w:hAnsi="Arial" w:cs="Arial"/>
          <w:b/>
          <w:bCs/>
          <w:i/>
          <w:iCs/>
          <w:lang w:eastAsia="es-ES"/>
        </w:rPr>
        <w:t xml:space="preserve">1) </w:t>
      </w:r>
      <w:r w:rsidRPr="00BF2076">
        <w:rPr>
          <w:rFonts w:ascii="Arial" w:hAnsi="Arial" w:cs="Arial"/>
          <w:i/>
          <w:iCs/>
          <w:lang w:eastAsia="es-ES"/>
        </w:rPr>
        <w:t>Se toma nota de las acciones realizadas por el Subproceso, en seguimiento a la audiencia solicitada a la Comisión Institucional de Emergencias</w:t>
      </w:r>
      <w:r w:rsidRPr="00BF2076">
        <w:rPr>
          <w:rFonts w:ascii="Arial" w:eastAsia="Times New Roman" w:hAnsi="Arial" w:cs="Arial"/>
          <w:i/>
          <w:iCs/>
          <w:lang w:eastAsia="es-ES"/>
        </w:rPr>
        <w:t xml:space="preserve">. </w:t>
      </w:r>
      <w:r w:rsidRPr="00BF2076">
        <w:rPr>
          <w:rFonts w:ascii="Arial" w:eastAsia="Times New Roman" w:hAnsi="Arial" w:cs="Arial"/>
          <w:b/>
          <w:bCs/>
          <w:i/>
          <w:iCs/>
          <w:lang w:eastAsia="es-ES"/>
        </w:rPr>
        <w:t xml:space="preserve">ACUERDO FIRME.” </w:t>
      </w:r>
    </w:p>
    <w:p w14:paraId="02D1330D" w14:textId="2EA031B2" w:rsidR="001F2D50" w:rsidRPr="00BF2076" w:rsidRDefault="001F2D50" w:rsidP="001F2D50">
      <w:pPr>
        <w:spacing w:after="0" w:line="240" w:lineRule="auto"/>
        <w:jc w:val="both"/>
        <w:rPr>
          <w:rFonts w:ascii="Arial" w:hAnsi="Arial" w:cs="Arial"/>
          <w:bCs/>
        </w:rPr>
      </w:pPr>
    </w:p>
    <w:p w14:paraId="63450D1A" w14:textId="77228ADC" w:rsidR="001F2D50" w:rsidRPr="00BF2076" w:rsidRDefault="001F2D50" w:rsidP="001F2D50">
      <w:pPr>
        <w:spacing w:after="0" w:line="240" w:lineRule="auto"/>
        <w:jc w:val="both"/>
        <w:rPr>
          <w:rFonts w:ascii="Arial" w:hAnsi="Arial" w:cs="Arial"/>
          <w:bCs/>
        </w:rPr>
      </w:pPr>
      <w:r w:rsidRPr="00BF2076">
        <w:rPr>
          <w:rFonts w:ascii="Arial" w:hAnsi="Arial" w:cs="Arial"/>
          <w:bCs/>
        </w:rPr>
        <w:t xml:space="preserve">Al respecto, el Subproceso de Gestión de Continuidad del Servicio </w:t>
      </w:r>
      <w:r w:rsidR="00F4547F" w:rsidRPr="00BF2076">
        <w:rPr>
          <w:rFonts w:ascii="Arial" w:hAnsi="Arial" w:cs="Arial"/>
          <w:bCs/>
        </w:rPr>
        <w:t xml:space="preserve">informa </w:t>
      </w:r>
      <w:r w:rsidRPr="00BF2076">
        <w:rPr>
          <w:rFonts w:ascii="Arial" w:hAnsi="Arial" w:cs="Arial"/>
          <w:bCs/>
        </w:rPr>
        <w:t xml:space="preserve">al Comité Técnico que gracias a la intervención de doña Sandra Pizarro Gutiérrez y el Despacho de la Presidencia, se tuvo cita con la Comisión Institucional de Emergencias el jueves, 2 de marzo de 2023 10:30, donde se expuso a esa Comisión </w:t>
      </w:r>
      <w:r w:rsidR="00475261" w:rsidRPr="00BF2076">
        <w:rPr>
          <w:rFonts w:ascii="Arial" w:hAnsi="Arial" w:cs="Arial"/>
          <w:bCs/>
        </w:rPr>
        <w:t>el “Plan de Gestión de Crisis del Poder Judicial” y se presentaron los roles y responsabilidades en la atención de las crisis y su relación con la gestión de las emergencias. Con esto, se da cumplimiento a la instrucción dada por el Consejo Superior en la sesión número 87-2022, celebrada el 6 de octubre del 2022, artículo XXIV en lo relativo a la Comisión.</w:t>
      </w:r>
    </w:p>
    <w:p w14:paraId="10AF9CA3" w14:textId="77777777" w:rsidR="001F2D50" w:rsidRPr="00BF2076" w:rsidRDefault="001F2D50" w:rsidP="001F2D50">
      <w:pPr>
        <w:spacing w:after="0" w:line="240" w:lineRule="auto"/>
        <w:jc w:val="both"/>
        <w:rPr>
          <w:rFonts w:ascii="Arial" w:hAnsi="Arial" w:cs="Arial"/>
          <w:bCs/>
        </w:rPr>
      </w:pPr>
    </w:p>
    <w:p w14:paraId="0A289DC2" w14:textId="3D27D2C3" w:rsidR="00F4547F" w:rsidRPr="00BF2076" w:rsidRDefault="00475261" w:rsidP="001F2D50">
      <w:pPr>
        <w:spacing w:after="0" w:line="240" w:lineRule="auto"/>
        <w:jc w:val="both"/>
        <w:rPr>
          <w:rFonts w:ascii="Arial" w:hAnsi="Arial" w:cs="Arial"/>
          <w:bCs/>
        </w:rPr>
      </w:pPr>
      <w:r w:rsidRPr="00BF2076">
        <w:rPr>
          <w:rFonts w:ascii="Arial" w:hAnsi="Arial" w:cs="Arial"/>
          <w:bCs/>
        </w:rPr>
        <w:lastRenderedPageBreak/>
        <w:t xml:space="preserve">Adicionalmente, se informa al Comité Técnico </w:t>
      </w:r>
      <w:proofErr w:type="gramStart"/>
      <w:r w:rsidRPr="00BF2076">
        <w:rPr>
          <w:rFonts w:ascii="Arial" w:hAnsi="Arial" w:cs="Arial"/>
          <w:bCs/>
        </w:rPr>
        <w:t>que</w:t>
      </w:r>
      <w:proofErr w:type="gramEnd"/>
      <w:r w:rsidRPr="00BF2076">
        <w:rPr>
          <w:rFonts w:ascii="Arial" w:hAnsi="Arial" w:cs="Arial"/>
          <w:bCs/>
        </w:rPr>
        <w:t xml:space="preserve"> a la fecha, el Subproceso de Gestión de la Continuidad ha tenido audiencia con Consejos de Administración </w:t>
      </w:r>
      <w:r w:rsidR="00C477CA" w:rsidRPr="00BF2076">
        <w:rPr>
          <w:rFonts w:ascii="Arial" w:hAnsi="Arial" w:cs="Arial"/>
          <w:bCs/>
        </w:rPr>
        <w:t xml:space="preserve">y otras áreas </w:t>
      </w:r>
      <w:r w:rsidRPr="00BF2076">
        <w:rPr>
          <w:rFonts w:ascii="Arial" w:hAnsi="Arial" w:cs="Arial"/>
          <w:bCs/>
        </w:rPr>
        <w:t>para exponer este mismo tema, donde al momento se tienen l</w:t>
      </w:r>
      <w:r w:rsidR="00C477CA" w:rsidRPr="00BF2076">
        <w:rPr>
          <w:rFonts w:ascii="Arial" w:hAnsi="Arial" w:cs="Arial"/>
          <w:bCs/>
        </w:rPr>
        <w:t>a</w:t>
      </w:r>
      <w:r w:rsidRPr="00BF2076">
        <w:rPr>
          <w:rFonts w:ascii="Arial" w:hAnsi="Arial" w:cs="Arial"/>
          <w:bCs/>
        </w:rPr>
        <w:t xml:space="preserve">s siguientes </w:t>
      </w:r>
      <w:r w:rsidR="00C477CA" w:rsidRPr="00BF2076">
        <w:rPr>
          <w:rFonts w:ascii="Arial" w:hAnsi="Arial" w:cs="Arial"/>
          <w:bCs/>
        </w:rPr>
        <w:t>sesiones</w:t>
      </w:r>
      <w:r w:rsidRPr="00BF2076">
        <w:rPr>
          <w:rFonts w:ascii="Arial" w:hAnsi="Arial" w:cs="Arial"/>
          <w:bCs/>
        </w:rPr>
        <w:t xml:space="preserve"> abordad</w:t>
      </w:r>
      <w:r w:rsidR="00C477CA" w:rsidRPr="00BF2076">
        <w:rPr>
          <w:rFonts w:ascii="Arial" w:hAnsi="Arial" w:cs="Arial"/>
          <w:bCs/>
        </w:rPr>
        <w:t>a</w:t>
      </w:r>
      <w:r w:rsidRPr="00BF2076">
        <w:rPr>
          <w:rFonts w:ascii="Arial" w:hAnsi="Arial" w:cs="Arial"/>
          <w:bCs/>
        </w:rPr>
        <w:t xml:space="preserve">s: </w:t>
      </w:r>
    </w:p>
    <w:p w14:paraId="3BCD47ED" w14:textId="4D4D14B5" w:rsidR="00C477CA" w:rsidRPr="00BF2076" w:rsidRDefault="00C477CA" w:rsidP="001F2D50">
      <w:pPr>
        <w:spacing w:after="0" w:line="240" w:lineRule="auto"/>
        <w:jc w:val="both"/>
        <w:rPr>
          <w:rFonts w:ascii="Arial" w:hAnsi="Arial" w:cs="Arial"/>
          <w:bCs/>
        </w:rPr>
      </w:pPr>
    </w:p>
    <w:tbl>
      <w:tblPr>
        <w:tblStyle w:val="Tablaconcuadrcula"/>
        <w:tblW w:w="0" w:type="auto"/>
        <w:jc w:val="right"/>
        <w:tblLook w:val="04A0" w:firstRow="1" w:lastRow="0" w:firstColumn="1" w:lastColumn="0" w:noHBand="0" w:noVBand="1"/>
      </w:tblPr>
      <w:tblGrid>
        <w:gridCol w:w="4673"/>
        <w:gridCol w:w="2977"/>
      </w:tblGrid>
      <w:tr w:rsidR="00C477CA" w:rsidRPr="00BF2076" w14:paraId="60282528" w14:textId="77777777" w:rsidTr="001E5C55">
        <w:trPr>
          <w:jc w:val="right"/>
        </w:trPr>
        <w:tc>
          <w:tcPr>
            <w:tcW w:w="4673" w:type="dxa"/>
          </w:tcPr>
          <w:p w14:paraId="6B6F32D4" w14:textId="77777777" w:rsidR="00C477CA" w:rsidRPr="00BF2076" w:rsidRDefault="00C477CA" w:rsidP="001E5C55">
            <w:pPr>
              <w:pStyle w:val="Prrafodelista"/>
              <w:ind w:left="0"/>
              <w:jc w:val="center"/>
              <w:rPr>
                <w:rFonts w:ascii="Arial" w:hAnsi="Arial" w:cs="Arial"/>
                <w:b/>
                <w:bCs/>
                <w:lang w:eastAsia="es-CR"/>
              </w:rPr>
            </w:pPr>
            <w:r w:rsidRPr="00BF2076">
              <w:rPr>
                <w:rFonts w:ascii="Arial" w:hAnsi="Arial" w:cs="Arial"/>
                <w:b/>
                <w:bCs/>
                <w:lang w:eastAsia="es-CR"/>
              </w:rPr>
              <w:t>Oficina o grupo colegiado</w:t>
            </w:r>
          </w:p>
        </w:tc>
        <w:tc>
          <w:tcPr>
            <w:tcW w:w="2977" w:type="dxa"/>
          </w:tcPr>
          <w:p w14:paraId="23FDF18B" w14:textId="77777777" w:rsidR="00C477CA" w:rsidRPr="00BF2076" w:rsidRDefault="00C477CA" w:rsidP="001E5C55">
            <w:pPr>
              <w:pStyle w:val="Prrafodelista"/>
              <w:ind w:left="0"/>
              <w:jc w:val="center"/>
              <w:rPr>
                <w:rFonts w:ascii="Arial" w:hAnsi="Arial" w:cs="Arial"/>
                <w:b/>
                <w:bCs/>
                <w:lang w:eastAsia="es-CR"/>
              </w:rPr>
            </w:pPr>
            <w:r w:rsidRPr="00BF2076">
              <w:rPr>
                <w:rFonts w:ascii="Arial" w:hAnsi="Arial" w:cs="Arial"/>
                <w:b/>
                <w:bCs/>
                <w:lang w:eastAsia="es-CR"/>
              </w:rPr>
              <w:t>Fecha</w:t>
            </w:r>
          </w:p>
        </w:tc>
      </w:tr>
      <w:tr w:rsidR="00C477CA" w:rsidRPr="00BF2076" w14:paraId="44F6D856" w14:textId="77777777" w:rsidTr="001E5C55">
        <w:trPr>
          <w:jc w:val="right"/>
        </w:trPr>
        <w:tc>
          <w:tcPr>
            <w:tcW w:w="4673" w:type="dxa"/>
          </w:tcPr>
          <w:p w14:paraId="7F264A31"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Reunión con Administraciones Regionales</w:t>
            </w:r>
          </w:p>
        </w:tc>
        <w:tc>
          <w:tcPr>
            <w:tcW w:w="2977" w:type="dxa"/>
          </w:tcPr>
          <w:p w14:paraId="7AF931C2"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14 de octubre de 2022</w:t>
            </w:r>
          </w:p>
        </w:tc>
      </w:tr>
      <w:tr w:rsidR="00C477CA" w:rsidRPr="00BF2076" w14:paraId="3D394005" w14:textId="77777777" w:rsidTr="001E5C55">
        <w:trPr>
          <w:jc w:val="right"/>
        </w:trPr>
        <w:tc>
          <w:tcPr>
            <w:tcW w:w="4673" w:type="dxa"/>
          </w:tcPr>
          <w:p w14:paraId="4CD634A2"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Consejo de Administración de Cartago</w:t>
            </w:r>
          </w:p>
        </w:tc>
        <w:tc>
          <w:tcPr>
            <w:tcW w:w="2977" w:type="dxa"/>
          </w:tcPr>
          <w:p w14:paraId="50ADF913"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26 de octubre de 2022</w:t>
            </w:r>
          </w:p>
        </w:tc>
      </w:tr>
      <w:tr w:rsidR="00C477CA" w:rsidRPr="00BF2076" w14:paraId="0586F403" w14:textId="77777777" w:rsidTr="001E5C55">
        <w:trPr>
          <w:jc w:val="right"/>
        </w:trPr>
        <w:tc>
          <w:tcPr>
            <w:tcW w:w="4673" w:type="dxa"/>
          </w:tcPr>
          <w:p w14:paraId="5859CBCB"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Consejo de Administración de Quepos</w:t>
            </w:r>
          </w:p>
        </w:tc>
        <w:tc>
          <w:tcPr>
            <w:tcW w:w="2977" w:type="dxa"/>
          </w:tcPr>
          <w:p w14:paraId="07EC0BA2"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10 de noviembre de 2022</w:t>
            </w:r>
          </w:p>
        </w:tc>
      </w:tr>
      <w:tr w:rsidR="00C477CA" w:rsidRPr="00BF2076" w14:paraId="6AAB7BD8" w14:textId="77777777" w:rsidTr="001E5C55">
        <w:trPr>
          <w:jc w:val="right"/>
        </w:trPr>
        <w:tc>
          <w:tcPr>
            <w:tcW w:w="4673" w:type="dxa"/>
          </w:tcPr>
          <w:p w14:paraId="254BC65F"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Consejo de Administración de Puntarenas</w:t>
            </w:r>
          </w:p>
        </w:tc>
        <w:tc>
          <w:tcPr>
            <w:tcW w:w="2977" w:type="dxa"/>
          </w:tcPr>
          <w:p w14:paraId="6705F596"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24 de noviembre de 2022</w:t>
            </w:r>
          </w:p>
        </w:tc>
      </w:tr>
      <w:tr w:rsidR="00C477CA" w:rsidRPr="00BF2076" w14:paraId="3678567C" w14:textId="77777777" w:rsidTr="001E5C55">
        <w:trPr>
          <w:jc w:val="right"/>
        </w:trPr>
        <w:tc>
          <w:tcPr>
            <w:tcW w:w="4673" w:type="dxa"/>
          </w:tcPr>
          <w:p w14:paraId="4FBAED14"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Segunda reunión con Administraciones Regionales</w:t>
            </w:r>
          </w:p>
        </w:tc>
        <w:tc>
          <w:tcPr>
            <w:tcW w:w="2977" w:type="dxa"/>
          </w:tcPr>
          <w:p w14:paraId="5125E96A"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30 de noviembre de 2022</w:t>
            </w:r>
          </w:p>
        </w:tc>
      </w:tr>
      <w:tr w:rsidR="00C477CA" w:rsidRPr="00BF2076" w14:paraId="7CB63CEF" w14:textId="77777777" w:rsidTr="001E5C55">
        <w:trPr>
          <w:jc w:val="right"/>
        </w:trPr>
        <w:tc>
          <w:tcPr>
            <w:tcW w:w="4673" w:type="dxa"/>
          </w:tcPr>
          <w:p w14:paraId="419A97C2"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Consejo de Administración de Alajuela</w:t>
            </w:r>
          </w:p>
        </w:tc>
        <w:tc>
          <w:tcPr>
            <w:tcW w:w="2977" w:type="dxa"/>
          </w:tcPr>
          <w:p w14:paraId="62BCB69B"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14 de diciembre de 2022</w:t>
            </w:r>
          </w:p>
        </w:tc>
      </w:tr>
      <w:tr w:rsidR="00C477CA" w:rsidRPr="00BF2076" w14:paraId="152EC35C" w14:textId="77777777" w:rsidTr="001E5C55">
        <w:trPr>
          <w:jc w:val="right"/>
        </w:trPr>
        <w:tc>
          <w:tcPr>
            <w:tcW w:w="4673" w:type="dxa"/>
          </w:tcPr>
          <w:p w14:paraId="764C9ADA"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Oficina de Defensa Civil de la Víctima</w:t>
            </w:r>
          </w:p>
        </w:tc>
        <w:tc>
          <w:tcPr>
            <w:tcW w:w="2977" w:type="dxa"/>
          </w:tcPr>
          <w:p w14:paraId="73DD8B1D"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13 de diciembre de 2022</w:t>
            </w:r>
          </w:p>
        </w:tc>
      </w:tr>
      <w:tr w:rsidR="00C477CA" w:rsidRPr="00BF2076" w14:paraId="729B4D07" w14:textId="77777777" w:rsidTr="001E5C55">
        <w:trPr>
          <w:jc w:val="right"/>
        </w:trPr>
        <w:tc>
          <w:tcPr>
            <w:tcW w:w="4673" w:type="dxa"/>
          </w:tcPr>
          <w:p w14:paraId="3E096296"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Subproceso de Salud Ocupacional</w:t>
            </w:r>
          </w:p>
        </w:tc>
        <w:tc>
          <w:tcPr>
            <w:tcW w:w="2977" w:type="dxa"/>
          </w:tcPr>
          <w:p w14:paraId="0917D6E2" w14:textId="77777777" w:rsidR="00C477CA" w:rsidRPr="00BF2076" w:rsidRDefault="00C477CA" w:rsidP="001E5C55">
            <w:pPr>
              <w:pStyle w:val="Prrafodelista"/>
              <w:ind w:left="0"/>
              <w:rPr>
                <w:rFonts w:ascii="Arial" w:hAnsi="Arial" w:cs="Arial"/>
                <w:lang w:eastAsia="es-CR"/>
              </w:rPr>
            </w:pPr>
            <w:r w:rsidRPr="00BF2076">
              <w:rPr>
                <w:rFonts w:ascii="Arial" w:hAnsi="Arial" w:cs="Arial"/>
                <w:lang w:eastAsia="es-CR"/>
              </w:rPr>
              <w:t>16 de diciembre de 2022</w:t>
            </w:r>
          </w:p>
        </w:tc>
      </w:tr>
      <w:tr w:rsidR="00C477CA" w:rsidRPr="00BF2076" w14:paraId="3C8A6D5F" w14:textId="77777777" w:rsidTr="001E5C55">
        <w:trPr>
          <w:jc w:val="right"/>
        </w:trPr>
        <w:tc>
          <w:tcPr>
            <w:tcW w:w="4673" w:type="dxa"/>
          </w:tcPr>
          <w:p w14:paraId="2B51E4C1" w14:textId="6FDAE6EA" w:rsidR="00C477CA" w:rsidRPr="00BF2076" w:rsidRDefault="00E55E8C" w:rsidP="001E5C55">
            <w:pPr>
              <w:pStyle w:val="Prrafodelista"/>
              <w:ind w:left="0"/>
              <w:rPr>
                <w:rFonts w:ascii="Arial" w:hAnsi="Arial" w:cs="Arial"/>
                <w:lang w:eastAsia="es-CR"/>
              </w:rPr>
            </w:pPr>
            <w:r w:rsidRPr="00BF2076">
              <w:rPr>
                <w:rFonts w:ascii="Arial" w:hAnsi="Arial" w:cs="Arial"/>
                <w:lang w:eastAsia="es-CR"/>
              </w:rPr>
              <w:t>Consejo de Administración del II Circuito Judicial de San José</w:t>
            </w:r>
          </w:p>
        </w:tc>
        <w:tc>
          <w:tcPr>
            <w:tcW w:w="2977" w:type="dxa"/>
          </w:tcPr>
          <w:p w14:paraId="7FC17AA1" w14:textId="2C3ADE9D" w:rsidR="00C477CA" w:rsidRPr="00BF2076" w:rsidRDefault="00E55E8C" w:rsidP="001E5C55">
            <w:pPr>
              <w:pStyle w:val="Prrafodelista"/>
              <w:ind w:left="0"/>
              <w:rPr>
                <w:rFonts w:ascii="Arial" w:hAnsi="Arial" w:cs="Arial"/>
                <w:lang w:eastAsia="es-CR"/>
              </w:rPr>
            </w:pPr>
            <w:r w:rsidRPr="00BF2076">
              <w:rPr>
                <w:rFonts w:ascii="Arial" w:hAnsi="Arial" w:cs="Arial"/>
                <w:lang w:eastAsia="es-CR"/>
              </w:rPr>
              <w:t>26 de enero de 2023</w:t>
            </w:r>
          </w:p>
        </w:tc>
      </w:tr>
      <w:tr w:rsidR="00C477CA" w:rsidRPr="00BF2076" w14:paraId="66B39082" w14:textId="77777777" w:rsidTr="001E5C55">
        <w:trPr>
          <w:jc w:val="right"/>
        </w:trPr>
        <w:tc>
          <w:tcPr>
            <w:tcW w:w="4673" w:type="dxa"/>
          </w:tcPr>
          <w:p w14:paraId="183482AA" w14:textId="05E303A3" w:rsidR="00C477CA" w:rsidRPr="00BF2076" w:rsidRDefault="00E55E8C" w:rsidP="001E5C55">
            <w:pPr>
              <w:pStyle w:val="Prrafodelista"/>
              <w:ind w:left="0"/>
              <w:rPr>
                <w:rFonts w:ascii="Arial" w:hAnsi="Arial" w:cs="Arial"/>
                <w:lang w:eastAsia="es-CR"/>
              </w:rPr>
            </w:pPr>
            <w:r w:rsidRPr="00BF2076">
              <w:rPr>
                <w:rFonts w:ascii="Arial" w:hAnsi="Arial" w:cs="Arial"/>
                <w:lang w:eastAsia="es-CR"/>
              </w:rPr>
              <w:t>Consejo de Administración del I y III Circuito Judicial de San José</w:t>
            </w:r>
          </w:p>
        </w:tc>
        <w:tc>
          <w:tcPr>
            <w:tcW w:w="2977" w:type="dxa"/>
          </w:tcPr>
          <w:p w14:paraId="31856D01" w14:textId="15981179" w:rsidR="00C477CA" w:rsidRPr="00BF2076" w:rsidRDefault="00E55E8C" w:rsidP="001E5C55">
            <w:pPr>
              <w:pStyle w:val="Prrafodelista"/>
              <w:ind w:left="0"/>
              <w:rPr>
                <w:rFonts w:ascii="Arial" w:hAnsi="Arial" w:cs="Arial"/>
                <w:lang w:eastAsia="es-CR"/>
              </w:rPr>
            </w:pPr>
            <w:r w:rsidRPr="00BF2076">
              <w:rPr>
                <w:rFonts w:ascii="Arial" w:hAnsi="Arial" w:cs="Arial"/>
                <w:lang w:eastAsia="es-CR"/>
              </w:rPr>
              <w:t>26 de enero de 2023</w:t>
            </w:r>
          </w:p>
        </w:tc>
      </w:tr>
      <w:tr w:rsidR="00C477CA" w:rsidRPr="00BF2076" w14:paraId="12D2C4D3" w14:textId="77777777" w:rsidTr="001E5C55">
        <w:trPr>
          <w:jc w:val="right"/>
        </w:trPr>
        <w:tc>
          <w:tcPr>
            <w:tcW w:w="4673" w:type="dxa"/>
          </w:tcPr>
          <w:p w14:paraId="436A75DB" w14:textId="19504E82" w:rsidR="00C477CA" w:rsidRPr="00BF2076" w:rsidRDefault="00E200B8" w:rsidP="001E5C55">
            <w:pPr>
              <w:pStyle w:val="Prrafodelista"/>
              <w:ind w:left="0"/>
              <w:rPr>
                <w:rFonts w:ascii="Arial" w:hAnsi="Arial" w:cs="Arial"/>
                <w:lang w:eastAsia="es-CR"/>
              </w:rPr>
            </w:pPr>
            <w:r w:rsidRPr="00BF2076">
              <w:rPr>
                <w:rFonts w:ascii="Arial" w:hAnsi="Arial" w:cs="Arial"/>
                <w:lang w:eastAsia="es-CR"/>
              </w:rPr>
              <w:t>Consejo de Administración del II Circuito Judicial de Guanacaste, Nicoya</w:t>
            </w:r>
          </w:p>
        </w:tc>
        <w:tc>
          <w:tcPr>
            <w:tcW w:w="2977" w:type="dxa"/>
          </w:tcPr>
          <w:p w14:paraId="6638243A" w14:textId="3FE06F94" w:rsidR="00C477CA" w:rsidRPr="00BF2076" w:rsidRDefault="00E200B8" w:rsidP="001E5C55">
            <w:pPr>
              <w:pStyle w:val="Prrafodelista"/>
              <w:ind w:left="0"/>
              <w:rPr>
                <w:rFonts w:ascii="Arial" w:hAnsi="Arial" w:cs="Arial"/>
                <w:lang w:eastAsia="es-CR"/>
              </w:rPr>
            </w:pPr>
            <w:r w:rsidRPr="00BF2076">
              <w:rPr>
                <w:rFonts w:ascii="Arial" w:hAnsi="Arial" w:cs="Arial"/>
                <w:lang w:eastAsia="es-CR"/>
              </w:rPr>
              <w:t>3 de febrero de 2023</w:t>
            </w:r>
          </w:p>
        </w:tc>
      </w:tr>
      <w:tr w:rsidR="00E200B8" w:rsidRPr="00BF2076" w14:paraId="49588BD6" w14:textId="77777777" w:rsidTr="001E5C55">
        <w:trPr>
          <w:jc w:val="right"/>
        </w:trPr>
        <w:tc>
          <w:tcPr>
            <w:tcW w:w="4673" w:type="dxa"/>
          </w:tcPr>
          <w:p w14:paraId="56E99F31" w14:textId="1DDBC7CE" w:rsidR="00E200B8" w:rsidRPr="00BF2076" w:rsidRDefault="00E200B8" w:rsidP="001E5C55">
            <w:pPr>
              <w:pStyle w:val="Prrafodelista"/>
              <w:ind w:left="0"/>
              <w:rPr>
                <w:rFonts w:ascii="Arial" w:hAnsi="Arial" w:cs="Arial"/>
                <w:lang w:eastAsia="es-CR"/>
              </w:rPr>
            </w:pPr>
            <w:r w:rsidRPr="00BF2076">
              <w:rPr>
                <w:rFonts w:ascii="Arial" w:hAnsi="Arial" w:cs="Arial"/>
                <w:lang w:eastAsia="es-CR"/>
              </w:rPr>
              <w:t>Consejo de Administración del III Circuito Judicial de Alajuela, Sede Grecia</w:t>
            </w:r>
          </w:p>
        </w:tc>
        <w:tc>
          <w:tcPr>
            <w:tcW w:w="2977" w:type="dxa"/>
          </w:tcPr>
          <w:p w14:paraId="5B8CF324" w14:textId="5F72E34E" w:rsidR="00E200B8" w:rsidRPr="00BF2076" w:rsidRDefault="00E200B8" w:rsidP="001E5C55">
            <w:pPr>
              <w:pStyle w:val="Prrafodelista"/>
              <w:ind w:left="0"/>
              <w:rPr>
                <w:rFonts w:ascii="Arial" w:hAnsi="Arial" w:cs="Arial"/>
                <w:lang w:eastAsia="es-CR"/>
              </w:rPr>
            </w:pPr>
            <w:r w:rsidRPr="00BF2076">
              <w:rPr>
                <w:rFonts w:ascii="Arial" w:hAnsi="Arial" w:cs="Arial"/>
                <w:lang w:eastAsia="es-CR"/>
              </w:rPr>
              <w:t>8 de febrero de 2023</w:t>
            </w:r>
          </w:p>
        </w:tc>
      </w:tr>
      <w:tr w:rsidR="00E200B8" w:rsidRPr="00BF2076" w14:paraId="61207A98" w14:textId="77777777" w:rsidTr="001E5C55">
        <w:trPr>
          <w:jc w:val="right"/>
        </w:trPr>
        <w:tc>
          <w:tcPr>
            <w:tcW w:w="4673" w:type="dxa"/>
          </w:tcPr>
          <w:p w14:paraId="4270D628" w14:textId="1C750BA5" w:rsidR="00E200B8" w:rsidRPr="00BF2076" w:rsidRDefault="00E200B8" w:rsidP="001E5C55">
            <w:pPr>
              <w:pStyle w:val="Prrafodelista"/>
              <w:ind w:left="0"/>
              <w:rPr>
                <w:rFonts w:ascii="Arial" w:hAnsi="Arial" w:cs="Arial"/>
                <w:lang w:eastAsia="es-CR"/>
              </w:rPr>
            </w:pPr>
            <w:r w:rsidRPr="00BF2076">
              <w:rPr>
                <w:rFonts w:ascii="Arial" w:hAnsi="Arial" w:cs="Arial"/>
                <w:lang w:eastAsia="es-CR"/>
              </w:rPr>
              <w:t>Consejo de Administración del II Circuito Judicial de la Zona Atlántica (Pococí)</w:t>
            </w:r>
          </w:p>
        </w:tc>
        <w:tc>
          <w:tcPr>
            <w:tcW w:w="2977" w:type="dxa"/>
          </w:tcPr>
          <w:p w14:paraId="7DD4A08F" w14:textId="46A0415D" w:rsidR="00E200B8" w:rsidRPr="00BF2076" w:rsidRDefault="00E200B8" w:rsidP="001E5C55">
            <w:pPr>
              <w:pStyle w:val="Prrafodelista"/>
              <w:ind w:left="0"/>
              <w:rPr>
                <w:rFonts w:ascii="Arial" w:hAnsi="Arial" w:cs="Arial"/>
                <w:lang w:eastAsia="es-CR"/>
              </w:rPr>
            </w:pPr>
            <w:r w:rsidRPr="00BF2076">
              <w:rPr>
                <w:rFonts w:ascii="Arial" w:hAnsi="Arial" w:cs="Arial"/>
                <w:lang w:eastAsia="es-CR"/>
              </w:rPr>
              <w:t>21 de marzo de 2023</w:t>
            </w:r>
          </w:p>
        </w:tc>
      </w:tr>
      <w:tr w:rsidR="00E200B8" w:rsidRPr="00BF2076" w14:paraId="3433C426" w14:textId="77777777" w:rsidTr="001E5C55">
        <w:trPr>
          <w:jc w:val="right"/>
        </w:trPr>
        <w:tc>
          <w:tcPr>
            <w:tcW w:w="4673" w:type="dxa"/>
          </w:tcPr>
          <w:p w14:paraId="13201B86" w14:textId="6E2C4329" w:rsidR="00E200B8" w:rsidRPr="00BF2076" w:rsidRDefault="00E200B8" w:rsidP="001E5C55">
            <w:pPr>
              <w:pStyle w:val="Prrafodelista"/>
              <w:ind w:left="0"/>
              <w:rPr>
                <w:rFonts w:ascii="Arial" w:hAnsi="Arial" w:cs="Arial"/>
                <w:lang w:eastAsia="es-CR"/>
              </w:rPr>
            </w:pPr>
            <w:r w:rsidRPr="00BF2076">
              <w:rPr>
                <w:rFonts w:ascii="Arial" w:hAnsi="Arial" w:cs="Arial"/>
                <w:lang w:eastAsia="es-CR"/>
              </w:rPr>
              <w:t>Consejo de Administración del I Circuito Judicial de Guanacaste (Liberia)</w:t>
            </w:r>
          </w:p>
        </w:tc>
        <w:tc>
          <w:tcPr>
            <w:tcW w:w="2977" w:type="dxa"/>
          </w:tcPr>
          <w:p w14:paraId="51CCADC8" w14:textId="22951AEE" w:rsidR="00E200B8" w:rsidRPr="00BF2076" w:rsidRDefault="00E200B8" w:rsidP="001E5C55">
            <w:pPr>
              <w:pStyle w:val="Prrafodelista"/>
              <w:ind w:left="0"/>
              <w:rPr>
                <w:rFonts w:ascii="Arial" w:hAnsi="Arial" w:cs="Arial"/>
                <w:lang w:eastAsia="es-CR"/>
              </w:rPr>
            </w:pPr>
            <w:r w:rsidRPr="00BF2076">
              <w:rPr>
                <w:rFonts w:ascii="Arial" w:hAnsi="Arial" w:cs="Arial"/>
                <w:lang w:eastAsia="es-CR"/>
              </w:rPr>
              <w:t>28 de marzo de 2023</w:t>
            </w:r>
          </w:p>
        </w:tc>
      </w:tr>
      <w:tr w:rsidR="00E200B8" w:rsidRPr="00BF2076" w14:paraId="1E203CF1" w14:textId="77777777" w:rsidTr="001E5C55">
        <w:trPr>
          <w:jc w:val="right"/>
        </w:trPr>
        <w:tc>
          <w:tcPr>
            <w:tcW w:w="4673" w:type="dxa"/>
          </w:tcPr>
          <w:p w14:paraId="04970CA6" w14:textId="0D2791CF" w:rsidR="00E200B8" w:rsidRPr="00BF2076" w:rsidRDefault="00E200B8" w:rsidP="001E5C55">
            <w:pPr>
              <w:pStyle w:val="Prrafodelista"/>
              <w:ind w:left="0"/>
              <w:rPr>
                <w:rFonts w:ascii="Arial" w:hAnsi="Arial" w:cs="Arial"/>
                <w:lang w:eastAsia="es-CR"/>
              </w:rPr>
            </w:pPr>
            <w:r w:rsidRPr="00BF2076">
              <w:rPr>
                <w:rFonts w:ascii="Arial" w:hAnsi="Arial" w:cs="Arial"/>
                <w:lang w:eastAsia="es-CR"/>
              </w:rPr>
              <w:t>Consejo de Administración del I Circuito Judicial de la Zona Atlántica (Limón)</w:t>
            </w:r>
          </w:p>
        </w:tc>
        <w:tc>
          <w:tcPr>
            <w:tcW w:w="2977" w:type="dxa"/>
          </w:tcPr>
          <w:p w14:paraId="31CCF002" w14:textId="32B99FBA" w:rsidR="00E200B8" w:rsidRPr="00BF2076" w:rsidRDefault="00E200B8" w:rsidP="001E5C55">
            <w:pPr>
              <w:pStyle w:val="Prrafodelista"/>
              <w:ind w:left="0"/>
              <w:rPr>
                <w:rFonts w:ascii="Arial" w:hAnsi="Arial" w:cs="Arial"/>
                <w:lang w:eastAsia="es-CR"/>
              </w:rPr>
            </w:pPr>
            <w:r w:rsidRPr="00BF2076">
              <w:rPr>
                <w:rFonts w:ascii="Arial" w:hAnsi="Arial" w:cs="Arial"/>
                <w:lang w:eastAsia="es-CR"/>
              </w:rPr>
              <w:t>30 de marzo de 2023</w:t>
            </w:r>
          </w:p>
        </w:tc>
      </w:tr>
    </w:tbl>
    <w:p w14:paraId="212033C8" w14:textId="31C2154D" w:rsidR="00C477CA" w:rsidRPr="00BF2076" w:rsidRDefault="00C477CA" w:rsidP="001F2D50">
      <w:pPr>
        <w:spacing w:after="0" w:line="240" w:lineRule="auto"/>
        <w:jc w:val="both"/>
        <w:rPr>
          <w:rFonts w:ascii="Arial" w:hAnsi="Arial" w:cs="Arial"/>
          <w:bCs/>
        </w:rPr>
      </w:pPr>
    </w:p>
    <w:p w14:paraId="7DB7FEBD" w14:textId="282C932F" w:rsidR="00E20D13" w:rsidRPr="00BF2076" w:rsidRDefault="00E20D13" w:rsidP="001F2D50">
      <w:pPr>
        <w:spacing w:after="0" w:line="240" w:lineRule="auto"/>
        <w:jc w:val="both"/>
        <w:rPr>
          <w:rFonts w:ascii="Arial" w:hAnsi="Arial" w:cs="Arial"/>
          <w:bCs/>
        </w:rPr>
      </w:pPr>
      <w:r w:rsidRPr="00BF2076">
        <w:rPr>
          <w:rFonts w:ascii="Arial" w:hAnsi="Arial" w:cs="Arial"/>
          <w:bCs/>
        </w:rPr>
        <w:t xml:space="preserve">Además, se tiene contemplado realizar exposición del tema al Consejo de Administración de Turrialba, según audiencia concedida para el 11 de abril de 2023. </w:t>
      </w:r>
    </w:p>
    <w:p w14:paraId="6567F1BC" w14:textId="77777777" w:rsidR="00F4547F" w:rsidRPr="00BF2076" w:rsidRDefault="00F4547F" w:rsidP="004514FE">
      <w:pPr>
        <w:spacing w:after="0" w:line="240" w:lineRule="auto"/>
        <w:jc w:val="center"/>
        <w:rPr>
          <w:rFonts w:ascii="Arial" w:hAnsi="Arial" w:cs="Arial"/>
          <w:b/>
          <w:color w:val="2F5496"/>
        </w:rPr>
      </w:pPr>
    </w:p>
    <w:p w14:paraId="0572F7E0" w14:textId="436CB16E" w:rsidR="00F4547F" w:rsidRPr="00BF2076" w:rsidRDefault="00F4547F" w:rsidP="004514FE">
      <w:pPr>
        <w:spacing w:after="0" w:line="240" w:lineRule="auto"/>
        <w:jc w:val="both"/>
        <w:rPr>
          <w:rFonts w:ascii="Arial" w:eastAsia="Times New Roman" w:hAnsi="Arial" w:cs="Arial"/>
          <w:b/>
          <w:bCs/>
          <w:lang w:eastAsia="es-ES"/>
        </w:rPr>
      </w:pPr>
      <w:r w:rsidRPr="00BF2076">
        <w:rPr>
          <w:rFonts w:ascii="Arial" w:eastAsia="Times New Roman" w:hAnsi="Arial" w:cs="Arial"/>
          <w:b/>
          <w:bCs/>
          <w:lang w:eastAsia="es-ES"/>
        </w:rPr>
        <w:t>Se acuerda:</w:t>
      </w:r>
      <w:r w:rsidRPr="00BF2076">
        <w:rPr>
          <w:rFonts w:ascii="Arial" w:eastAsia="Times New Roman" w:hAnsi="Arial" w:cs="Arial"/>
          <w:lang w:eastAsia="es-ES"/>
        </w:rPr>
        <w:t xml:space="preserve"> </w:t>
      </w:r>
      <w:r w:rsidRPr="00BF2076">
        <w:rPr>
          <w:rFonts w:ascii="Arial" w:eastAsia="Times New Roman" w:hAnsi="Arial" w:cs="Arial"/>
          <w:b/>
          <w:bCs/>
          <w:lang w:eastAsia="es-ES"/>
        </w:rPr>
        <w:t xml:space="preserve">1) </w:t>
      </w:r>
      <w:r w:rsidRPr="00BF2076">
        <w:rPr>
          <w:rFonts w:ascii="Arial" w:hAnsi="Arial" w:cs="Arial"/>
          <w:lang w:eastAsia="es-ES"/>
        </w:rPr>
        <w:t>Se toma nota de las acciones realizadas por el Subproceso</w:t>
      </w:r>
      <w:r w:rsidR="00F42911" w:rsidRPr="00BF2076">
        <w:rPr>
          <w:rFonts w:ascii="Arial" w:hAnsi="Arial" w:cs="Arial"/>
          <w:lang w:eastAsia="es-ES"/>
        </w:rPr>
        <w:t xml:space="preserve"> de Gestión de Continuidad del Servicio.</w:t>
      </w:r>
      <w:r w:rsidR="00F42911" w:rsidRPr="00BF2076">
        <w:rPr>
          <w:rFonts w:ascii="Arial" w:hAnsi="Arial" w:cs="Arial"/>
          <w:b/>
          <w:bCs/>
          <w:lang w:eastAsia="es-ES"/>
        </w:rPr>
        <w:t xml:space="preserve"> 2)</w:t>
      </w:r>
      <w:r w:rsidR="00F42911" w:rsidRPr="00BF2076">
        <w:rPr>
          <w:rFonts w:ascii="Arial" w:hAnsi="Arial" w:cs="Arial"/>
          <w:lang w:eastAsia="es-ES"/>
        </w:rPr>
        <w:t xml:space="preserve"> Este Subproceso deberá remitir oficio a los Consejos pendientes, para atender lo requerido por el Consejo Superior.</w:t>
      </w:r>
      <w:r w:rsidRPr="00BF2076">
        <w:rPr>
          <w:rFonts w:ascii="Arial" w:eastAsia="Times New Roman" w:hAnsi="Arial" w:cs="Arial"/>
          <w:lang w:eastAsia="es-ES"/>
        </w:rPr>
        <w:t xml:space="preserve"> </w:t>
      </w:r>
      <w:r w:rsidRPr="00BF2076">
        <w:rPr>
          <w:rFonts w:ascii="Arial" w:eastAsia="Times New Roman" w:hAnsi="Arial" w:cs="Arial"/>
          <w:b/>
          <w:bCs/>
          <w:lang w:eastAsia="es-ES"/>
        </w:rPr>
        <w:t xml:space="preserve">ACUERDO FIRME. </w:t>
      </w:r>
    </w:p>
    <w:p w14:paraId="0F4B6844" w14:textId="024E3131" w:rsidR="00D3486F" w:rsidRPr="00BF2076" w:rsidRDefault="00D3486F" w:rsidP="004514FE">
      <w:pPr>
        <w:spacing w:after="0" w:line="240" w:lineRule="auto"/>
        <w:jc w:val="center"/>
        <w:rPr>
          <w:rFonts w:ascii="Arial" w:eastAsia="Times New Roman" w:hAnsi="Arial" w:cs="Arial"/>
          <w:lang w:eastAsia="es-ES"/>
        </w:rPr>
      </w:pPr>
    </w:p>
    <w:p w14:paraId="0CC1E4CB" w14:textId="77777777" w:rsidR="00F4547F" w:rsidRPr="00BF2076" w:rsidRDefault="00F4547F" w:rsidP="004514FE">
      <w:pPr>
        <w:spacing w:after="0" w:line="240" w:lineRule="auto"/>
        <w:jc w:val="center"/>
        <w:rPr>
          <w:rFonts w:ascii="Arial" w:eastAsia="Times New Roman" w:hAnsi="Arial" w:cs="Arial"/>
          <w:lang w:eastAsia="es-ES"/>
        </w:rPr>
      </w:pPr>
    </w:p>
    <w:p w14:paraId="79DAD1CF" w14:textId="45F20025" w:rsidR="00F4547F" w:rsidRPr="00BF2076" w:rsidRDefault="00F4547F" w:rsidP="004514FE">
      <w:pPr>
        <w:spacing w:after="0" w:line="240" w:lineRule="auto"/>
        <w:jc w:val="center"/>
        <w:rPr>
          <w:rFonts w:ascii="Arial" w:hAnsi="Arial" w:cs="Arial"/>
          <w:b/>
          <w:color w:val="2F5496"/>
        </w:rPr>
      </w:pPr>
      <w:r w:rsidRPr="00BF2076">
        <w:rPr>
          <w:rFonts w:ascii="Arial" w:hAnsi="Arial" w:cs="Arial"/>
          <w:b/>
          <w:color w:val="2F5496"/>
        </w:rPr>
        <w:t>ARTÍCULO IV</w:t>
      </w:r>
    </w:p>
    <w:p w14:paraId="1C92FB20" w14:textId="4DB8BF8F" w:rsidR="00F4547F" w:rsidRPr="00BF2076" w:rsidRDefault="00F4547F" w:rsidP="004514FE">
      <w:pPr>
        <w:spacing w:after="0" w:line="240" w:lineRule="auto"/>
        <w:jc w:val="center"/>
        <w:rPr>
          <w:rFonts w:ascii="Arial" w:eastAsia="Times New Roman" w:hAnsi="Arial" w:cs="Arial"/>
          <w:lang w:eastAsia="es-ES"/>
        </w:rPr>
      </w:pPr>
    </w:p>
    <w:p w14:paraId="6F41338B" w14:textId="48DCA2AD" w:rsidR="00723FD3" w:rsidRDefault="008C3494" w:rsidP="008C3494">
      <w:pPr>
        <w:spacing w:after="0" w:line="240" w:lineRule="auto"/>
        <w:jc w:val="both"/>
        <w:rPr>
          <w:rFonts w:ascii="Arial" w:eastAsia="Times New Roman" w:hAnsi="Arial" w:cs="Arial"/>
          <w:lang w:eastAsia="es-ES"/>
        </w:rPr>
      </w:pPr>
      <w:r>
        <w:rPr>
          <w:rFonts w:ascii="Arial" w:eastAsia="Times New Roman" w:hAnsi="Arial" w:cs="Arial"/>
          <w:lang w:eastAsia="es-ES"/>
        </w:rPr>
        <w:t xml:space="preserve">Para conocimiento del Comité Técnico, el Subproceso de Gestión de la Continuidad informa </w:t>
      </w:r>
      <w:proofErr w:type="gramStart"/>
      <w:r>
        <w:rPr>
          <w:rFonts w:ascii="Arial" w:eastAsia="Times New Roman" w:hAnsi="Arial" w:cs="Arial"/>
          <w:lang w:eastAsia="es-ES"/>
        </w:rPr>
        <w:t>que</w:t>
      </w:r>
      <w:proofErr w:type="gramEnd"/>
      <w:r>
        <w:rPr>
          <w:rFonts w:ascii="Arial" w:eastAsia="Times New Roman" w:hAnsi="Arial" w:cs="Arial"/>
          <w:lang w:eastAsia="es-ES"/>
        </w:rPr>
        <w:t xml:space="preserve"> </w:t>
      </w:r>
      <w:r w:rsidR="00723FD3">
        <w:rPr>
          <w:rFonts w:ascii="Arial" w:eastAsia="Times New Roman" w:hAnsi="Arial" w:cs="Arial"/>
          <w:lang w:eastAsia="es-ES"/>
        </w:rPr>
        <w:t>ante gestión presentada por esta oficina ante la Dirección de Gestión Humana para el desarrollo de un curso virtual en el tema de continuidad de servicios, el Subproceso de Gestión de la Capacitación, PJ-DHG-CAP-66-2023 del 13 de febrero de 2023, entre otros aspectos, indica:</w:t>
      </w:r>
    </w:p>
    <w:p w14:paraId="4BBB3625" w14:textId="5933819A" w:rsidR="00723FD3" w:rsidRPr="00723FD3" w:rsidRDefault="00723FD3" w:rsidP="00723FD3">
      <w:pPr>
        <w:spacing w:before="240" w:after="240" w:line="240" w:lineRule="auto"/>
        <w:ind w:left="851"/>
        <w:jc w:val="both"/>
        <w:rPr>
          <w:rFonts w:ascii="Arial" w:eastAsia="Times New Roman" w:hAnsi="Arial" w:cs="Arial"/>
          <w:i/>
          <w:iCs/>
          <w:lang w:eastAsia="es-ES"/>
        </w:rPr>
      </w:pPr>
      <w:r>
        <w:rPr>
          <w:rFonts w:ascii="Arial" w:hAnsi="Arial" w:cs="Arial"/>
          <w:i/>
          <w:iCs/>
          <w:lang w:val="es-ES"/>
        </w:rPr>
        <w:lastRenderedPageBreak/>
        <w:t>“</w:t>
      </w:r>
      <w:r w:rsidRPr="00723FD3">
        <w:rPr>
          <w:rFonts w:ascii="Arial" w:hAnsi="Arial" w:cs="Arial"/>
          <w:i/>
          <w:iCs/>
          <w:lang w:val="es-ES"/>
        </w:rPr>
        <w:t xml:space="preserve">Reciban un cordial saludo. En respuesta al oficio 03-DE-SGCS-2023, en el que comunica el acuerdo tomado </w:t>
      </w:r>
      <w:r w:rsidRPr="00723FD3">
        <w:rPr>
          <w:rFonts w:ascii="Arial" w:eastAsia="Times New Roman" w:hAnsi="Arial" w:cs="Arial"/>
          <w:i/>
          <w:iCs/>
          <w:lang w:eastAsia="es-ES"/>
        </w:rPr>
        <w:t>en la sesión del Consejo Superior número 48-2022, celebrada el 7 de junio del 2022, artículo LXXV, que aprobó la adopción del Sistema de Gestión de Continuidad del Servicio -SGCS- y la conformación del “Proceso de Gestión de Continuidad del Servicio”, como un nuevo proceso institucional, de naturaleza crítica y estratégica dentro del Poder Judicial. Y a su vez, en relación con este, también remite la solicitud a la licenciada Cheryl Bolaños Madrigal para desarrollar un curso virtual que proporcione al personal judicial conocimiento esencial en la gestión de la continuidad del servicio, por tratarse de un tema de suma importancia institucional.</w:t>
      </w:r>
    </w:p>
    <w:p w14:paraId="6819121D" w14:textId="3B2611FD" w:rsidR="00723FD3" w:rsidRPr="00723FD3" w:rsidRDefault="00723FD3" w:rsidP="00723FD3">
      <w:pPr>
        <w:suppressAutoHyphens/>
        <w:ind w:left="851"/>
        <w:jc w:val="both"/>
        <w:rPr>
          <w:rFonts w:ascii="Arial" w:hAnsi="Arial" w:cs="Arial"/>
          <w:i/>
          <w:iCs/>
        </w:rPr>
      </w:pPr>
      <w:r w:rsidRPr="00723FD3">
        <w:rPr>
          <w:rFonts w:ascii="Arial" w:hAnsi="Arial" w:cs="Arial"/>
          <w:i/>
          <w:iCs/>
        </w:rPr>
        <w:t>La Dirección de Gestión Humana, a través del Subproceso Gestión de la Capacitación, reconoce la</w:t>
      </w:r>
      <w:r w:rsidRPr="00723FD3">
        <w:rPr>
          <w:rFonts w:ascii="Arial" w:hAnsi="Arial" w:cs="Arial"/>
          <w:i/>
          <w:iCs/>
          <w:spacing w:val="1"/>
        </w:rPr>
        <w:t xml:space="preserve"> </w:t>
      </w:r>
      <w:r w:rsidRPr="00723FD3">
        <w:rPr>
          <w:rFonts w:ascii="Arial" w:hAnsi="Arial" w:cs="Arial"/>
          <w:i/>
          <w:iCs/>
        </w:rPr>
        <w:t>importancia de la formación continua como parte del éxito de los procesos estratégicos que plantea el</w:t>
      </w:r>
      <w:r w:rsidRPr="00723FD3">
        <w:rPr>
          <w:rFonts w:ascii="Arial" w:hAnsi="Arial" w:cs="Arial"/>
          <w:i/>
          <w:iCs/>
          <w:spacing w:val="1"/>
        </w:rPr>
        <w:t xml:space="preserve"> </w:t>
      </w:r>
      <w:r w:rsidRPr="00723FD3">
        <w:rPr>
          <w:rFonts w:ascii="Arial" w:hAnsi="Arial" w:cs="Arial"/>
          <w:i/>
          <w:iCs/>
        </w:rPr>
        <w:t>Poder</w:t>
      </w:r>
      <w:r w:rsidRPr="00723FD3">
        <w:rPr>
          <w:rFonts w:ascii="Arial" w:hAnsi="Arial" w:cs="Arial"/>
          <w:i/>
          <w:iCs/>
          <w:spacing w:val="-2"/>
        </w:rPr>
        <w:t xml:space="preserve"> </w:t>
      </w:r>
      <w:r w:rsidRPr="00723FD3">
        <w:rPr>
          <w:rFonts w:ascii="Arial" w:hAnsi="Arial" w:cs="Arial"/>
          <w:i/>
          <w:iCs/>
        </w:rPr>
        <w:t>Judicial</w:t>
      </w:r>
      <w:r w:rsidRPr="00723FD3">
        <w:rPr>
          <w:rFonts w:ascii="Arial" w:hAnsi="Arial" w:cs="Arial"/>
          <w:i/>
          <w:iCs/>
          <w:spacing w:val="-2"/>
        </w:rPr>
        <w:t xml:space="preserve"> </w:t>
      </w:r>
      <w:r w:rsidRPr="00723FD3">
        <w:rPr>
          <w:rFonts w:ascii="Arial" w:hAnsi="Arial" w:cs="Arial"/>
          <w:i/>
          <w:iCs/>
        </w:rPr>
        <w:t>y</w:t>
      </w:r>
      <w:r w:rsidRPr="00723FD3">
        <w:rPr>
          <w:rFonts w:ascii="Arial" w:hAnsi="Arial" w:cs="Arial"/>
          <w:i/>
          <w:iCs/>
          <w:spacing w:val="-1"/>
        </w:rPr>
        <w:t xml:space="preserve"> </w:t>
      </w:r>
      <w:r w:rsidRPr="00723FD3">
        <w:rPr>
          <w:rFonts w:ascii="Arial" w:hAnsi="Arial" w:cs="Arial"/>
          <w:i/>
          <w:iCs/>
        </w:rPr>
        <w:t>como</w:t>
      </w:r>
      <w:r w:rsidRPr="00723FD3">
        <w:rPr>
          <w:rFonts w:ascii="Arial" w:hAnsi="Arial" w:cs="Arial"/>
          <w:i/>
          <w:iCs/>
          <w:spacing w:val="-2"/>
        </w:rPr>
        <w:t xml:space="preserve"> </w:t>
      </w:r>
      <w:r w:rsidRPr="00723FD3">
        <w:rPr>
          <w:rFonts w:ascii="Arial" w:hAnsi="Arial" w:cs="Arial"/>
          <w:i/>
          <w:iCs/>
        </w:rPr>
        <w:t>mecanismo</w:t>
      </w:r>
      <w:r w:rsidRPr="00723FD3">
        <w:rPr>
          <w:rFonts w:ascii="Arial" w:hAnsi="Arial" w:cs="Arial"/>
          <w:i/>
          <w:iCs/>
          <w:spacing w:val="-1"/>
        </w:rPr>
        <w:t xml:space="preserve"> </w:t>
      </w:r>
      <w:r w:rsidRPr="00723FD3">
        <w:rPr>
          <w:rFonts w:ascii="Arial" w:hAnsi="Arial" w:cs="Arial"/>
          <w:i/>
          <w:iCs/>
        </w:rPr>
        <w:t>útil</w:t>
      </w:r>
      <w:r w:rsidRPr="00723FD3">
        <w:rPr>
          <w:rFonts w:ascii="Arial" w:hAnsi="Arial" w:cs="Arial"/>
          <w:i/>
          <w:iCs/>
          <w:spacing w:val="-2"/>
        </w:rPr>
        <w:t xml:space="preserve"> </w:t>
      </w:r>
      <w:r w:rsidRPr="00723FD3">
        <w:rPr>
          <w:rFonts w:ascii="Arial" w:hAnsi="Arial" w:cs="Arial"/>
          <w:i/>
          <w:iCs/>
        </w:rPr>
        <w:t>para</w:t>
      </w:r>
      <w:r w:rsidRPr="00723FD3">
        <w:rPr>
          <w:rFonts w:ascii="Arial" w:hAnsi="Arial" w:cs="Arial"/>
          <w:i/>
          <w:iCs/>
          <w:spacing w:val="-2"/>
        </w:rPr>
        <w:t xml:space="preserve"> </w:t>
      </w:r>
      <w:r w:rsidRPr="00723FD3">
        <w:rPr>
          <w:rFonts w:ascii="Arial" w:hAnsi="Arial" w:cs="Arial"/>
          <w:i/>
          <w:iCs/>
        </w:rPr>
        <w:t>potenciar</w:t>
      </w:r>
      <w:r w:rsidRPr="00723FD3">
        <w:rPr>
          <w:rFonts w:ascii="Arial" w:hAnsi="Arial" w:cs="Arial"/>
          <w:i/>
          <w:iCs/>
          <w:spacing w:val="-4"/>
        </w:rPr>
        <w:t xml:space="preserve"> </w:t>
      </w:r>
      <w:r w:rsidRPr="00723FD3">
        <w:rPr>
          <w:rFonts w:ascii="Arial" w:hAnsi="Arial" w:cs="Arial"/>
          <w:i/>
          <w:iCs/>
        </w:rPr>
        <w:t>el</w:t>
      </w:r>
      <w:r w:rsidRPr="00723FD3">
        <w:rPr>
          <w:rFonts w:ascii="Arial" w:hAnsi="Arial" w:cs="Arial"/>
          <w:i/>
          <w:iCs/>
          <w:spacing w:val="-1"/>
        </w:rPr>
        <w:t xml:space="preserve"> </w:t>
      </w:r>
      <w:r w:rsidRPr="00723FD3">
        <w:rPr>
          <w:rFonts w:ascii="Arial" w:hAnsi="Arial" w:cs="Arial"/>
          <w:i/>
          <w:iCs/>
        </w:rPr>
        <w:t>desarrollo</w:t>
      </w:r>
      <w:r w:rsidRPr="00723FD3">
        <w:rPr>
          <w:rFonts w:ascii="Arial" w:hAnsi="Arial" w:cs="Arial"/>
          <w:i/>
          <w:iCs/>
          <w:spacing w:val="-2"/>
        </w:rPr>
        <w:t xml:space="preserve"> </w:t>
      </w:r>
      <w:r w:rsidRPr="00723FD3">
        <w:rPr>
          <w:rFonts w:ascii="Arial" w:hAnsi="Arial" w:cs="Arial"/>
          <w:i/>
          <w:iCs/>
        </w:rPr>
        <w:t>de las</w:t>
      </w:r>
      <w:r w:rsidRPr="00723FD3">
        <w:rPr>
          <w:rFonts w:ascii="Arial" w:hAnsi="Arial" w:cs="Arial"/>
          <w:i/>
          <w:iCs/>
          <w:spacing w:val="-2"/>
        </w:rPr>
        <w:t xml:space="preserve"> </w:t>
      </w:r>
      <w:r w:rsidRPr="00723FD3">
        <w:rPr>
          <w:rFonts w:ascii="Arial" w:hAnsi="Arial" w:cs="Arial"/>
          <w:i/>
          <w:iCs/>
        </w:rPr>
        <w:t>competencias</w:t>
      </w:r>
      <w:r w:rsidRPr="00723FD3">
        <w:rPr>
          <w:rFonts w:ascii="Arial" w:hAnsi="Arial" w:cs="Arial"/>
          <w:i/>
          <w:iCs/>
          <w:spacing w:val="1"/>
        </w:rPr>
        <w:t xml:space="preserve"> </w:t>
      </w:r>
      <w:r w:rsidRPr="00723FD3">
        <w:rPr>
          <w:rFonts w:ascii="Arial" w:hAnsi="Arial" w:cs="Arial"/>
          <w:i/>
          <w:iCs/>
        </w:rPr>
        <w:t>tanto</w:t>
      </w:r>
      <w:r w:rsidRPr="00723FD3">
        <w:rPr>
          <w:rFonts w:ascii="Arial" w:hAnsi="Arial" w:cs="Arial"/>
          <w:i/>
          <w:iCs/>
          <w:spacing w:val="-2"/>
        </w:rPr>
        <w:t xml:space="preserve"> </w:t>
      </w:r>
      <w:r w:rsidRPr="00723FD3">
        <w:rPr>
          <w:rFonts w:ascii="Arial" w:hAnsi="Arial" w:cs="Arial"/>
          <w:i/>
          <w:iCs/>
        </w:rPr>
        <w:t>específicas como genéricas a cada puesto de trabajo y que, a su vez, permite incrementar y mantener la eficiencia,</w:t>
      </w:r>
      <w:r w:rsidRPr="00723FD3">
        <w:rPr>
          <w:rFonts w:ascii="Arial" w:hAnsi="Arial" w:cs="Arial"/>
          <w:i/>
          <w:iCs/>
          <w:spacing w:val="1"/>
        </w:rPr>
        <w:t xml:space="preserve"> </w:t>
      </w:r>
      <w:r w:rsidRPr="00723FD3">
        <w:rPr>
          <w:rFonts w:ascii="Arial" w:hAnsi="Arial" w:cs="Arial"/>
          <w:i/>
          <w:iCs/>
        </w:rPr>
        <w:t xml:space="preserve">así como el desarrollo personal y laboral de cada persona funcionaria judicial, para esto, cada año, en el Subproceso se define un Plan de Capacitación, en este se detallan los proyectos por desarrollar durante ese periodo y los cuales cuentan con el aval de la Dirección de Gestión Humana,  la Escuela Judicial y el Consejo Superior. </w:t>
      </w:r>
    </w:p>
    <w:p w14:paraId="24D8D939" w14:textId="10EFCD69" w:rsidR="00723FD3" w:rsidRPr="00723FD3" w:rsidRDefault="00723FD3" w:rsidP="00723FD3">
      <w:pPr>
        <w:suppressAutoHyphens/>
        <w:ind w:left="851"/>
        <w:jc w:val="both"/>
        <w:rPr>
          <w:rFonts w:ascii="Arial" w:hAnsi="Arial" w:cs="Arial"/>
        </w:rPr>
      </w:pPr>
      <w:r w:rsidRPr="00723FD3">
        <w:rPr>
          <w:rFonts w:ascii="Arial" w:hAnsi="Arial" w:cs="Arial"/>
          <w:i/>
          <w:iCs/>
        </w:rPr>
        <w:t xml:space="preserve">El Plan por desarrollar en el 2023 ya fue presentado y está en fase de aprobación ante el Consejo Superior, razón por la cual, no podríamos incluir este proyecto como prioridad de desarrollo para el presente año; </w:t>
      </w:r>
      <w:r w:rsidRPr="00723FD3">
        <w:rPr>
          <w:rFonts w:ascii="Arial" w:hAnsi="Arial" w:cs="Arial"/>
          <w:i/>
          <w:iCs/>
          <w:u w:val="single"/>
        </w:rPr>
        <w:t xml:space="preserve">sin embargo, se puede trabajar en forma paralela e ir asignando prioridad de acuerdo con la capacidad operativa y presupuestaria del Subproceso, esto, ya que en ocasiones algunos de los temas o cursos  que se definen en el Plan no se llevan a cabo por distintas situaciones que manifiesta la oficina solicitante y se reasigna ese espacio a algún proyecto que se encuentre en espera de ser atendido, como sería el caso del curso para </w:t>
      </w:r>
      <w:r w:rsidRPr="00723FD3">
        <w:rPr>
          <w:rFonts w:ascii="Arial" w:eastAsia="Times New Roman" w:hAnsi="Arial" w:cs="Arial"/>
          <w:i/>
          <w:iCs/>
          <w:u w:val="single"/>
          <w:lang w:eastAsia="es-ES"/>
        </w:rPr>
        <w:t>gestión de la continuidad del servicio</w:t>
      </w:r>
      <w:r w:rsidRPr="00723FD3">
        <w:rPr>
          <w:rFonts w:ascii="Arial" w:hAnsi="Arial" w:cs="Arial"/>
          <w:i/>
          <w:iCs/>
        </w:rPr>
        <w:t xml:space="preserve">.  </w:t>
      </w:r>
      <w:r>
        <w:rPr>
          <w:rFonts w:ascii="Arial" w:hAnsi="Arial" w:cs="Arial"/>
          <w:i/>
          <w:iCs/>
        </w:rPr>
        <w:t xml:space="preserve">[…]” </w:t>
      </w:r>
      <w:r>
        <w:rPr>
          <w:rFonts w:ascii="Arial" w:hAnsi="Arial" w:cs="Arial"/>
        </w:rPr>
        <w:t>(El subrayado ha sido agregado).</w:t>
      </w:r>
    </w:p>
    <w:p w14:paraId="0C960D73" w14:textId="77777777" w:rsidR="00723FD3" w:rsidRDefault="00723FD3" w:rsidP="008C3494">
      <w:pPr>
        <w:spacing w:after="0" w:line="240" w:lineRule="auto"/>
        <w:jc w:val="both"/>
        <w:rPr>
          <w:rFonts w:ascii="Arial" w:eastAsia="Times New Roman" w:hAnsi="Arial" w:cs="Arial"/>
          <w:lang w:eastAsia="es-ES"/>
        </w:rPr>
      </w:pPr>
    </w:p>
    <w:p w14:paraId="32679B3D" w14:textId="5E0CE0FD" w:rsidR="00723FD3" w:rsidRDefault="00723FD3" w:rsidP="008C3494">
      <w:pPr>
        <w:spacing w:after="0" w:line="240" w:lineRule="auto"/>
        <w:jc w:val="both"/>
        <w:rPr>
          <w:rFonts w:ascii="Arial" w:eastAsia="Times New Roman" w:hAnsi="Arial" w:cs="Arial"/>
          <w:lang w:eastAsia="es-ES"/>
        </w:rPr>
      </w:pPr>
      <w:r>
        <w:rPr>
          <w:rFonts w:ascii="Arial" w:eastAsia="Times New Roman" w:hAnsi="Arial" w:cs="Arial"/>
          <w:lang w:eastAsia="es-ES"/>
        </w:rPr>
        <w:t>En vista de este apoyo del Subproceso de la Gestión de la Capacitación de la Dirección de Gestión Humana, el Subproceso de Gestión de la Continuidad del Servicio ha iniciado las coordinaciones entre ambas oficinas, para adelantar, hasta donde sea factible según las condiciones indicadas en el oficio antes referid</w:t>
      </w:r>
      <w:r w:rsidR="00151F6B">
        <w:rPr>
          <w:rFonts w:ascii="Arial" w:eastAsia="Times New Roman" w:hAnsi="Arial" w:cs="Arial"/>
          <w:lang w:eastAsia="es-ES"/>
        </w:rPr>
        <w:t>o</w:t>
      </w:r>
      <w:r>
        <w:rPr>
          <w:rFonts w:ascii="Arial" w:eastAsia="Times New Roman" w:hAnsi="Arial" w:cs="Arial"/>
          <w:lang w:eastAsia="es-ES"/>
        </w:rPr>
        <w:t xml:space="preserve">, para el desarrollo de un curso virtual en materia de continuidad de servicios, dirigido a la población judicial. </w:t>
      </w:r>
    </w:p>
    <w:p w14:paraId="26F9D472" w14:textId="33634585" w:rsidR="000D5A37" w:rsidRPr="00BF2076" w:rsidRDefault="008C3494" w:rsidP="008C3494">
      <w:pPr>
        <w:spacing w:after="0" w:line="240" w:lineRule="auto"/>
        <w:jc w:val="both"/>
        <w:rPr>
          <w:rFonts w:ascii="Arial" w:eastAsia="Times New Roman" w:hAnsi="Arial" w:cs="Arial"/>
          <w:lang w:eastAsia="es-ES"/>
        </w:rPr>
      </w:pPr>
      <w:r>
        <w:rPr>
          <w:rFonts w:cstheme="minorHAnsi"/>
          <w:sz w:val="24"/>
          <w:szCs w:val="24"/>
        </w:rPr>
        <w:t xml:space="preserve"> </w:t>
      </w:r>
    </w:p>
    <w:p w14:paraId="33A10F64" w14:textId="77777777" w:rsidR="007C1969" w:rsidRPr="00BF2076" w:rsidRDefault="007C1969" w:rsidP="008C3494">
      <w:pPr>
        <w:spacing w:after="0" w:line="240" w:lineRule="auto"/>
        <w:jc w:val="both"/>
        <w:rPr>
          <w:rFonts w:ascii="Arial" w:eastAsia="Times New Roman" w:hAnsi="Arial" w:cs="Arial"/>
          <w:lang w:eastAsia="es-ES"/>
        </w:rPr>
      </w:pPr>
    </w:p>
    <w:p w14:paraId="54C8F1AE" w14:textId="58A454AB" w:rsidR="000D5A37" w:rsidRPr="00BF2076" w:rsidRDefault="007C1969" w:rsidP="004514FE">
      <w:pPr>
        <w:spacing w:after="0" w:line="240" w:lineRule="auto"/>
        <w:jc w:val="both"/>
        <w:rPr>
          <w:rFonts w:ascii="Arial" w:hAnsi="Arial" w:cs="Arial"/>
          <w:b/>
          <w:color w:val="2F5496"/>
        </w:rPr>
      </w:pPr>
      <w:r w:rsidRPr="00BF2076">
        <w:rPr>
          <w:rFonts w:ascii="Arial" w:eastAsia="Times New Roman" w:hAnsi="Arial" w:cs="Arial"/>
          <w:b/>
          <w:bCs/>
          <w:lang w:eastAsia="es-ES"/>
        </w:rPr>
        <w:t>Se acuerda:</w:t>
      </w:r>
      <w:r w:rsidRPr="00BF2076">
        <w:rPr>
          <w:rFonts w:ascii="Arial" w:eastAsia="Times New Roman" w:hAnsi="Arial" w:cs="Arial"/>
          <w:lang w:eastAsia="es-ES"/>
        </w:rPr>
        <w:t xml:space="preserve"> </w:t>
      </w:r>
      <w:r w:rsidR="00323988" w:rsidRPr="00BF2076">
        <w:rPr>
          <w:rStyle w:val="ui-provider"/>
          <w:rFonts w:ascii="Arial" w:hAnsi="Arial" w:cs="Arial"/>
          <w:b/>
          <w:bCs/>
        </w:rPr>
        <w:t>1) </w:t>
      </w:r>
      <w:r w:rsidR="00323988" w:rsidRPr="00BF2076">
        <w:rPr>
          <w:rStyle w:val="ui-provider"/>
          <w:rFonts w:ascii="Arial" w:hAnsi="Arial" w:cs="Arial"/>
        </w:rPr>
        <w:t xml:space="preserve">Se toma nota de </w:t>
      </w:r>
      <w:r w:rsidR="00723FD3">
        <w:rPr>
          <w:rStyle w:val="ui-provider"/>
          <w:rFonts w:ascii="Arial" w:hAnsi="Arial" w:cs="Arial"/>
        </w:rPr>
        <w:t xml:space="preserve">lo comunicado por el </w:t>
      </w:r>
      <w:r w:rsidR="00323988" w:rsidRPr="00BF2076">
        <w:rPr>
          <w:rStyle w:val="ui-provider"/>
          <w:rFonts w:ascii="Arial" w:hAnsi="Arial" w:cs="Arial"/>
        </w:rPr>
        <w:t xml:space="preserve">Subproceso de Gestión de la Continuidad del Servicio </w:t>
      </w:r>
      <w:r w:rsidR="00723FD3">
        <w:rPr>
          <w:rStyle w:val="ui-provider"/>
          <w:rFonts w:ascii="Arial" w:hAnsi="Arial" w:cs="Arial"/>
        </w:rPr>
        <w:t>en torno a las coordinaciones para el desarrollo de un curso virt</w:t>
      </w:r>
      <w:r w:rsidR="006F0333">
        <w:rPr>
          <w:rStyle w:val="ui-provider"/>
          <w:rFonts w:ascii="Arial" w:hAnsi="Arial" w:cs="Arial"/>
        </w:rPr>
        <w:t>u</w:t>
      </w:r>
      <w:r w:rsidR="00723FD3">
        <w:rPr>
          <w:rStyle w:val="ui-provider"/>
          <w:rFonts w:ascii="Arial" w:hAnsi="Arial" w:cs="Arial"/>
        </w:rPr>
        <w:t xml:space="preserve">al </w:t>
      </w:r>
      <w:r w:rsidR="00723FD3">
        <w:rPr>
          <w:rFonts w:ascii="Arial" w:eastAsia="Times New Roman" w:hAnsi="Arial" w:cs="Arial"/>
          <w:lang w:eastAsia="es-ES"/>
        </w:rPr>
        <w:t>materia de continuidad de servicios</w:t>
      </w:r>
      <w:r w:rsidRPr="00BF2076">
        <w:rPr>
          <w:rStyle w:val="ui-provider"/>
          <w:rFonts w:ascii="Arial" w:hAnsi="Arial" w:cs="Arial"/>
        </w:rPr>
        <w:t>.</w:t>
      </w:r>
      <w:r w:rsidR="00723FD3">
        <w:rPr>
          <w:rStyle w:val="ui-provider"/>
          <w:rFonts w:ascii="Arial" w:hAnsi="Arial" w:cs="Arial"/>
        </w:rPr>
        <w:t xml:space="preserve"> 2) Extender agradecimiento a la Dirección de Gestión Humana y al </w:t>
      </w:r>
      <w:r w:rsidR="006F0333">
        <w:rPr>
          <w:rFonts w:ascii="Arial" w:eastAsia="Times New Roman" w:hAnsi="Arial" w:cs="Arial"/>
          <w:lang w:eastAsia="es-ES"/>
        </w:rPr>
        <w:t>Subproceso de la Gestión de la Capacitación, por el apoyo mostrado en este tema de interés institucional.</w:t>
      </w:r>
      <w:r w:rsidRPr="00BF2076">
        <w:rPr>
          <w:rFonts w:ascii="Arial" w:eastAsia="Times New Roman" w:hAnsi="Arial" w:cs="Arial"/>
          <w:lang w:eastAsia="es-ES"/>
        </w:rPr>
        <w:t xml:space="preserve"> </w:t>
      </w:r>
      <w:r w:rsidR="006064DE" w:rsidRPr="00BF2076">
        <w:rPr>
          <w:rFonts w:ascii="Arial" w:eastAsia="Times New Roman" w:hAnsi="Arial" w:cs="Arial"/>
          <w:b/>
          <w:bCs/>
          <w:lang w:eastAsia="es-ES"/>
        </w:rPr>
        <w:t xml:space="preserve">ACUERDO FIRME. </w:t>
      </w:r>
    </w:p>
    <w:p w14:paraId="2CC92567" w14:textId="77777777" w:rsidR="00CE18F3" w:rsidRPr="00BF2076" w:rsidRDefault="00CE18F3" w:rsidP="004514FE">
      <w:pPr>
        <w:spacing w:after="0" w:line="240" w:lineRule="auto"/>
        <w:jc w:val="center"/>
        <w:rPr>
          <w:rFonts w:ascii="Arial" w:hAnsi="Arial" w:cs="Arial"/>
          <w:b/>
          <w:color w:val="2F5496"/>
        </w:rPr>
      </w:pPr>
    </w:p>
    <w:p w14:paraId="02179B26" w14:textId="77777777" w:rsidR="00151F6B" w:rsidRDefault="00151F6B" w:rsidP="004514FE">
      <w:pPr>
        <w:spacing w:after="0" w:line="240" w:lineRule="auto"/>
        <w:jc w:val="center"/>
        <w:rPr>
          <w:rFonts w:ascii="Arial" w:hAnsi="Arial" w:cs="Arial"/>
          <w:b/>
          <w:color w:val="2F5496"/>
        </w:rPr>
      </w:pPr>
    </w:p>
    <w:p w14:paraId="64EE5AC3" w14:textId="2F20382B" w:rsidR="00CE18F3" w:rsidRPr="00BF2076" w:rsidRDefault="00CE18F3" w:rsidP="004514FE">
      <w:pPr>
        <w:spacing w:after="0" w:line="240" w:lineRule="auto"/>
        <w:jc w:val="center"/>
        <w:rPr>
          <w:rFonts w:ascii="Arial" w:hAnsi="Arial" w:cs="Arial"/>
          <w:b/>
          <w:color w:val="2F5496"/>
        </w:rPr>
      </w:pPr>
      <w:r w:rsidRPr="00BF2076">
        <w:rPr>
          <w:rFonts w:ascii="Arial" w:hAnsi="Arial" w:cs="Arial"/>
          <w:b/>
          <w:color w:val="2F5496"/>
        </w:rPr>
        <w:t>ARTÍCULO V</w:t>
      </w:r>
    </w:p>
    <w:p w14:paraId="271CDF81" w14:textId="77777777" w:rsidR="00CE18F3" w:rsidRPr="00BF2076" w:rsidRDefault="00CE18F3" w:rsidP="004514FE">
      <w:pPr>
        <w:spacing w:after="0" w:line="240" w:lineRule="auto"/>
        <w:jc w:val="center"/>
        <w:rPr>
          <w:rFonts w:ascii="Arial" w:eastAsia="Times New Roman" w:hAnsi="Arial" w:cs="Arial"/>
          <w:lang w:eastAsia="es-ES"/>
        </w:rPr>
      </w:pPr>
    </w:p>
    <w:p w14:paraId="126189A0" w14:textId="4CC0545E" w:rsidR="00C171DA" w:rsidRPr="00BF2076" w:rsidRDefault="008842AF" w:rsidP="004514FE">
      <w:pPr>
        <w:spacing w:after="0" w:line="240" w:lineRule="auto"/>
        <w:jc w:val="both"/>
        <w:rPr>
          <w:rFonts w:ascii="Arial" w:hAnsi="Arial" w:cs="Arial"/>
          <w:lang w:eastAsia="es-ES"/>
        </w:rPr>
      </w:pPr>
      <w:r w:rsidRPr="00BF2076">
        <w:rPr>
          <w:rFonts w:ascii="Arial" w:eastAsia="Times New Roman" w:hAnsi="Arial" w:cs="Arial"/>
          <w:lang w:eastAsia="es-ES"/>
        </w:rPr>
        <w:t>Para conocimiento del Comité Técnico, e</w:t>
      </w:r>
      <w:r w:rsidRPr="00BF2076">
        <w:rPr>
          <w:rStyle w:val="ui-provider"/>
          <w:rFonts w:ascii="Arial" w:hAnsi="Arial" w:cs="Arial"/>
        </w:rPr>
        <w:t xml:space="preserve">l Subproceso de Gestión de la Continuidad del Servicio </w:t>
      </w:r>
      <w:r w:rsidR="00A430F8" w:rsidRPr="00BF2076">
        <w:rPr>
          <w:rFonts w:ascii="Arial" w:eastAsia="Times New Roman" w:hAnsi="Arial" w:cs="Arial"/>
          <w:lang w:eastAsia="es-ES"/>
        </w:rPr>
        <w:t>inform</w:t>
      </w:r>
      <w:r w:rsidRPr="00BF2076">
        <w:rPr>
          <w:rFonts w:ascii="Arial" w:eastAsia="Times New Roman" w:hAnsi="Arial" w:cs="Arial"/>
          <w:lang w:eastAsia="es-ES"/>
        </w:rPr>
        <w:t xml:space="preserve">a que desde el mes de febrero </w:t>
      </w:r>
      <w:r w:rsidR="00BF2076" w:rsidRPr="00BF2076">
        <w:rPr>
          <w:rFonts w:ascii="Arial" w:eastAsia="Times New Roman" w:hAnsi="Arial" w:cs="Arial"/>
          <w:lang w:eastAsia="es-ES"/>
        </w:rPr>
        <w:t xml:space="preserve">ha iniciado la labor de realizar </w:t>
      </w:r>
      <w:r w:rsidR="00A430F8" w:rsidRPr="00BF2076">
        <w:rPr>
          <w:rFonts w:ascii="Arial" w:eastAsia="Times New Roman" w:hAnsi="Arial" w:cs="Arial"/>
          <w:lang w:eastAsia="es-ES"/>
        </w:rPr>
        <w:t xml:space="preserve">capacitaciones </w:t>
      </w:r>
      <w:r w:rsidR="00BF2076" w:rsidRPr="00BF2076">
        <w:rPr>
          <w:rFonts w:ascii="Arial" w:eastAsia="Times New Roman" w:hAnsi="Arial" w:cs="Arial"/>
          <w:lang w:eastAsia="es-ES"/>
        </w:rPr>
        <w:t xml:space="preserve">sobre el Sistema de Gestión de Continuidad del Servicio. Esta capacitación se divide en dos módulos: </w:t>
      </w:r>
    </w:p>
    <w:p w14:paraId="7CB15440" w14:textId="39FA0CEB" w:rsidR="008842AF" w:rsidRPr="00BF2076" w:rsidRDefault="008842AF" w:rsidP="004514FE">
      <w:pPr>
        <w:spacing w:after="0" w:line="240" w:lineRule="auto"/>
        <w:jc w:val="both"/>
        <w:rPr>
          <w:rFonts w:ascii="Arial" w:hAnsi="Arial" w:cs="Arial"/>
          <w:lang w:eastAsia="es-ES"/>
        </w:rPr>
      </w:pPr>
    </w:p>
    <w:p w14:paraId="2FAB6009" w14:textId="77777777" w:rsidR="008842AF" w:rsidRPr="00BF2076" w:rsidRDefault="008842AF" w:rsidP="008842AF">
      <w:pPr>
        <w:spacing w:after="0" w:line="240" w:lineRule="auto"/>
        <w:rPr>
          <w:rFonts w:ascii="Arial" w:hAnsi="Arial" w:cs="Arial"/>
          <w:b/>
          <w:bCs/>
        </w:rPr>
      </w:pPr>
      <w:r w:rsidRPr="00BF2076">
        <w:rPr>
          <w:rFonts w:ascii="Arial" w:hAnsi="Arial" w:cs="Arial"/>
          <w:b/>
          <w:bCs/>
        </w:rPr>
        <w:t>Módulo I: Concientización</w:t>
      </w:r>
    </w:p>
    <w:p w14:paraId="5C90076B" w14:textId="77777777" w:rsidR="008842AF" w:rsidRPr="00BF2076" w:rsidRDefault="008842AF" w:rsidP="008842AF">
      <w:pPr>
        <w:spacing w:after="0" w:line="240" w:lineRule="auto"/>
        <w:rPr>
          <w:rFonts w:ascii="Arial" w:hAnsi="Arial" w:cs="Arial"/>
        </w:rPr>
      </w:pPr>
    </w:p>
    <w:p w14:paraId="1C797F05" w14:textId="09717411" w:rsidR="008842AF" w:rsidRPr="00BF2076" w:rsidRDefault="008842AF" w:rsidP="00BF2076">
      <w:pPr>
        <w:spacing w:after="0" w:line="240" w:lineRule="auto"/>
        <w:ind w:left="851"/>
        <w:jc w:val="both"/>
        <w:rPr>
          <w:rFonts w:ascii="Arial" w:hAnsi="Arial" w:cs="Arial"/>
        </w:rPr>
      </w:pPr>
      <w:r w:rsidRPr="00BF2076">
        <w:rPr>
          <w:rFonts w:ascii="Arial" w:hAnsi="Arial" w:cs="Arial"/>
        </w:rPr>
        <w:t xml:space="preserve">Mediante la concientización se busca informar y crear consciencia en todas las personas funcionarias y servidoras judiciales sobre temas relacionados con la continuidad y su contribución con la efectividad del SGCS. </w:t>
      </w:r>
    </w:p>
    <w:p w14:paraId="607E6273" w14:textId="77777777" w:rsidR="00BF2076" w:rsidRPr="00BF2076" w:rsidRDefault="00BF2076" w:rsidP="008842AF">
      <w:pPr>
        <w:spacing w:after="0" w:line="240" w:lineRule="auto"/>
        <w:jc w:val="both"/>
        <w:rPr>
          <w:rFonts w:ascii="Arial" w:hAnsi="Arial" w:cs="Arial"/>
        </w:rPr>
      </w:pPr>
    </w:p>
    <w:p w14:paraId="22563CF5" w14:textId="77777777" w:rsidR="008842AF" w:rsidRPr="00BF2076" w:rsidRDefault="008842AF" w:rsidP="008842AF">
      <w:pPr>
        <w:spacing w:after="0" w:line="240" w:lineRule="auto"/>
        <w:rPr>
          <w:rFonts w:ascii="Arial" w:hAnsi="Arial" w:cs="Arial"/>
          <w:b/>
          <w:bCs/>
        </w:rPr>
      </w:pPr>
      <w:r w:rsidRPr="00BF2076">
        <w:rPr>
          <w:rFonts w:ascii="Arial" w:hAnsi="Arial" w:cs="Arial"/>
          <w:b/>
          <w:bCs/>
        </w:rPr>
        <w:t>Módulo II: Capacitación</w:t>
      </w:r>
    </w:p>
    <w:p w14:paraId="616D4A99" w14:textId="77777777" w:rsidR="008842AF" w:rsidRPr="00BF2076" w:rsidRDefault="008842AF" w:rsidP="008842AF">
      <w:pPr>
        <w:spacing w:after="0" w:line="240" w:lineRule="auto"/>
        <w:rPr>
          <w:rFonts w:ascii="Arial" w:hAnsi="Arial" w:cs="Arial"/>
          <w:b/>
          <w:bCs/>
        </w:rPr>
      </w:pPr>
    </w:p>
    <w:p w14:paraId="38D3ABA2" w14:textId="77777777" w:rsidR="008842AF" w:rsidRPr="00BF2076" w:rsidRDefault="008842AF" w:rsidP="00BF2076">
      <w:pPr>
        <w:spacing w:after="0" w:line="240" w:lineRule="auto"/>
        <w:ind w:left="851"/>
        <w:jc w:val="both"/>
        <w:rPr>
          <w:rFonts w:ascii="Arial" w:hAnsi="Arial" w:cs="Arial"/>
        </w:rPr>
      </w:pPr>
      <w:r w:rsidRPr="00BF2076">
        <w:rPr>
          <w:rFonts w:ascii="Arial" w:hAnsi="Arial" w:cs="Arial"/>
        </w:rPr>
        <w:t>La capacitación es un proceso que tiene como objetivo asegurar una educación continua para mantener las habilidades y competencias adquiridas, así como proporcionar conocimientos técnicos y especialización adicional en áreas específicas a las personas responsables de la continuidad del servicio dentro de la institución.</w:t>
      </w:r>
    </w:p>
    <w:p w14:paraId="2B6C3221" w14:textId="77777777" w:rsidR="008842AF" w:rsidRPr="00BF2076" w:rsidRDefault="008842AF" w:rsidP="008842AF">
      <w:pPr>
        <w:spacing w:after="0" w:line="240" w:lineRule="auto"/>
        <w:jc w:val="both"/>
        <w:rPr>
          <w:rFonts w:ascii="Arial" w:hAnsi="Arial" w:cs="Arial"/>
        </w:rPr>
      </w:pPr>
    </w:p>
    <w:p w14:paraId="70CBF261" w14:textId="77777777" w:rsidR="008842AF" w:rsidRPr="00BF2076" w:rsidRDefault="008842AF" w:rsidP="00BF2076">
      <w:pPr>
        <w:spacing w:after="0" w:line="240" w:lineRule="auto"/>
        <w:ind w:left="851"/>
        <w:jc w:val="both"/>
        <w:rPr>
          <w:rFonts w:ascii="Arial" w:hAnsi="Arial" w:cs="Arial"/>
        </w:rPr>
      </w:pPr>
      <w:r w:rsidRPr="00BF2076">
        <w:rPr>
          <w:rFonts w:ascii="Arial" w:hAnsi="Arial" w:cs="Arial"/>
        </w:rPr>
        <w:t xml:space="preserve">Esta capacitación está dirigida principalmente a las personas que fungirán como “Monitores y Monitoras de Continuidad del Servicio”. </w:t>
      </w:r>
    </w:p>
    <w:p w14:paraId="48CE5BFA" w14:textId="2AD37A3E" w:rsidR="008842AF" w:rsidRDefault="008842AF" w:rsidP="004514FE">
      <w:pPr>
        <w:spacing w:after="0" w:line="240" w:lineRule="auto"/>
        <w:jc w:val="both"/>
        <w:rPr>
          <w:rFonts w:ascii="Arial" w:hAnsi="Arial" w:cs="Arial"/>
          <w:lang w:eastAsia="es-ES"/>
        </w:rPr>
      </w:pPr>
    </w:p>
    <w:p w14:paraId="0E0558FE" w14:textId="79B21B66" w:rsidR="00BF2076" w:rsidRPr="00BF2076" w:rsidRDefault="00BF2076" w:rsidP="004514FE">
      <w:pPr>
        <w:spacing w:after="0" w:line="240" w:lineRule="auto"/>
        <w:jc w:val="both"/>
        <w:rPr>
          <w:rFonts w:ascii="Arial" w:hAnsi="Arial" w:cs="Arial"/>
          <w:lang w:eastAsia="es-ES"/>
        </w:rPr>
      </w:pPr>
      <w:r>
        <w:rPr>
          <w:rFonts w:ascii="Arial" w:hAnsi="Arial" w:cs="Arial"/>
          <w:lang w:eastAsia="es-ES"/>
        </w:rPr>
        <w:t xml:space="preserve">A la fecha se han realizado las siguientes capacitaciones: </w:t>
      </w:r>
    </w:p>
    <w:p w14:paraId="22E9845A" w14:textId="77B94698" w:rsidR="00CE18F3" w:rsidRPr="00BF2076" w:rsidRDefault="00CE18F3" w:rsidP="004514FE">
      <w:pPr>
        <w:spacing w:after="0" w:line="240" w:lineRule="auto"/>
        <w:jc w:val="both"/>
        <w:rPr>
          <w:rFonts w:ascii="Arial" w:eastAsia="Times New Roman" w:hAnsi="Arial" w:cs="Arial"/>
          <w:lang w:eastAsia="es-ES"/>
        </w:rPr>
      </w:pPr>
    </w:p>
    <w:tbl>
      <w:tblPr>
        <w:tblStyle w:val="Tablaconcuadrcula"/>
        <w:tblW w:w="0" w:type="auto"/>
        <w:jc w:val="center"/>
        <w:tblLook w:val="04A0" w:firstRow="1" w:lastRow="0" w:firstColumn="1" w:lastColumn="0" w:noHBand="0" w:noVBand="1"/>
      </w:tblPr>
      <w:tblGrid>
        <w:gridCol w:w="4673"/>
        <w:gridCol w:w="2977"/>
      </w:tblGrid>
      <w:tr w:rsidR="00AE3744" w:rsidRPr="00BF2076" w14:paraId="2B723F9B" w14:textId="77777777" w:rsidTr="008842AF">
        <w:trPr>
          <w:jc w:val="center"/>
        </w:trPr>
        <w:tc>
          <w:tcPr>
            <w:tcW w:w="4673" w:type="dxa"/>
          </w:tcPr>
          <w:p w14:paraId="4AA0F869" w14:textId="1B2F15F2" w:rsidR="00AE3744" w:rsidRPr="00BF2076" w:rsidRDefault="008842AF" w:rsidP="001E5C55">
            <w:pPr>
              <w:pStyle w:val="Prrafodelista"/>
              <w:ind w:left="0"/>
              <w:jc w:val="center"/>
              <w:rPr>
                <w:rFonts w:ascii="Arial" w:hAnsi="Arial" w:cs="Arial"/>
                <w:b/>
                <w:bCs/>
                <w:lang w:eastAsia="es-CR"/>
              </w:rPr>
            </w:pPr>
            <w:r w:rsidRPr="00BF2076">
              <w:rPr>
                <w:rFonts w:ascii="Arial" w:hAnsi="Arial" w:cs="Arial"/>
                <w:b/>
                <w:bCs/>
                <w:lang w:eastAsia="es-CR"/>
              </w:rPr>
              <w:t>Capacitación</w:t>
            </w:r>
          </w:p>
        </w:tc>
        <w:tc>
          <w:tcPr>
            <w:tcW w:w="2977" w:type="dxa"/>
          </w:tcPr>
          <w:p w14:paraId="1C66B674" w14:textId="77777777" w:rsidR="00AE3744" w:rsidRPr="00BF2076" w:rsidRDefault="00AE3744" w:rsidP="001E5C55">
            <w:pPr>
              <w:pStyle w:val="Prrafodelista"/>
              <w:ind w:left="0"/>
              <w:jc w:val="center"/>
              <w:rPr>
                <w:rFonts w:ascii="Arial" w:hAnsi="Arial" w:cs="Arial"/>
                <w:b/>
                <w:bCs/>
                <w:lang w:eastAsia="es-CR"/>
              </w:rPr>
            </w:pPr>
            <w:r w:rsidRPr="00BF2076">
              <w:rPr>
                <w:rFonts w:ascii="Arial" w:hAnsi="Arial" w:cs="Arial"/>
                <w:b/>
                <w:bCs/>
                <w:lang w:eastAsia="es-CR"/>
              </w:rPr>
              <w:t>Fecha</w:t>
            </w:r>
          </w:p>
        </w:tc>
      </w:tr>
      <w:tr w:rsidR="00AE3744" w:rsidRPr="00BF2076" w14:paraId="6AA7CE20" w14:textId="77777777" w:rsidTr="008842AF">
        <w:trPr>
          <w:jc w:val="center"/>
        </w:trPr>
        <w:tc>
          <w:tcPr>
            <w:tcW w:w="4673" w:type="dxa"/>
          </w:tcPr>
          <w:p w14:paraId="58FEF160" w14:textId="656575AE" w:rsidR="00AE3744" w:rsidRPr="00BF2076" w:rsidRDefault="00AE3744" w:rsidP="001E5C55">
            <w:pPr>
              <w:pStyle w:val="Prrafodelista"/>
              <w:ind w:left="0"/>
              <w:rPr>
                <w:rFonts w:ascii="Arial" w:hAnsi="Arial" w:cs="Arial"/>
                <w:lang w:eastAsia="es-CR"/>
              </w:rPr>
            </w:pPr>
            <w:r w:rsidRPr="00BF2076">
              <w:rPr>
                <w:rFonts w:ascii="Arial" w:hAnsi="Arial" w:cs="Arial"/>
                <w:lang w:eastAsia="es-CR"/>
              </w:rPr>
              <w:t>Módulo I: Concientización</w:t>
            </w:r>
          </w:p>
        </w:tc>
        <w:tc>
          <w:tcPr>
            <w:tcW w:w="2977" w:type="dxa"/>
          </w:tcPr>
          <w:p w14:paraId="477EE86F" w14:textId="1AA3A7D2" w:rsidR="00AE3744" w:rsidRPr="00BF2076" w:rsidRDefault="00AE3744" w:rsidP="001E5C55">
            <w:pPr>
              <w:pStyle w:val="Prrafodelista"/>
              <w:ind w:left="0"/>
              <w:rPr>
                <w:rFonts w:ascii="Arial" w:hAnsi="Arial" w:cs="Arial"/>
                <w:lang w:eastAsia="es-CR"/>
              </w:rPr>
            </w:pPr>
            <w:r w:rsidRPr="00BF2076">
              <w:rPr>
                <w:rFonts w:ascii="Arial" w:hAnsi="Arial" w:cs="Arial"/>
                <w:lang w:eastAsia="es-CR"/>
              </w:rPr>
              <w:t>28 de febrero de 2023</w:t>
            </w:r>
          </w:p>
        </w:tc>
      </w:tr>
      <w:tr w:rsidR="00AE3744" w:rsidRPr="00BF2076" w14:paraId="46A9AD95" w14:textId="77777777" w:rsidTr="008842AF">
        <w:trPr>
          <w:jc w:val="center"/>
        </w:trPr>
        <w:tc>
          <w:tcPr>
            <w:tcW w:w="4673" w:type="dxa"/>
          </w:tcPr>
          <w:p w14:paraId="4D8CAA10" w14:textId="02E26017" w:rsidR="00AE3744" w:rsidRPr="00BF2076" w:rsidRDefault="00AE3744" w:rsidP="001E5C55">
            <w:pPr>
              <w:pStyle w:val="Prrafodelista"/>
              <w:ind w:left="0"/>
              <w:rPr>
                <w:rFonts w:ascii="Arial" w:hAnsi="Arial" w:cs="Arial"/>
                <w:lang w:eastAsia="es-CR"/>
              </w:rPr>
            </w:pPr>
            <w:r w:rsidRPr="00BF2076">
              <w:rPr>
                <w:rFonts w:ascii="Arial" w:hAnsi="Arial" w:cs="Arial"/>
                <w:lang w:eastAsia="es-CR"/>
              </w:rPr>
              <w:t>Módulo II: Capacitación</w:t>
            </w:r>
          </w:p>
        </w:tc>
        <w:tc>
          <w:tcPr>
            <w:tcW w:w="2977" w:type="dxa"/>
          </w:tcPr>
          <w:p w14:paraId="28650626" w14:textId="75D5DB01" w:rsidR="00AE3744" w:rsidRPr="00BF2076" w:rsidRDefault="00AE3744" w:rsidP="001E5C55">
            <w:pPr>
              <w:pStyle w:val="Prrafodelista"/>
              <w:ind w:left="0"/>
              <w:rPr>
                <w:rFonts w:ascii="Arial" w:hAnsi="Arial" w:cs="Arial"/>
                <w:lang w:eastAsia="es-CR"/>
              </w:rPr>
            </w:pPr>
            <w:r w:rsidRPr="00BF2076">
              <w:rPr>
                <w:rFonts w:ascii="Arial" w:hAnsi="Arial" w:cs="Arial"/>
                <w:lang w:eastAsia="es-CR"/>
              </w:rPr>
              <w:t>7 de marzo de 2023</w:t>
            </w:r>
          </w:p>
        </w:tc>
      </w:tr>
      <w:tr w:rsidR="00AE3744" w:rsidRPr="00BF2076" w14:paraId="59F88B63" w14:textId="77777777" w:rsidTr="008842AF">
        <w:trPr>
          <w:jc w:val="center"/>
        </w:trPr>
        <w:tc>
          <w:tcPr>
            <w:tcW w:w="4673" w:type="dxa"/>
          </w:tcPr>
          <w:p w14:paraId="429B9FBB" w14:textId="33C77E53" w:rsidR="00AE3744" w:rsidRPr="00BF2076" w:rsidRDefault="00AE3744" w:rsidP="00AE3744">
            <w:pPr>
              <w:pStyle w:val="Prrafodelista"/>
              <w:ind w:left="0"/>
              <w:rPr>
                <w:rFonts w:ascii="Arial" w:hAnsi="Arial" w:cs="Arial"/>
                <w:lang w:eastAsia="es-CR"/>
              </w:rPr>
            </w:pPr>
            <w:r w:rsidRPr="00BF2076">
              <w:rPr>
                <w:rFonts w:ascii="Arial" w:hAnsi="Arial" w:cs="Arial"/>
                <w:lang w:eastAsia="es-CR"/>
              </w:rPr>
              <w:t>Módulo I: Concientización</w:t>
            </w:r>
          </w:p>
        </w:tc>
        <w:tc>
          <w:tcPr>
            <w:tcW w:w="2977" w:type="dxa"/>
          </w:tcPr>
          <w:p w14:paraId="674B974E" w14:textId="5CBD1572" w:rsidR="00AE3744" w:rsidRPr="00BF2076" w:rsidRDefault="00AE3744" w:rsidP="00AE3744">
            <w:pPr>
              <w:pStyle w:val="Prrafodelista"/>
              <w:ind w:left="0"/>
              <w:rPr>
                <w:rFonts w:ascii="Arial" w:hAnsi="Arial" w:cs="Arial"/>
                <w:lang w:eastAsia="es-CR"/>
              </w:rPr>
            </w:pPr>
            <w:r w:rsidRPr="00BF2076">
              <w:rPr>
                <w:rFonts w:ascii="Arial" w:hAnsi="Arial" w:cs="Arial"/>
                <w:lang w:eastAsia="es-CR"/>
              </w:rPr>
              <w:t>14 de marzo de 2023</w:t>
            </w:r>
          </w:p>
        </w:tc>
      </w:tr>
      <w:tr w:rsidR="00AE3744" w:rsidRPr="00BF2076" w14:paraId="393124E4" w14:textId="77777777" w:rsidTr="008842AF">
        <w:trPr>
          <w:jc w:val="center"/>
        </w:trPr>
        <w:tc>
          <w:tcPr>
            <w:tcW w:w="4673" w:type="dxa"/>
          </w:tcPr>
          <w:p w14:paraId="2F083F11" w14:textId="270867A0" w:rsidR="00AE3744" w:rsidRPr="00BF2076" w:rsidRDefault="00AE3744" w:rsidP="00AE3744">
            <w:pPr>
              <w:pStyle w:val="Prrafodelista"/>
              <w:ind w:left="0"/>
              <w:rPr>
                <w:rFonts w:ascii="Arial" w:hAnsi="Arial" w:cs="Arial"/>
                <w:lang w:eastAsia="es-CR"/>
              </w:rPr>
            </w:pPr>
            <w:r w:rsidRPr="00BF2076">
              <w:rPr>
                <w:rFonts w:ascii="Arial" w:hAnsi="Arial" w:cs="Arial"/>
                <w:lang w:eastAsia="es-CR"/>
              </w:rPr>
              <w:t>Módulo II: Capacitación</w:t>
            </w:r>
          </w:p>
        </w:tc>
        <w:tc>
          <w:tcPr>
            <w:tcW w:w="2977" w:type="dxa"/>
          </w:tcPr>
          <w:p w14:paraId="6A682A71" w14:textId="7EAC38D0" w:rsidR="00AE3744" w:rsidRPr="00BF2076" w:rsidRDefault="00AE3744" w:rsidP="00AE3744">
            <w:pPr>
              <w:pStyle w:val="Prrafodelista"/>
              <w:ind w:left="0"/>
              <w:rPr>
                <w:rFonts w:ascii="Arial" w:hAnsi="Arial" w:cs="Arial"/>
                <w:lang w:eastAsia="es-CR"/>
              </w:rPr>
            </w:pPr>
            <w:r w:rsidRPr="00BF2076">
              <w:rPr>
                <w:rFonts w:ascii="Arial" w:hAnsi="Arial" w:cs="Arial"/>
                <w:lang w:eastAsia="es-CR"/>
              </w:rPr>
              <w:t>21 de marzo de 2023</w:t>
            </w:r>
          </w:p>
        </w:tc>
      </w:tr>
    </w:tbl>
    <w:p w14:paraId="19D63AF8" w14:textId="3E479439" w:rsidR="00AE3744" w:rsidRPr="00BF2076" w:rsidRDefault="00AE3744" w:rsidP="004514FE">
      <w:pPr>
        <w:spacing w:after="0" w:line="240" w:lineRule="auto"/>
        <w:jc w:val="both"/>
        <w:rPr>
          <w:rFonts w:ascii="Arial" w:eastAsia="Times New Roman" w:hAnsi="Arial" w:cs="Arial"/>
          <w:lang w:eastAsia="es-ES"/>
        </w:rPr>
      </w:pPr>
    </w:p>
    <w:p w14:paraId="5B0E1A63" w14:textId="52EC91A8" w:rsidR="008842AF" w:rsidRPr="00D243DC" w:rsidRDefault="008842AF" w:rsidP="004514FE">
      <w:pPr>
        <w:spacing w:after="0" w:line="240" w:lineRule="auto"/>
        <w:jc w:val="both"/>
        <w:rPr>
          <w:rFonts w:ascii="Arial" w:eastAsia="Times New Roman" w:hAnsi="Arial" w:cs="Arial"/>
          <w:lang w:eastAsia="es-ES"/>
        </w:rPr>
      </w:pPr>
      <w:r w:rsidRPr="00BF2076">
        <w:rPr>
          <w:rFonts w:ascii="Arial" w:eastAsia="Times New Roman" w:hAnsi="Arial" w:cs="Arial"/>
          <w:lang w:eastAsia="es-ES"/>
        </w:rPr>
        <w:t xml:space="preserve"> En l</w:t>
      </w:r>
      <w:r w:rsidR="00D243DC">
        <w:rPr>
          <w:rFonts w:ascii="Arial" w:eastAsia="Times New Roman" w:hAnsi="Arial" w:cs="Arial"/>
          <w:lang w:eastAsia="es-ES"/>
        </w:rPr>
        <w:t xml:space="preserve">a siguiente </w:t>
      </w:r>
      <w:r w:rsidR="00D243DC" w:rsidRPr="00D243DC">
        <w:rPr>
          <w:rFonts w:ascii="Arial" w:eastAsia="Times New Roman" w:hAnsi="Arial" w:cs="Arial"/>
          <w:lang w:eastAsia="es-ES"/>
        </w:rPr>
        <w:t xml:space="preserve">tabla y </w:t>
      </w:r>
      <w:r w:rsidRPr="00D243DC">
        <w:rPr>
          <w:rFonts w:ascii="Arial" w:eastAsia="Times New Roman" w:hAnsi="Arial" w:cs="Arial"/>
          <w:lang w:eastAsia="es-ES"/>
        </w:rPr>
        <w:t>gráficos se muestra la distribución de la cantidad de personas capacitadas en cada módulo.</w:t>
      </w:r>
    </w:p>
    <w:p w14:paraId="589CAA81" w14:textId="06EDE31A" w:rsidR="00D243DC" w:rsidRPr="00D243DC" w:rsidRDefault="00D243DC" w:rsidP="004514FE">
      <w:pPr>
        <w:spacing w:after="0" w:line="240" w:lineRule="auto"/>
        <w:jc w:val="both"/>
        <w:rPr>
          <w:rFonts w:ascii="Arial" w:eastAsia="Times New Roman" w:hAnsi="Arial" w:cs="Arial"/>
          <w:lang w:eastAsia="es-ES"/>
        </w:rPr>
      </w:pPr>
    </w:p>
    <w:p w14:paraId="6F2E11A4" w14:textId="6196559D" w:rsidR="00D243DC" w:rsidRPr="00D243DC" w:rsidRDefault="00D243DC" w:rsidP="00D243DC">
      <w:pPr>
        <w:spacing w:after="0" w:line="240" w:lineRule="auto"/>
        <w:jc w:val="center"/>
        <w:rPr>
          <w:rFonts w:ascii="Arial" w:eastAsia="Times New Roman" w:hAnsi="Arial" w:cs="Arial"/>
          <w:b/>
          <w:bCs/>
          <w:color w:val="000000"/>
          <w:lang w:eastAsia="es-CR"/>
        </w:rPr>
      </w:pPr>
      <w:r w:rsidRPr="00D243DC">
        <w:rPr>
          <w:rFonts w:ascii="Arial" w:eastAsia="Times New Roman" w:hAnsi="Arial" w:cs="Arial"/>
          <w:b/>
          <w:bCs/>
          <w:color w:val="000000"/>
          <w:lang w:eastAsia="es-CR"/>
        </w:rPr>
        <w:t>Sistema de Gestión de Continuidad del Servicio</w:t>
      </w:r>
    </w:p>
    <w:p w14:paraId="5F5F5115" w14:textId="74FD03CF" w:rsidR="00D243DC" w:rsidRPr="00D243DC" w:rsidRDefault="00D243DC" w:rsidP="00D243DC">
      <w:pPr>
        <w:spacing w:after="0" w:line="240" w:lineRule="auto"/>
        <w:jc w:val="center"/>
        <w:rPr>
          <w:rFonts w:ascii="Arial" w:eastAsia="Times New Roman" w:hAnsi="Arial" w:cs="Arial"/>
          <w:b/>
          <w:bCs/>
          <w:color w:val="000000"/>
          <w:lang w:eastAsia="es-CR"/>
        </w:rPr>
      </w:pPr>
      <w:r w:rsidRPr="00D243DC">
        <w:rPr>
          <w:rFonts w:ascii="Arial" w:eastAsia="Times New Roman" w:hAnsi="Arial" w:cs="Arial"/>
          <w:b/>
          <w:bCs/>
          <w:color w:val="000000"/>
          <w:lang w:eastAsia="es-CR"/>
        </w:rPr>
        <w:t>Resumen de personas capacitadas a marzo de 2023</w:t>
      </w:r>
    </w:p>
    <w:p w14:paraId="35CD36A3" w14:textId="77777777" w:rsidR="00D243DC" w:rsidRPr="00D243DC" w:rsidRDefault="00D243DC" w:rsidP="004514FE">
      <w:pPr>
        <w:spacing w:after="0" w:line="240" w:lineRule="auto"/>
        <w:jc w:val="both"/>
        <w:rPr>
          <w:rFonts w:ascii="Arial" w:eastAsia="Times New Roman" w:hAnsi="Arial" w:cs="Arial"/>
          <w:lang w:eastAsia="es-ES"/>
        </w:rPr>
      </w:pPr>
    </w:p>
    <w:tbl>
      <w:tblPr>
        <w:tblW w:w="6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4"/>
        <w:gridCol w:w="1200"/>
        <w:gridCol w:w="1200"/>
      </w:tblGrid>
      <w:tr w:rsidR="00D243DC" w:rsidRPr="00D243DC" w14:paraId="70E1B4FE" w14:textId="77777777" w:rsidTr="00D243DC">
        <w:trPr>
          <w:trHeight w:val="290"/>
          <w:jc w:val="center"/>
        </w:trPr>
        <w:tc>
          <w:tcPr>
            <w:tcW w:w="4234" w:type="dxa"/>
            <w:shd w:val="clear" w:color="auto" w:fill="auto"/>
            <w:noWrap/>
            <w:vAlign w:val="bottom"/>
            <w:hideMark/>
          </w:tcPr>
          <w:p w14:paraId="6501F67E" w14:textId="77777777" w:rsidR="00D243DC" w:rsidRPr="00D243DC" w:rsidRDefault="00D243DC" w:rsidP="00D243DC">
            <w:pPr>
              <w:spacing w:after="0" w:line="240" w:lineRule="auto"/>
              <w:jc w:val="center"/>
              <w:rPr>
                <w:rFonts w:ascii="Arial" w:eastAsia="Times New Roman" w:hAnsi="Arial" w:cs="Arial"/>
                <w:b/>
                <w:bCs/>
                <w:color w:val="000000"/>
                <w:lang w:eastAsia="es-CR"/>
              </w:rPr>
            </w:pPr>
            <w:r w:rsidRPr="00D243DC">
              <w:rPr>
                <w:rFonts w:ascii="Arial" w:eastAsia="Times New Roman" w:hAnsi="Arial" w:cs="Arial"/>
                <w:b/>
                <w:bCs/>
                <w:color w:val="000000"/>
                <w:lang w:eastAsia="es-CR"/>
              </w:rPr>
              <w:t>Programa</w:t>
            </w:r>
          </w:p>
        </w:tc>
        <w:tc>
          <w:tcPr>
            <w:tcW w:w="1200" w:type="dxa"/>
            <w:shd w:val="clear" w:color="auto" w:fill="auto"/>
            <w:noWrap/>
            <w:vAlign w:val="bottom"/>
            <w:hideMark/>
          </w:tcPr>
          <w:p w14:paraId="175A2AD9" w14:textId="77777777" w:rsidR="00D243DC" w:rsidRPr="00D243DC" w:rsidRDefault="00D243DC" w:rsidP="00D243DC">
            <w:pPr>
              <w:spacing w:after="0" w:line="240" w:lineRule="auto"/>
              <w:jc w:val="center"/>
              <w:rPr>
                <w:rFonts w:ascii="Arial" w:eastAsia="Times New Roman" w:hAnsi="Arial" w:cs="Arial"/>
                <w:b/>
                <w:bCs/>
                <w:color w:val="000000"/>
                <w:lang w:eastAsia="es-CR"/>
              </w:rPr>
            </w:pPr>
            <w:r w:rsidRPr="00D243DC">
              <w:rPr>
                <w:rFonts w:ascii="Arial" w:eastAsia="Times New Roman" w:hAnsi="Arial" w:cs="Arial"/>
                <w:b/>
                <w:bCs/>
                <w:color w:val="000000"/>
                <w:lang w:eastAsia="es-CR"/>
              </w:rPr>
              <w:t>I Taller</w:t>
            </w:r>
          </w:p>
        </w:tc>
        <w:tc>
          <w:tcPr>
            <w:tcW w:w="1200" w:type="dxa"/>
            <w:shd w:val="clear" w:color="auto" w:fill="auto"/>
            <w:noWrap/>
            <w:vAlign w:val="bottom"/>
            <w:hideMark/>
          </w:tcPr>
          <w:p w14:paraId="792A8FF5" w14:textId="77777777" w:rsidR="00D243DC" w:rsidRPr="00D243DC" w:rsidRDefault="00D243DC" w:rsidP="00D243DC">
            <w:pPr>
              <w:spacing w:after="0" w:line="240" w:lineRule="auto"/>
              <w:jc w:val="center"/>
              <w:rPr>
                <w:rFonts w:ascii="Arial" w:eastAsia="Times New Roman" w:hAnsi="Arial" w:cs="Arial"/>
                <w:b/>
                <w:bCs/>
                <w:color w:val="000000"/>
                <w:lang w:eastAsia="es-CR"/>
              </w:rPr>
            </w:pPr>
            <w:r w:rsidRPr="00D243DC">
              <w:rPr>
                <w:rFonts w:ascii="Arial" w:eastAsia="Times New Roman" w:hAnsi="Arial" w:cs="Arial"/>
                <w:b/>
                <w:bCs/>
                <w:color w:val="000000"/>
                <w:lang w:eastAsia="es-CR"/>
              </w:rPr>
              <w:t>II Taller</w:t>
            </w:r>
          </w:p>
        </w:tc>
      </w:tr>
      <w:tr w:rsidR="00D243DC" w:rsidRPr="00D243DC" w14:paraId="19377633" w14:textId="77777777" w:rsidTr="00D243DC">
        <w:trPr>
          <w:trHeight w:val="290"/>
          <w:jc w:val="center"/>
        </w:trPr>
        <w:tc>
          <w:tcPr>
            <w:tcW w:w="4234" w:type="dxa"/>
            <w:shd w:val="clear" w:color="auto" w:fill="auto"/>
            <w:noWrap/>
            <w:vAlign w:val="bottom"/>
            <w:hideMark/>
          </w:tcPr>
          <w:p w14:paraId="1DE97261" w14:textId="77777777" w:rsidR="00D243DC" w:rsidRPr="00D243DC" w:rsidRDefault="00D243DC" w:rsidP="00D243DC">
            <w:pPr>
              <w:spacing w:after="0" w:line="240" w:lineRule="auto"/>
              <w:rPr>
                <w:rFonts w:ascii="Arial" w:eastAsia="Times New Roman" w:hAnsi="Arial" w:cs="Arial"/>
                <w:color w:val="000000"/>
                <w:lang w:eastAsia="es-CR"/>
              </w:rPr>
            </w:pPr>
            <w:r w:rsidRPr="00D243DC">
              <w:rPr>
                <w:rFonts w:ascii="Arial" w:eastAsia="Times New Roman" w:hAnsi="Arial" w:cs="Arial"/>
                <w:color w:val="000000"/>
                <w:lang w:eastAsia="es-CR"/>
              </w:rPr>
              <w:t>OIJ</w:t>
            </w:r>
          </w:p>
        </w:tc>
        <w:tc>
          <w:tcPr>
            <w:tcW w:w="1200" w:type="dxa"/>
            <w:shd w:val="clear" w:color="auto" w:fill="auto"/>
            <w:noWrap/>
            <w:vAlign w:val="bottom"/>
            <w:hideMark/>
          </w:tcPr>
          <w:p w14:paraId="1FD5C1B1"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36</w:t>
            </w:r>
          </w:p>
        </w:tc>
        <w:tc>
          <w:tcPr>
            <w:tcW w:w="1200" w:type="dxa"/>
            <w:shd w:val="clear" w:color="auto" w:fill="auto"/>
            <w:noWrap/>
            <w:vAlign w:val="bottom"/>
            <w:hideMark/>
          </w:tcPr>
          <w:p w14:paraId="66745D98"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19</w:t>
            </w:r>
          </w:p>
        </w:tc>
      </w:tr>
      <w:tr w:rsidR="00D243DC" w:rsidRPr="00D243DC" w14:paraId="65691797" w14:textId="77777777" w:rsidTr="00D243DC">
        <w:trPr>
          <w:trHeight w:val="290"/>
          <w:jc w:val="center"/>
        </w:trPr>
        <w:tc>
          <w:tcPr>
            <w:tcW w:w="4234" w:type="dxa"/>
            <w:shd w:val="clear" w:color="auto" w:fill="auto"/>
            <w:noWrap/>
            <w:vAlign w:val="bottom"/>
            <w:hideMark/>
          </w:tcPr>
          <w:p w14:paraId="7FBE3E2B" w14:textId="77777777" w:rsidR="00D243DC" w:rsidRPr="00D243DC" w:rsidRDefault="00D243DC" w:rsidP="00D243DC">
            <w:pPr>
              <w:spacing w:after="0" w:line="240" w:lineRule="auto"/>
              <w:rPr>
                <w:rFonts w:ascii="Arial" w:eastAsia="Times New Roman" w:hAnsi="Arial" w:cs="Arial"/>
                <w:color w:val="000000"/>
                <w:lang w:eastAsia="es-CR"/>
              </w:rPr>
            </w:pPr>
            <w:r w:rsidRPr="00D243DC">
              <w:rPr>
                <w:rFonts w:ascii="Arial" w:eastAsia="Times New Roman" w:hAnsi="Arial" w:cs="Arial"/>
                <w:color w:val="000000"/>
                <w:lang w:eastAsia="es-CR"/>
              </w:rPr>
              <w:t>ADM</w:t>
            </w:r>
          </w:p>
        </w:tc>
        <w:tc>
          <w:tcPr>
            <w:tcW w:w="1200" w:type="dxa"/>
            <w:shd w:val="clear" w:color="auto" w:fill="auto"/>
            <w:noWrap/>
            <w:vAlign w:val="bottom"/>
            <w:hideMark/>
          </w:tcPr>
          <w:p w14:paraId="4063E7F0"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58</w:t>
            </w:r>
          </w:p>
        </w:tc>
        <w:tc>
          <w:tcPr>
            <w:tcW w:w="1200" w:type="dxa"/>
            <w:shd w:val="clear" w:color="auto" w:fill="auto"/>
            <w:noWrap/>
            <w:vAlign w:val="bottom"/>
            <w:hideMark/>
          </w:tcPr>
          <w:p w14:paraId="53C5C6D1"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11</w:t>
            </w:r>
          </w:p>
        </w:tc>
      </w:tr>
      <w:tr w:rsidR="00D243DC" w:rsidRPr="00D243DC" w14:paraId="6EC7CE03" w14:textId="77777777" w:rsidTr="00D243DC">
        <w:trPr>
          <w:trHeight w:val="290"/>
          <w:jc w:val="center"/>
        </w:trPr>
        <w:tc>
          <w:tcPr>
            <w:tcW w:w="4234" w:type="dxa"/>
            <w:shd w:val="clear" w:color="auto" w:fill="auto"/>
            <w:noWrap/>
            <w:vAlign w:val="bottom"/>
            <w:hideMark/>
          </w:tcPr>
          <w:p w14:paraId="0BBAE9A1" w14:textId="77777777" w:rsidR="00D243DC" w:rsidRPr="00D243DC" w:rsidRDefault="00D243DC" w:rsidP="00D243DC">
            <w:pPr>
              <w:spacing w:after="0" w:line="240" w:lineRule="auto"/>
              <w:rPr>
                <w:rFonts w:ascii="Arial" w:eastAsia="Times New Roman" w:hAnsi="Arial" w:cs="Arial"/>
                <w:color w:val="000000"/>
                <w:lang w:eastAsia="es-CR"/>
              </w:rPr>
            </w:pPr>
            <w:r w:rsidRPr="00D243DC">
              <w:rPr>
                <w:rFonts w:ascii="Arial" w:eastAsia="Times New Roman" w:hAnsi="Arial" w:cs="Arial"/>
                <w:color w:val="000000"/>
                <w:lang w:eastAsia="es-CR"/>
              </w:rPr>
              <w:t>JURISDICCIONAL</w:t>
            </w:r>
          </w:p>
        </w:tc>
        <w:tc>
          <w:tcPr>
            <w:tcW w:w="1200" w:type="dxa"/>
            <w:shd w:val="clear" w:color="auto" w:fill="auto"/>
            <w:noWrap/>
            <w:vAlign w:val="bottom"/>
            <w:hideMark/>
          </w:tcPr>
          <w:p w14:paraId="1CA17CF0"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8</w:t>
            </w:r>
          </w:p>
        </w:tc>
        <w:tc>
          <w:tcPr>
            <w:tcW w:w="1200" w:type="dxa"/>
            <w:shd w:val="clear" w:color="auto" w:fill="auto"/>
            <w:noWrap/>
            <w:vAlign w:val="bottom"/>
            <w:hideMark/>
          </w:tcPr>
          <w:p w14:paraId="7A42C68B"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0</w:t>
            </w:r>
          </w:p>
        </w:tc>
      </w:tr>
      <w:tr w:rsidR="00D243DC" w:rsidRPr="00D243DC" w14:paraId="465E71DA" w14:textId="77777777" w:rsidTr="00D243DC">
        <w:trPr>
          <w:trHeight w:val="290"/>
          <w:jc w:val="center"/>
        </w:trPr>
        <w:tc>
          <w:tcPr>
            <w:tcW w:w="4234" w:type="dxa"/>
            <w:shd w:val="clear" w:color="auto" w:fill="auto"/>
            <w:noWrap/>
            <w:vAlign w:val="bottom"/>
            <w:hideMark/>
          </w:tcPr>
          <w:p w14:paraId="02372B53" w14:textId="77777777" w:rsidR="00D243DC" w:rsidRPr="00D243DC" w:rsidRDefault="00D243DC" w:rsidP="00D243DC">
            <w:pPr>
              <w:spacing w:after="0" w:line="240" w:lineRule="auto"/>
              <w:rPr>
                <w:rFonts w:ascii="Arial" w:eastAsia="Times New Roman" w:hAnsi="Arial" w:cs="Arial"/>
                <w:color w:val="000000"/>
                <w:lang w:eastAsia="es-CR"/>
              </w:rPr>
            </w:pPr>
            <w:r w:rsidRPr="00D243DC">
              <w:rPr>
                <w:rFonts w:ascii="Arial" w:eastAsia="Times New Roman" w:hAnsi="Arial" w:cs="Arial"/>
                <w:color w:val="000000"/>
                <w:lang w:eastAsia="es-CR"/>
              </w:rPr>
              <w:t>MP</w:t>
            </w:r>
          </w:p>
        </w:tc>
        <w:tc>
          <w:tcPr>
            <w:tcW w:w="1200" w:type="dxa"/>
            <w:shd w:val="clear" w:color="auto" w:fill="auto"/>
            <w:noWrap/>
            <w:vAlign w:val="bottom"/>
            <w:hideMark/>
          </w:tcPr>
          <w:p w14:paraId="1985C7BA"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1</w:t>
            </w:r>
          </w:p>
        </w:tc>
        <w:tc>
          <w:tcPr>
            <w:tcW w:w="1200" w:type="dxa"/>
            <w:shd w:val="clear" w:color="auto" w:fill="auto"/>
            <w:noWrap/>
            <w:vAlign w:val="bottom"/>
            <w:hideMark/>
          </w:tcPr>
          <w:p w14:paraId="3C4BE35E"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2</w:t>
            </w:r>
          </w:p>
        </w:tc>
      </w:tr>
      <w:tr w:rsidR="00D243DC" w:rsidRPr="00D243DC" w14:paraId="66102AC0" w14:textId="77777777" w:rsidTr="00D243DC">
        <w:trPr>
          <w:trHeight w:val="290"/>
          <w:jc w:val="center"/>
        </w:trPr>
        <w:tc>
          <w:tcPr>
            <w:tcW w:w="4234" w:type="dxa"/>
            <w:shd w:val="clear" w:color="auto" w:fill="auto"/>
            <w:noWrap/>
            <w:vAlign w:val="bottom"/>
            <w:hideMark/>
          </w:tcPr>
          <w:p w14:paraId="304296D5" w14:textId="77777777" w:rsidR="00D243DC" w:rsidRPr="00D243DC" w:rsidRDefault="00D243DC" w:rsidP="00D243DC">
            <w:pPr>
              <w:spacing w:after="0" w:line="240" w:lineRule="auto"/>
              <w:rPr>
                <w:rFonts w:ascii="Arial" w:eastAsia="Times New Roman" w:hAnsi="Arial" w:cs="Arial"/>
                <w:color w:val="000000"/>
                <w:lang w:eastAsia="es-CR"/>
              </w:rPr>
            </w:pPr>
            <w:r w:rsidRPr="00D243DC">
              <w:rPr>
                <w:rFonts w:ascii="Arial" w:eastAsia="Times New Roman" w:hAnsi="Arial" w:cs="Arial"/>
                <w:color w:val="000000"/>
                <w:lang w:eastAsia="es-CR"/>
              </w:rPr>
              <w:t>DP</w:t>
            </w:r>
          </w:p>
        </w:tc>
        <w:tc>
          <w:tcPr>
            <w:tcW w:w="1200" w:type="dxa"/>
            <w:shd w:val="clear" w:color="auto" w:fill="auto"/>
            <w:noWrap/>
            <w:vAlign w:val="bottom"/>
            <w:hideMark/>
          </w:tcPr>
          <w:p w14:paraId="05A12CAB"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3</w:t>
            </w:r>
          </w:p>
        </w:tc>
        <w:tc>
          <w:tcPr>
            <w:tcW w:w="1200" w:type="dxa"/>
            <w:shd w:val="clear" w:color="auto" w:fill="auto"/>
            <w:noWrap/>
            <w:vAlign w:val="bottom"/>
            <w:hideMark/>
          </w:tcPr>
          <w:p w14:paraId="133B53F2"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0</w:t>
            </w:r>
          </w:p>
        </w:tc>
      </w:tr>
      <w:tr w:rsidR="00D243DC" w:rsidRPr="00D243DC" w14:paraId="13E22A3A" w14:textId="77777777" w:rsidTr="00D243DC">
        <w:trPr>
          <w:trHeight w:val="290"/>
          <w:jc w:val="center"/>
        </w:trPr>
        <w:tc>
          <w:tcPr>
            <w:tcW w:w="4234" w:type="dxa"/>
            <w:shd w:val="clear" w:color="auto" w:fill="auto"/>
            <w:noWrap/>
            <w:vAlign w:val="bottom"/>
            <w:hideMark/>
          </w:tcPr>
          <w:p w14:paraId="1544FEAA" w14:textId="77777777" w:rsidR="00D243DC" w:rsidRPr="00D243DC" w:rsidRDefault="00D243DC" w:rsidP="00D243DC">
            <w:pPr>
              <w:spacing w:after="0" w:line="240" w:lineRule="auto"/>
              <w:rPr>
                <w:rFonts w:ascii="Arial" w:eastAsia="Times New Roman" w:hAnsi="Arial" w:cs="Arial"/>
                <w:color w:val="000000"/>
                <w:lang w:eastAsia="es-CR"/>
              </w:rPr>
            </w:pPr>
            <w:r w:rsidRPr="00D243DC">
              <w:rPr>
                <w:rFonts w:ascii="Arial" w:eastAsia="Times New Roman" w:hAnsi="Arial" w:cs="Arial"/>
                <w:color w:val="000000"/>
                <w:lang w:eastAsia="es-CR"/>
              </w:rPr>
              <w:lastRenderedPageBreak/>
              <w:t>OAPVD</w:t>
            </w:r>
          </w:p>
        </w:tc>
        <w:tc>
          <w:tcPr>
            <w:tcW w:w="1200" w:type="dxa"/>
            <w:shd w:val="clear" w:color="auto" w:fill="auto"/>
            <w:noWrap/>
            <w:vAlign w:val="bottom"/>
            <w:hideMark/>
          </w:tcPr>
          <w:p w14:paraId="12EA7D5A"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2</w:t>
            </w:r>
          </w:p>
        </w:tc>
        <w:tc>
          <w:tcPr>
            <w:tcW w:w="1200" w:type="dxa"/>
            <w:shd w:val="clear" w:color="auto" w:fill="auto"/>
            <w:noWrap/>
            <w:vAlign w:val="bottom"/>
            <w:hideMark/>
          </w:tcPr>
          <w:p w14:paraId="48D7A502"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2</w:t>
            </w:r>
          </w:p>
        </w:tc>
      </w:tr>
      <w:tr w:rsidR="00D243DC" w:rsidRPr="00D243DC" w14:paraId="18765DF6" w14:textId="77777777" w:rsidTr="00D243DC">
        <w:trPr>
          <w:trHeight w:val="290"/>
          <w:jc w:val="center"/>
        </w:trPr>
        <w:tc>
          <w:tcPr>
            <w:tcW w:w="4234" w:type="dxa"/>
            <w:shd w:val="clear" w:color="auto" w:fill="auto"/>
            <w:noWrap/>
            <w:vAlign w:val="bottom"/>
            <w:hideMark/>
          </w:tcPr>
          <w:p w14:paraId="667AA725" w14:textId="77777777" w:rsidR="00D243DC" w:rsidRPr="00D243DC" w:rsidRDefault="00D243DC" w:rsidP="00D243DC">
            <w:pPr>
              <w:spacing w:after="0" w:line="240" w:lineRule="auto"/>
              <w:rPr>
                <w:rFonts w:ascii="Arial" w:eastAsia="Times New Roman" w:hAnsi="Arial" w:cs="Arial"/>
                <w:color w:val="000000"/>
                <w:lang w:eastAsia="es-CR"/>
              </w:rPr>
            </w:pPr>
            <w:r w:rsidRPr="00D243DC">
              <w:rPr>
                <w:rFonts w:ascii="Arial" w:eastAsia="Times New Roman" w:hAnsi="Arial" w:cs="Arial"/>
                <w:color w:val="000000"/>
                <w:lang w:eastAsia="es-CR"/>
              </w:rPr>
              <w:t> </w:t>
            </w:r>
          </w:p>
        </w:tc>
        <w:tc>
          <w:tcPr>
            <w:tcW w:w="1200" w:type="dxa"/>
            <w:shd w:val="clear" w:color="auto" w:fill="auto"/>
            <w:noWrap/>
            <w:vAlign w:val="bottom"/>
            <w:hideMark/>
          </w:tcPr>
          <w:p w14:paraId="0A6B1980"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108</w:t>
            </w:r>
          </w:p>
        </w:tc>
        <w:tc>
          <w:tcPr>
            <w:tcW w:w="1200" w:type="dxa"/>
            <w:shd w:val="clear" w:color="auto" w:fill="auto"/>
            <w:noWrap/>
            <w:vAlign w:val="bottom"/>
            <w:hideMark/>
          </w:tcPr>
          <w:p w14:paraId="49BDFBEC" w14:textId="77777777" w:rsidR="00D243DC" w:rsidRPr="00D243DC" w:rsidRDefault="00D243DC" w:rsidP="00D243DC">
            <w:pPr>
              <w:spacing w:after="0" w:line="240" w:lineRule="auto"/>
              <w:jc w:val="right"/>
              <w:rPr>
                <w:rFonts w:ascii="Arial" w:eastAsia="Times New Roman" w:hAnsi="Arial" w:cs="Arial"/>
                <w:color w:val="000000"/>
                <w:lang w:eastAsia="es-CR"/>
              </w:rPr>
            </w:pPr>
            <w:r w:rsidRPr="00D243DC">
              <w:rPr>
                <w:rFonts w:ascii="Arial" w:eastAsia="Times New Roman" w:hAnsi="Arial" w:cs="Arial"/>
                <w:color w:val="000000"/>
                <w:lang w:eastAsia="es-CR"/>
              </w:rPr>
              <w:t>34</w:t>
            </w:r>
          </w:p>
        </w:tc>
      </w:tr>
    </w:tbl>
    <w:p w14:paraId="4FA8B5A1" w14:textId="77777777" w:rsidR="00D243DC" w:rsidRPr="00BF2076" w:rsidRDefault="00D243DC" w:rsidP="004514FE">
      <w:pPr>
        <w:spacing w:after="0" w:line="240" w:lineRule="auto"/>
        <w:jc w:val="both"/>
        <w:rPr>
          <w:rFonts w:ascii="Arial" w:eastAsia="Times New Roman" w:hAnsi="Arial" w:cs="Arial"/>
          <w:lang w:eastAsia="es-ES"/>
        </w:rPr>
      </w:pPr>
    </w:p>
    <w:p w14:paraId="5DCC09C1" w14:textId="77777777" w:rsidR="008842AF" w:rsidRPr="00BF2076" w:rsidRDefault="008842AF" w:rsidP="004514FE">
      <w:pPr>
        <w:spacing w:after="0" w:line="240" w:lineRule="auto"/>
        <w:jc w:val="both"/>
        <w:rPr>
          <w:rFonts w:ascii="Arial" w:eastAsia="Times New Roman" w:hAnsi="Arial" w:cs="Arial"/>
          <w:lang w:eastAsia="es-ES"/>
        </w:rPr>
      </w:pPr>
    </w:p>
    <w:p w14:paraId="394EADC5" w14:textId="5ADA63E8" w:rsidR="00367CA0" w:rsidRPr="00BF2076" w:rsidRDefault="008842AF" w:rsidP="008842AF">
      <w:pPr>
        <w:spacing w:after="0" w:line="240" w:lineRule="auto"/>
        <w:jc w:val="center"/>
        <w:rPr>
          <w:rFonts w:ascii="Arial" w:eastAsia="Times New Roman" w:hAnsi="Arial" w:cs="Arial"/>
          <w:lang w:eastAsia="es-ES"/>
        </w:rPr>
      </w:pPr>
      <w:r w:rsidRPr="00BF2076">
        <w:rPr>
          <w:rFonts w:ascii="Arial" w:hAnsi="Arial" w:cs="Arial"/>
          <w:noProof/>
          <w:lang w:eastAsia="es-ES"/>
        </w:rPr>
        <w:drawing>
          <wp:inline distT="0" distB="0" distL="0" distR="0" wp14:anchorId="0BC799B6" wp14:editId="7BF480BC">
            <wp:extent cx="4618678" cy="2832100"/>
            <wp:effectExtent l="0" t="0" r="0" b="6350"/>
            <wp:docPr id="2" name="Imagen 2"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circular&#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4323" cy="2835562"/>
                    </a:xfrm>
                    <a:prstGeom prst="rect">
                      <a:avLst/>
                    </a:prstGeom>
                    <a:noFill/>
                    <a:ln>
                      <a:noFill/>
                    </a:ln>
                  </pic:spPr>
                </pic:pic>
              </a:graphicData>
            </a:graphic>
          </wp:inline>
        </w:drawing>
      </w:r>
    </w:p>
    <w:p w14:paraId="0737AEE6" w14:textId="7E3D6B71" w:rsidR="008842AF" w:rsidRPr="00BF2076" w:rsidRDefault="008842AF" w:rsidP="004514FE">
      <w:pPr>
        <w:spacing w:after="0" w:line="240" w:lineRule="auto"/>
        <w:jc w:val="both"/>
        <w:rPr>
          <w:rFonts w:ascii="Arial" w:eastAsia="Times New Roman" w:hAnsi="Arial" w:cs="Arial"/>
          <w:lang w:eastAsia="es-ES"/>
        </w:rPr>
      </w:pPr>
    </w:p>
    <w:p w14:paraId="154FCF9B" w14:textId="351845CE" w:rsidR="008842AF" w:rsidRPr="00BF2076" w:rsidRDefault="008842AF" w:rsidP="008842AF">
      <w:pPr>
        <w:spacing w:after="0" w:line="240" w:lineRule="auto"/>
        <w:jc w:val="center"/>
        <w:rPr>
          <w:rFonts w:ascii="Arial" w:eastAsia="Times New Roman" w:hAnsi="Arial" w:cs="Arial"/>
          <w:lang w:eastAsia="es-ES"/>
        </w:rPr>
      </w:pPr>
      <w:r w:rsidRPr="00BF2076">
        <w:rPr>
          <w:rFonts w:ascii="Arial" w:hAnsi="Arial" w:cs="Arial"/>
          <w:noProof/>
          <w:lang w:eastAsia="es-ES"/>
        </w:rPr>
        <w:drawing>
          <wp:inline distT="0" distB="0" distL="0" distR="0" wp14:anchorId="40733F97" wp14:editId="65A99078">
            <wp:extent cx="4667250" cy="3130550"/>
            <wp:effectExtent l="0" t="0" r="0" b="0"/>
            <wp:docPr id="3" name="Imagen 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circular&#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3130550"/>
                    </a:xfrm>
                    <a:prstGeom prst="rect">
                      <a:avLst/>
                    </a:prstGeom>
                    <a:noFill/>
                    <a:ln>
                      <a:noFill/>
                    </a:ln>
                  </pic:spPr>
                </pic:pic>
              </a:graphicData>
            </a:graphic>
          </wp:inline>
        </w:drawing>
      </w:r>
    </w:p>
    <w:p w14:paraId="6A05DA41" w14:textId="29A9E46D" w:rsidR="00367CA0" w:rsidRPr="00BF2076" w:rsidRDefault="00367CA0" w:rsidP="004514FE">
      <w:pPr>
        <w:spacing w:after="0" w:line="240" w:lineRule="auto"/>
        <w:jc w:val="both"/>
        <w:rPr>
          <w:rFonts w:ascii="Arial" w:eastAsia="Times New Roman" w:hAnsi="Arial" w:cs="Arial"/>
          <w:lang w:eastAsia="es-ES"/>
        </w:rPr>
      </w:pPr>
    </w:p>
    <w:p w14:paraId="75ACF75F" w14:textId="477F17F8" w:rsidR="008842AF" w:rsidRPr="00BF2076" w:rsidRDefault="008842AF" w:rsidP="004514FE">
      <w:pPr>
        <w:spacing w:after="0" w:line="240" w:lineRule="auto"/>
        <w:jc w:val="both"/>
        <w:rPr>
          <w:rFonts w:ascii="Arial" w:eastAsia="Times New Roman" w:hAnsi="Arial" w:cs="Arial"/>
          <w:lang w:eastAsia="es-ES"/>
        </w:rPr>
      </w:pPr>
      <w:r w:rsidRPr="00BF2076">
        <w:rPr>
          <w:rFonts w:ascii="Arial" w:eastAsia="Times New Roman" w:hAnsi="Arial" w:cs="Arial"/>
          <w:lang w:eastAsia="es-ES"/>
        </w:rPr>
        <w:t>Además, se tiene programado la realización de las siguientes capacitaciones para el mes de abril</w:t>
      </w:r>
      <w:r w:rsidR="00BF2076">
        <w:rPr>
          <w:rFonts w:ascii="Arial" w:eastAsia="Times New Roman" w:hAnsi="Arial" w:cs="Arial"/>
          <w:lang w:eastAsia="es-ES"/>
        </w:rPr>
        <w:t>, donde se ha invitado a participar a personal de la Defensa Pública, Ministerio Público</w:t>
      </w:r>
      <w:r w:rsidR="00D243DC">
        <w:rPr>
          <w:rFonts w:ascii="Arial" w:eastAsia="Times New Roman" w:hAnsi="Arial" w:cs="Arial"/>
          <w:lang w:eastAsia="es-ES"/>
        </w:rPr>
        <w:t>, Centro de Apoyo, Coordinación y Mejoramiento de la Función Jurisdiccional</w:t>
      </w:r>
      <w:r w:rsidR="00BF2076">
        <w:rPr>
          <w:rFonts w:ascii="Arial" w:eastAsia="Times New Roman" w:hAnsi="Arial" w:cs="Arial"/>
          <w:lang w:eastAsia="es-ES"/>
        </w:rPr>
        <w:t xml:space="preserve"> y a las </w:t>
      </w:r>
      <w:r w:rsidR="00BF2076">
        <w:rPr>
          <w:rFonts w:ascii="Arial" w:eastAsia="Times New Roman" w:hAnsi="Arial" w:cs="Arial"/>
          <w:lang w:eastAsia="es-ES"/>
        </w:rPr>
        <w:lastRenderedPageBreak/>
        <w:t>Direcciones de Gestión Humana, Planificación, Contraloría de Servicios, Departamento de Prensa, Oficina de Control Interno, CEGECA, entre otras oficinas administrativas</w:t>
      </w:r>
      <w:r w:rsidRPr="00BF2076">
        <w:rPr>
          <w:rFonts w:ascii="Arial" w:eastAsia="Times New Roman" w:hAnsi="Arial" w:cs="Arial"/>
          <w:lang w:eastAsia="es-ES"/>
        </w:rPr>
        <w:t xml:space="preserve">: </w:t>
      </w:r>
    </w:p>
    <w:p w14:paraId="70A32871" w14:textId="77777777" w:rsidR="008842AF" w:rsidRPr="00BF2076" w:rsidRDefault="008842AF" w:rsidP="004514FE">
      <w:pPr>
        <w:spacing w:after="0" w:line="240" w:lineRule="auto"/>
        <w:jc w:val="both"/>
        <w:rPr>
          <w:rFonts w:ascii="Arial" w:eastAsia="Times New Roman" w:hAnsi="Arial" w:cs="Arial"/>
          <w:lang w:eastAsia="es-ES"/>
        </w:rPr>
      </w:pPr>
    </w:p>
    <w:tbl>
      <w:tblPr>
        <w:tblStyle w:val="Tablaconcuadrcula"/>
        <w:tblW w:w="0" w:type="auto"/>
        <w:jc w:val="right"/>
        <w:tblLook w:val="04A0" w:firstRow="1" w:lastRow="0" w:firstColumn="1" w:lastColumn="0" w:noHBand="0" w:noVBand="1"/>
      </w:tblPr>
      <w:tblGrid>
        <w:gridCol w:w="4673"/>
        <w:gridCol w:w="2977"/>
      </w:tblGrid>
      <w:tr w:rsidR="008842AF" w:rsidRPr="00BF2076" w14:paraId="091F68A4" w14:textId="77777777" w:rsidTr="001E5C55">
        <w:trPr>
          <w:jc w:val="right"/>
        </w:trPr>
        <w:tc>
          <w:tcPr>
            <w:tcW w:w="4673" w:type="dxa"/>
          </w:tcPr>
          <w:p w14:paraId="3C7169BA" w14:textId="5C0B3888" w:rsidR="008842AF" w:rsidRPr="00BF2076" w:rsidRDefault="008842AF" w:rsidP="008842AF">
            <w:pPr>
              <w:pStyle w:val="Prrafodelista"/>
              <w:ind w:left="0"/>
              <w:jc w:val="center"/>
              <w:rPr>
                <w:rFonts w:ascii="Arial" w:hAnsi="Arial" w:cs="Arial"/>
                <w:lang w:eastAsia="es-CR"/>
              </w:rPr>
            </w:pPr>
            <w:r w:rsidRPr="00BF2076">
              <w:rPr>
                <w:rFonts w:ascii="Arial" w:hAnsi="Arial" w:cs="Arial"/>
                <w:b/>
                <w:bCs/>
                <w:lang w:eastAsia="es-CR"/>
              </w:rPr>
              <w:t>Capacitación</w:t>
            </w:r>
          </w:p>
        </w:tc>
        <w:tc>
          <w:tcPr>
            <w:tcW w:w="2977" w:type="dxa"/>
          </w:tcPr>
          <w:p w14:paraId="65F1D258" w14:textId="358497E4" w:rsidR="008842AF" w:rsidRPr="00BF2076" w:rsidRDefault="008842AF" w:rsidP="008842AF">
            <w:pPr>
              <w:pStyle w:val="Prrafodelista"/>
              <w:ind w:left="0"/>
              <w:jc w:val="center"/>
              <w:rPr>
                <w:rFonts w:ascii="Arial" w:hAnsi="Arial" w:cs="Arial"/>
                <w:lang w:eastAsia="es-CR"/>
              </w:rPr>
            </w:pPr>
            <w:r w:rsidRPr="00BF2076">
              <w:rPr>
                <w:rFonts w:ascii="Arial" w:hAnsi="Arial" w:cs="Arial"/>
                <w:b/>
                <w:bCs/>
                <w:lang w:eastAsia="es-CR"/>
              </w:rPr>
              <w:t>Fecha</w:t>
            </w:r>
          </w:p>
        </w:tc>
      </w:tr>
      <w:tr w:rsidR="008842AF" w:rsidRPr="00BF2076" w14:paraId="630F1843" w14:textId="77777777" w:rsidTr="001E5C55">
        <w:trPr>
          <w:jc w:val="right"/>
        </w:trPr>
        <w:tc>
          <w:tcPr>
            <w:tcW w:w="4673" w:type="dxa"/>
          </w:tcPr>
          <w:p w14:paraId="73F149F0" w14:textId="76CA92DF" w:rsidR="008842AF" w:rsidRPr="00BF2076" w:rsidRDefault="008842AF" w:rsidP="008842AF">
            <w:pPr>
              <w:pStyle w:val="Prrafodelista"/>
              <w:ind w:left="0"/>
              <w:rPr>
                <w:rFonts w:ascii="Arial" w:hAnsi="Arial" w:cs="Arial"/>
                <w:lang w:eastAsia="es-CR"/>
              </w:rPr>
            </w:pPr>
            <w:r w:rsidRPr="00BF2076">
              <w:rPr>
                <w:rFonts w:ascii="Arial" w:hAnsi="Arial" w:cs="Arial"/>
                <w:lang w:eastAsia="es-CR"/>
              </w:rPr>
              <w:t>Módulo I: Concientización</w:t>
            </w:r>
          </w:p>
        </w:tc>
        <w:tc>
          <w:tcPr>
            <w:tcW w:w="2977" w:type="dxa"/>
          </w:tcPr>
          <w:p w14:paraId="0AAE7D71" w14:textId="5471610F" w:rsidR="008842AF" w:rsidRPr="00BF2076" w:rsidRDefault="008842AF" w:rsidP="008842AF">
            <w:pPr>
              <w:pStyle w:val="Prrafodelista"/>
              <w:ind w:left="0"/>
              <w:rPr>
                <w:rFonts w:ascii="Arial" w:hAnsi="Arial" w:cs="Arial"/>
                <w:lang w:eastAsia="es-CR"/>
              </w:rPr>
            </w:pPr>
            <w:r w:rsidRPr="00BF2076">
              <w:rPr>
                <w:rFonts w:ascii="Arial" w:hAnsi="Arial" w:cs="Arial"/>
                <w:lang w:eastAsia="es-CR"/>
              </w:rPr>
              <w:t>18 de abril de 2023</w:t>
            </w:r>
          </w:p>
        </w:tc>
      </w:tr>
      <w:tr w:rsidR="008842AF" w:rsidRPr="00BF2076" w14:paraId="59BFAF03" w14:textId="77777777" w:rsidTr="001E5C55">
        <w:trPr>
          <w:jc w:val="right"/>
        </w:trPr>
        <w:tc>
          <w:tcPr>
            <w:tcW w:w="4673" w:type="dxa"/>
          </w:tcPr>
          <w:p w14:paraId="14FE19EC" w14:textId="77777777" w:rsidR="008842AF" w:rsidRPr="00BF2076" w:rsidRDefault="008842AF" w:rsidP="008842AF">
            <w:pPr>
              <w:pStyle w:val="Prrafodelista"/>
              <w:ind w:left="0"/>
              <w:rPr>
                <w:rFonts w:ascii="Arial" w:hAnsi="Arial" w:cs="Arial"/>
                <w:lang w:eastAsia="es-CR"/>
              </w:rPr>
            </w:pPr>
            <w:r w:rsidRPr="00BF2076">
              <w:rPr>
                <w:rFonts w:ascii="Arial" w:hAnsi="Arial" w:cs="Arial"/>
                <w:lang w:eastAsia="es-CR"/>
              </w:rPr>
              <w:t>Módulo II: Capacitación</w:t>
            </w:r>
          </w:p>
        </w:tc>
        <w:tc>
          <w:tcPr>
            <w:tcW w:w="2977" w:type="dxa"/>
          </w:tcPr>
          <w:p w14:paraId="73352B01" w14:textId="77777777" w:rsidR="008842AF" w:rsidRPr="00BF2076" w:rsidRDefault="008842AF" w:rsidP="008842AF">
            <w:pPr>
              <w:pStyle w:val="Prrafodelista"/>
              <w:ind w:left="0"/>
              <w:rPr>
                <w:rFonts w:ascii="Arial" w:hAnsi="Arial" w:cs="Arial"/>
                <w:lang w:eastAsia="es-CR"/>
              </w:rPr>
            </w:pPr>
            <w:r w:rsidRPr="00BF2076">
              <w:rPr>
                <w:rFonts w:ascii="Arial" w:hAnsi="Arial" w:cs="Arial"/>
                <w:lang w:eastAsia="es-CR"/>
              </w:rPr>
              <w:t>25 de abril de 2023</w:t>
            </w:r>
          </w:p>
        </w:tc>
      </w:tr>
    </w:tbl>
    <w:p w14:paraId="1626E781" w14:textId="77777777" w:rsidR="008842AF" w:rsidRPr="00BF2076" w:rsidRDefault="008842AF" w:rsidP="004514FE">
      <w:pPr>
        <w:spacing w:after="0" w:line="240" w:lineRule="auto"/>
        <w:jc w:val="both"/>
        <w:rPr>
          <w:rFonts w:ascii="Arial" w:eastAsia="Times New Roman" w:hAnsi="Arial" w:cs="Arial"/>
          <w:b/>
          <w:bCs/>
          <w:lang w:eastAsia="es-ES"/>
        </w:rPr>
      </w:pPr>
    </w:p>
    <w:p w14:paraId="3072BAB4" w14:textId="77777777" w:rsidR="008842AF" w:rsidRPr="00BF2076" w:rsidRDefault="008842AF" w:rsidP="004514FE">
      <w:pPr>
        <w:spacing w:after="0" w:line="240" w:lineRule="auto"/>
        <w:jc w:val="both"/>
        <w:rPr>
          <w:rFonts w:ascii="Arial" w:eastAsia="Times New Roman" w:hAnsi="Arial" w:cs="Arial"/>
          <w:b/>
          <w:bCs/>
          <w:lang w:eastAsia="es-ES"/>
        </w:rPr>
      </w:pPr>
    </w:p>
    <w:p w14:paraId="73872B96" w14:textId="60F7D699" w:rsidR="00CE18F3" w:rsidRPr="00BF2076" w:rsidRDefault="00CE18F3" w:rsidP="004514FE">
      <w:pPr>
        <w:spacing w:after="0" w:line="240" w:lineRule="auto"/>
        <w:jc w:val="both"/>
        <w:rPr>
          <w:rFonts w:ascii="Arial" w:eastAsia="Times New Roman" w:hAnsi="Arial" w:cs="Arial"/>
          <w:b/>
          <w:bCs/>
          <w:lang w:eastAsia="es-ES"/>
        </w:rPr>
      </w:pPr>
      <w:r w:rsidRPr="00BF2076">
        <w:rPr>
          <w:rFonts w:ascii="Arial" w:eastAsia="Times New Roman" w:hAnsi="Arial" w:cs="Arial"/>
          <w:b/>
          <w:bCs/>
          <w:lang w:eastAsia="es-ES"/>
        </w:rPr>
        <w:t>Se acuerda:</w:t>
      </w:r>
      <w:r w:rsidRPr="00BF2076">
        <w:rPr>
          <w:rFonts w:ascii="Arial" w:eastAsia="Times New Roman" w:hAnsi="Arial" w:cs="Arial"/>
          <w:lang w:eastAsia="es-ES"/>
        </w:rPr>
        <w:t xml:space="preserve"> </w:t>
      </w:r>
      <w:r w:rsidRPr="00BF2076">
        <w:rPr>
          <w:rFonts w:ascii="Arial" w:eastAsia="Times New Roman" w:hAnsi="Arial" w:cs="Arial"/>
          <w:b/>
          <w:bCs/>
          <w:lang w:eastAsia="es-ES"/>
        </w:rPr>
        <w:t>1)</w:t>
      </w:r>
      <w:r w:rsidR="00323988" w:rsidRPr="00BF2076">
        <w:rPr>
          <w:rFonts w:ascii="Arial" w:eastAsia="Times New Roman" w:hAnsi="Arial" w:cs="Arial"/>
          <w:b/>
          <w:bCs/>
          <w:lang w:eastAsia="es-ES"/>
        </w:rPr>
        <w:t xml:space="preserve"> </w:t>
      </w:r>
      <w:r w:rsidR="00323988" w:rsidRPr="00BF2076">
        <w:rPr>
          <w:rFonts w:ascii="Arial" w:hAnsi="Arial" w:cs="Arial"/>
          <w:lang w:eastAsia="es-ES"/>
        </w:rPr>
        <w:t>Se toma nota de las acciones realizadas por el Subproceso</w:t>
      </w:r>
      <w:r w:rsidR="00D243DC">
        <w:rPr>
          <w:rFonts w:ascii="Arial" w:hAnsi="Arial" w:cs="Arial"/>
          <w:lang w:eastAsia="es-ES"/>
        </w:rPr>
        <w:t xml:space="preserve"> en cuanto a la capacitación al personal judicial sobre el Sistema de Gestión de Continuidad del Servicio</w:t>
      </w:r>
      <w:r w:rsidRPr="00BF2076">
        <w:rPr>
          <w:rFonts w:ascii="Arial" w:eastAsia="Times New Roman" w:hAnsi="Arial" w:cs="Arial"/>
          <w:lang w:eastAsia="es-ES"/>
        </w:rPr>
        <w:t xml:space="preserve">. </w:t>
      </w:r>
      <w:r w:rsidRPr="00BF2076">
        <w:rPr>
          <w:rFonts w:ascii="Arial" w:eastAsia="Times New Roman" w:hAnsi="Arial" w:cs="Arial"/>
          <w:b/>
          <w:bCs/>
          <w:lang w:eastAsia="es-ES"/>
        </w:rPr>
        <w:t xml:space="preserve">ACUERDO FIRME. </w:t>
      </w:r>
    </w:p>
    <w:p w14:paraId="5A0AA1CF" w14:textId="77777777" w:rsidR="00CE18F3" w:rsidRPr="00BF2076" w:rsidRDefault="00CE18F3" w:rsidP="004514FE">
      <w:pPr>
        <w:spacing w:after="0" w:line="240" w:lineRule="auto"/>
        <w:jc w:val="center"/>
        <w:rPr>
          <w:rFonts w:ascii="Arial" w:hAnsi="Arial" w:cs="Arial"/>
          <w:b/>
          <w:color w:val="2F5496"/>
        </w:rPr>
      </w:pPr>
    </w:p>
    <w:p w14:paraId="279F05AC" w14:textId="77777777" w:rsidR="00AC4120" w:rsidRPr="00BF2076" w:rsidRDefault="00AC4120" w:rsidP="004514FE">
      <w:pPr>
        <w:spacing w:after="0" w:line="240" w:lineRule="auto"/>
        <w:rPr>
          <w:rFonts w:ascii="Arial" w:hAnsi="Arial" w:cs="Arial"/>
          <w:lang w:eastAsia="es-ES"/>
        </w:rPr>
      </w:pPr>
    </w:p>
    <w:bookmarkEnd w:id="1"/>
    <w:p w14:paraId="6B875CE6" w14:textId="3E0F330D" w:rsidR="00251002" w:rsidRPr="00BF2076" w:rsidRDefault="001B0E11" w:rsidP="004514FE">
      <w:pPr>
        <w:spacing w:after="0" w:line="240" w:lineRule="auto"/>
        <w:jc w:val="both"/>
        <w:rPr>
          <w:rFonts w:ascii="Arial" w:hAnsi="Arial" w:cs="Arial"/>
          <w:lang w:eastAsia="es-ES"/>
        </w:rPr>
      </w:pPr>
      <w:r w:rsidRPr="00D243DC">
        <w:rPr>
          <w:rFonts w:ascii="Arial" w:hAnsi="Arial" w:cs="Arial"/>
          <w:highlight w:val="yellow"/>
          <w:lang w:eastAsia="es-ES"/>
        </w:rPr>
        <w:t xml:space="preserve">Finaliza la sesión a las </w:t>
      </w:r>
      <w:r w:rsidR="00F67BFA">
        <w:rPr>
          <w:rFonts w:ascii="Arial" w:hAnsi="Arial" w:cs="Arial"/>
          <w:highlight w:val="yellow"/>
          <w:lang w:eastAsia="es-ES"/>
        </w:rPr>
        <w:t>quince</w:t>
      </w:r>
      <w:r w:rsidR="000F12AB" w:rsidRPr="00D243DC">
        <w:rPr>
          <w:rFonts w:ascii="Arial" w:hAnsi="Arial" w:cs="Arial"/>
          <w:highlight w:val="yellow"/>
          <w:lang w:eastAsia="es-ES"/>
        </w:rPr>
        <w:t xml:space="preserve"> horas</w:t>
      </w:r>
      <w:r w:rsidR="00F67BFA">
        <w:rPr>
          <w:rFonts w:ascii="Arial" w:hAnsi="Arial" w:cs="Arial"/>
          <w:lang w:eastAsia="es-ES"/>
        </w:rPr>
        <w:t>.</w:t>
      </w:r>
    </w:p>
    <w:sectPr w:rsidR="00251002" w:rsidRPr="00BF2076">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EC4B" w14:textId="77777777" w:rsidR="008D12FE" w:rsidRDefault="008D12FE" w:rsidP="00BE2826">
      <w:pPr>
        <w:spacing w:after="0" w:line="240" w:lineRule="auto"/>
      </w:pPr>
      <w:r>
        <w:separator/>
      </w:r>
    </w:p>
  </w:endnote>
  <w:endnote w:type="continuationSeparator" w:id="0">
    <w:p w14:paraId="0284B604" w14:textId="77777777" w:rsidR="008D12FE" w:rsidRDefault="008D12FE" w:rsidP="00BE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487">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84FE" w14:textId="77777777" w:rsidR="00C277F9" w:rsidRDefault="00C277F9">
    <w:pPr>
      <w:pStyle w:val="Piedepgina"/>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61AF" w14:textId="77777777" w:rsidR="008D12FE" w:rsidRDefault="008D12FE" w:rsidP="00BE2826">
      <w:pPr>
        <w:spacing w:after="0" w:line="240" w:lineRule="auto"/>
      </w:pPr>
      <w:r>
        <w:separator/>
      </w:r>
    </w:p>
  </w:footnote>
  <w:footnote w:type="continuationSeparator" w:id="0">
    <w:p w14:paraId="54CED0A7" w14:textId="77777777" w:rsidR="008D12FE" w:rsidRDefault="008D12FE" w:rsidP="00BE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4BA6" w14:textId="5E0B804B" w:rsidR="00734FFE" w:rsidRPr="0034095B" w:rsidRDefault="00650770" w:rsidP="00F4405D">
    <w:pPr>
      <w:spacing w:line="240" w:lineRule="auto"/>
      <w:jc w:val="center"/>
      <w:rPr>
        <w:rFonts w:ascii="Arial" w:hAnsi="Arial" w:cs="Arial"/>
        <w:b/>
        <w:color w:val="1F3864"/>
        <w:sz w:val="24"/>
        <w:szCs w:val="24"/>
      </w:rPr>
    </w:pPr>
    <w:r w:rsidRPr="0034095B">
      <w:rPr>
        <w:noProof/>
        <w:color w:val="1F3864"/>
      </w:rPr>
      <w:drawing>
        <wp:anchor distT="0" distB="0" distL="114300" distR="114300" simplePos="0" relativeHeight="251657728" behindDoc="1" locked="0" layoutInCell="1" allowOverlap="1" wp14:anchorId="4B8EED59" wp14:editId="0BF2982F">
          <wp:simplePos x="0" y="0"/>
          <wp:positionH relativeFrom="column">
            <wp:posOffset>5804952</wp:posOffset>
          </wp:positionH>
          <wp:positionV relativeFrom="paragraph">
            <wp:posOffset>-13467</wp:posOffset>
          </wp:positionV>
          <wp:extent cx="570865" cy="636270"/>
          <wp:effectExtent l="0" t="0" r="635" b="0"/>
          <wp:wrapThrough wrapText="bothSides">
            <wp:wrapPolygon edited="0">
              <wp:start x="0" y="0"/>
              <wp:lineTo x="0" y="20695"/>
              <wp:lineTo x="20903" y="20695"/>
              <wp:lineTo x="2090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FFE" w:rsidRPr="0034095B">
      <w:rPr>
        <w:rFonts w:ascii="Arial" w:hAnsi="Arial" w:cs="Arial"/>
        <w:b/>
        <w:color w:val="1F3864"/>
        <w:sz w:val="24"/>
        <w:szCs w:val="24"/>
      </w:rPr>
      <w:t>PODER JUDICIAL</w:t>
    </w:r>
  </w:p>
  <w:p w14:paraId="3DC5F998" w14:textId="77777777" w:rsidR="00734FFE" w:rsidRPr="00734FFE" w:rsidRDefault="00734FFE" w:rsidP="00F4405D">
    <w:pPr>
      <w:tabs>
        <w:tab w:val="center" w:pos="4419"/>
        <w:tab w:val="left" w:pos="7119"/>
      </w:tabs>
      <w:spacing w:line="240" w:lineRule="auto"/>
      <w:jc w:val="center"/>
      <w:rPr>
        <w:rFonts w:ascii="Arial" w:hAnsi="Arial" w:cs="Arial"/>
        <w:b/>
        <w:color w:val="000000"/>
      </w:rPr>
    </w:pPr>
    <w:r w:rsidRPr="00734FFE">
      <w:rPr>
        <w:rFonts w:ascii="Arial" w:hAnsi="Arial" w:cs="Arial"/>
        <w:b/>
        <w:color w:val="000000"/>
      </w:rPr>
      <w:t>COMITÉ TÉCNICO DE CONTINUIDAD DEL SERVICIO</w:t>
    </w:r>
  </w:p>
  <w:p w14:paraId="6F051156" w14:textId="77777777" w:rsidR="00734FFE" w:rsidRPr="00734FFE" w:rsidRDefault="00734FFE" w:rsidP="00F4405D">
    <w:pPr>
      <w:tabs>
        <w:tab w:val="center" w:pos="4419"/>
        <w:tab w:val="left" w:pos="7119"/>
      </w:tabs>
      <w:spacing w:line="240" w:lineRule="auto"/>
      <w:jc w:val="center"/>
      <w:rPr>
        <w:rFonts w:ascii="Arial" w:hAnsi="Arial" w:cs="Arial"/>
        <w:b/>
        <w:color w:val="000000"/>
      </w:rPr>
    </w:pPr>
    <w:r w:rsidRPr="00734FFE">
      <w:rPr>
        <w:rFonts w:ascii="Arial" w:hAnsi="Arial" w:cs="Arial"/>
        <w:b/>
        <w:color w:val="000000"/>
      </w:rPr>
      <w:t>DEL PODER JUDICIAL</w:t>
    </w:r>
  </w:p>
  <w:p w14:paraId="3076F745" w14:textId="349013AE" w:rsidR="00734FFE" w:rsidRPr="00734FFE" w:rsidRDefault="00734FFE" w:rsidP="00F4405D">
    <w:pPr>
      <w:spacing w:line="240" w:lineRule="auto"/>
      <w:jc w:val="center"/>
      <w:rPr>
        <w:rFonts w:ascii="Arial" w:hAnsi="Arial" w:cs="Arial"/>
        <w:b/>
        <w:color w:val="000000"/>
        <w:sz w:val="24"/>
        <w:szCs w:val="24"/>
      </w:rPr>
    </w:pPr>
    <w:r w:rsidRPr="00654FA5">
      <w:rPr>
        <w:rFonts w:ascii="Arial" w:hAnsi="Arial" w:cs="Arial"/>
        <w:b/>
        <w:color w:val="000000"/>
        <w:sz w:val="24"/>
        <w:szCs w:val="24"/>
      </w:rPr>
      <w:t>ACTA N°</w:t>
    </w:r>
    <w:r w:rsidR="006C1155">
      <w:rPr>
        <w:rFonts w:ascii="Arial" w:hAnsi="Arial" w:cs="Arial"/>
        <w:b/>
        <w:color w:val="000000"/>
        <w:sz w:val="24"/>
        <w:szCs w:val="24"/>
      </w:rPr>
      <w:t>2</w:t>
    </w:r>
    <w:r w:rsidRPr="00654FA5">
      <w:rPr>
        <w:rFonts w:ascii="Arial" w:hAnsi="Arial" w:cs="Arial"/>
        <w:b/>
        <w:color w:val="000000"/>
        <w:sz w:val="24"/>
        <w:szCs w:val="24"/>
      </w:rPr>
      <w:t>-202</w:t>
    </w:r>
    <w:r w:rsidR="00614491">
      <w:rPr>
        <w:rFonts w:ascii="Arial" w:hAnsi="Arial" w:cs="Arial"/>
        <w:b/>
        <w:color w:val="00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o"/>
      <w:lvlJc w:val="left"/>
      <w:pPr>
        <w:tabs>
          <w:tab w:val="num" w:pos="720"/>
        </w:tabs>
        <w:ind w:left="720" w:hanging="360"/>
      </w:pPr>
      <w:rPr>
        <w:rFonts w:ascii="Courier New" w:hAnsi="Courier New" w:cs="Courier New"/>
      </w:rPr>
    </w:lvl>
  </w:abstractNum>
  <w:abstractNum w:abstractNumId="2" w15:restartNumberingAfterBreak="0">
    <w:nsid w:val="00A27EA7"/>
    <w:multiLevelType w:val="hybridMultilevel"/>
    <w:tmpl w:val="1EA64E1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1676874"/>
    <w:multiLevelType w:val="hybridMultilevel"/>
    <w:tmpl w:val="81EA5BA6"/>
    <w:lvl w:ilvl="0" w:tplc="29DAF4DE">
      <w:numFmt w:val="bullet"/>
      <w:lvlText w:val="-"/>
      <w:lvlJc w:val="left"/>
      <w:pPr>
        <w:ind w:left="1440" w:hanging="360"/>
      </w:pPr>
      <w:rPr>
        <w:rFonts w:ascii="Arial" w:eastAsiaTheme="minorHAnsi" w:hAnsi="Arial" w:cs="Aria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4" w15:restartNumberingAfterBreak="0">
    <w:nsid w:val="07770D9A"/>
    <w:multiLevelType w:val="multilevel"/>
    <w:tmpl w:val="6B1C759C"/>
    <w:lvl w:ilvl="0">
      <w:start w:val="1"/>
      <w:numFmt w:val="upperRoman"/>
      <w:lvlText w:val="%1."/>
      <w:lvlJc w:val="left"/>
      <w:pPr>
        <w:ind w:left="1080" w:hanging="720"/>
      </w:pPr>
      <w:rPr>
        <w:rFonts w:hint="default"/>
      </w:rPr>
    </w:lvl>
    <w:lvl w:ilvl="1">
      <w:start w:val="26"/>
      <w:numFmt w:val="decimal"/>
      <w:isLgl/>
      <w:lvlText w:val="%1.%2."/>
      <w:lvlJc w:val="left"/>
      <w:pPr>
        <w:ind w:left="1287" w:hanging="72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D48E5"/>
    <w:multiLevelType w:val="hybridMultilevel"/>
    <w:tmpl w:val="ED22D40A"/>
    <w:lvl w:ilvl="0" w:tplc="0EA66396">
      <w:start w:val="1"/>
      <w:numFmt w:val="bullet"/>
      <w:lvlText w:val=""/>
      <w:lvlJc w:val="left"/>
      <w:pPr>
        <w:ind w:left="1440" w:hanging="360"/>
      </w:pPr>
      <w:rPr>
        <w:rFonts w:ascii="Wingdings" w:hAnsi="Wingdings" w:cs="Wingdings" w:hint="default"/>
        <w:color w:val="000000"/>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7" w15:restartNumberingAfterBreak="0">
    <w:nsid w:val="12F3342A"/>
    <w:multiLevelType w:val="hybridMultilevel"/>
    <w:tmpl w:val="EAC2CA3E"/>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8" w15:restartNumberingAfterBreak="0">
    <w:nsid w:val="19E355B7"/>
    <w:multiLevelType w:val="hybridMultilevel"/>
    <w:tmpl w:val="44F242DE"/>
    <w:lvl w:ilvl="0" w:tplc="3B9AF702">
      <w:start w:val="117"/>
      <w:numFmt w:val="bullet"/>
      <w:lvlText w:val="-"/>
      <w:lvlJc w:val="left"/>
      <w:pPr>
        <w:ind w:left="720" w:hanging="360"/>
      </w:pPr>
      <w:rPr>
        <w:rFonts w:ascii="Bookman Old Style" w:eastAsia="Times New Roman" w:hAnsi="Bookman Old Style"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3CC063B"/>
    <w:multiLevelType w:val="multilevel"/>
    <w:tmpl w:val="6934810A"/>
    <w:lvl w:ilvl="0">
      <w:start w:val="1"/>
      <w:numFmt w:val="upperRoman"/>
      <w:lvlText w:val="%1."/>
      <w:lvlJc w:val="left"/>
      <w:pPr>
        <w:ind w:left="1080" w:hanging="720"/>
      </w:pPr>
      <w:rPr>
        <w:rFonts w:hint="default"/>
        <w:b/>
        <w:bCs/>
        <w:color w:val="auto"/>
        <w:sz w:val="24"/>
        <w:szCs w:val="24"/>
      </w:rPr>
    </w:lvl>
    <w:lvl w:ilvl="1">
      <w:start w:val="1"/>
      <w:numFmt w:val="decimal"/>
      <w:isLgl/>
      <w:lvlText w:val="%1.%2."/>
      <w:lvlJc w:val="left"/>
      <w:pPr>
        <w:ind w:left="360" w:hanging="360"/>
      </w:pPr>
      <w:rPr>
        <w:rFonts w:hint="default"/>
        <w:b/>
        <w:bCs/>
        <w:color w:val="auto"/>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B55902"/>
    <w:multiLevelType w:val="hybridMultilevel"/>
    <w:tmpl w:val="D652A4F6"/>
    <w:lvl w:ilvl="0" w:tplc="DBA4E4F0">
      <w:start w:val="1"/>
      <w:numFmt w:val="bullet"/>
      <w:lvlText w:val="-"/>
      <w:lvlJc w:val="left"/>
      <w:pPr>
        <w:ind w:left="720" w:hanging="360"/>
      </w:pPr>
      <w:rPr>
        <w:rFonts w:ascii="Arial" w:eastAsia="Times New Roman"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B049EAA"/>
    <w:multiLevelType w:val="hybridMultilevel"/>
    <w:tmpl w:val="1EA64E1A"/>
    <w:lvl w:ilvl="0" w:tplc="BC00E81E">
      <w:start w:val="1"/>
      <w:numFmt w:val="decimal"/>
      <w:lvlText w:val="%1."/>
      <w:lvlJc w:val="left"/>
      <w:pPr>
        <w:ind w:left="720" w:hanging="360"/>
      </w:pPr>
      <w:rPr>
        <w:b/>
        <w:bCs/>
      </w:rPr>
    </w:lvl>
    <w:lvl w:ilvl="1" w:tplc="05B8DA2A">
      <w:start w:val="1"/>
      <w:numFmt w:val="lowerLetter"/>
      <w:lvlText w:val="%2."/>
      <w:lvlJc w:val="left"/>
      <w:pPr>
        <w:ind w:left="1440" w:hanging="360"/>
      </w:pPr>
    </w:lvl>
    <w:lvl w:ilvl="2" w:tplc="1F2A07F6">
      <w:start w:val="1"/>
      <w:numFmt w:val="lowerRoman"/>
      <w:lvlText w:val="%3."/>
      <w:lvlJc w:val="right"/>
      <w:pPr>
        <w:ind w:left="2160" w:hanging="180"/>
      </w:pPr>
    </w:lvl>
    <w:lvl w:ilvl="3" w:tplc="D2103F44">
      <w:start w:val="1"/>
      <w:numFmt w:val="decimal"/>
      <w:lvlText w:val="%4."/>
      <w:lvlJc w:val="left"/>
      <w:pPr>
        <w:ind w:left="2880" w:hanging="360"/>
      </w:pPr>
    </w:lvl>
    <w:lvl w:ilvl="4" w:tplc="70864A0E">
      <w:start w:val="1"/>
      <w:numFmt w:val="lowerLetter"/>
      <w:lvlText w:val="%5."/>
      <w:lvlJc w:val="left"/>
      <w:pPr>
        <w:ind w:left="3600" w:hanging="360"/>
      </w:pPr>
    </w:lvl>
    <w:lvl w:ilvl="5" w:tplc="77E61682">
      <w:start w:val="1"/>
      <w:numFmt w:val="lowerRoman"/>
      <w:lvlText w:val="%6."/>
      <w:lvlJc w:val="right"/>
      <w:pPr>
        <w:ind w:left="4320" w:hanging="180"/>
      </w:pPr>
    </w:lvl>
    <w:lvl w:ilvl="6" w:tplc="D398EBB2">
      <w:start w:val="1"/>
      <w:numFmt w:val="decimal"/>
      <w:lvlText w:val="%7."/>
      <w:lvlJc w:val="left"/>
      <w:pPr>
        <w:ind w:left="5040" w:hanging="360"/>
      </w:pPr>
    </w:lvl>
    <w:lvl w:ilvl="7" w:tplc="B9963054">
      <w:start w:val="1"/>
      <w:numFmt w:val="lowerLetter"/>
      <w:lvlText w:val="%8."/>
      <w:lvlJc w:val="left"/>
      <w:pPr>
        <w:ind w:left="5760" w:hanging="360"/>
      </w:pPr>
    </w:lvl>
    <w:lvl w:ilvl="8" w:tplc="739477FC">
      <w:start w:val="1"/>
      <w:numFmt w:val="lowerRoman"/>
      <w:lvlText w:val="%9."/>
      <w:lvlJc w:val="right"/>
      <w:pPr>
        <w:ind w:left="6480" w:hanging="180"/>
      </w:pPr>
    </w:lvl>
  </w:abstractNum>
  <w:abstractNum w:abstractNumId="12" w15:restartNumberingAfterBreak="0">
    <w:nsid w:val="2CCF4353"/>
    <w:multiLevelType w:val="hybridMultilevel"/>
    <w:tmpl w:val="4FD64146"/>
    <w:lvl w:ilvl="0" w:tplc="65B6867A">
      <w:start w:val="1"/>
      <w:numFmt w:val="bullet"/>
      <w:lvlText w:val=""/>
      <w:lvlJc w:val="left"/>
      <w:pPr>
        <w:ind w:left="1440" w:hanging="360"/>
      </w:pPr>
      <w:rPr>
        <w:rFonts w:ascii="Symbol" w:hAnsi="Symbol" w:hint="default"/>
        <w:color w:val="000000"/>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13" w15:restartNumberingAfterBreak="0">
    <w:nsid w:val="324D7918"/>
    <w:multiLevelType w:val="hybridMultilevel"/>
    <w:tmpl w:val="DCBE0A82"/>
    <w:lvl w:ilvl="0" w:tplc="386867EA">
      <w:start w:val="1"/>
      <w:numFmt w:val="upperLetter"/>
      <w:lvlText w:val="%1."/>
      <w:lvlJc w:val="left"/>
      <w:pPr>
        <w:ind w:left="720" w:hanging="360"/>
      </w:pPr>
      <w:rPr>
        <w:rFonts w:asciiTheme="minorHAnsi" w:eastAsia="Times New Roman" w:hAnsiTheme="minorHAnsi" w:cs="Arial" w:hint="default"/>
        <w:b/>
        <w:bCs w:val="0"/>
        <w:i/>
        <w:iCs/>
        <w:color w:val="4472C4" w:themeColor="accent1"/>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B9D35F6"/>
    <w:multiLevelType w:val="hybridMultilevel"/>
    <w:tmpl w:val="B01A42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E951F37"/>
    <w:multiLevelType w:val="hybridMultilevel"/>
    <w:tmpl w:val="E9F0200C"/>
    <w:lvl w:ilvl="0" w:tplc="A8B4AFC4">
      <w:start w:val="1"/>
      <w:numFmt w:val="bullet"/>
      <w:pStyle w:val="Listaconvietas"/>
      <w:lvlText w:val=""/>
      <w:legacy w:legacy="1" w:legacySpace="0" w:legacyIndent="360"/>
      <w:lvlJc w:val="left"/>
      <w:pPr>
        <w:ind w:left="414" w:hanging="360"/>
      </w:pPr>
      <w:rPr>
        <w:rFonts w:ascii="Symbol" w:hAnsi="Symbol" w:hint="default"/>
      </w:rPr>
    </w:lvl>
    <w:lvl w:ilvl="1" w:tplc="0C0A0019">
      <w:start w:val="1"/>
      <w:numFmt w:val="bullet"/>
      <w:lvlText w:val="o"/>
      <w:lvlJc w:val="left"/>
      <w:pPr>
        <w:tabs>
          <w:tab w:val="num" w:pos="131"/>
        </w:tabs>
        <w:ind w:left="131" w:hanging="360"/>
      </w:pPr>
      <w:rPr>
        <w:rFonts w:ascii="Courier New" w:hAnsi="Courier New" w:hint="default"/>
      </w:rPr>
    </w:lvl>
    <w:lvl w:ilvl="2" w:tplc="0C0A001B">
      <w:start w:val="1"/>
      <w:numFmt w:val="bullet"/>
      <w:lvlText w:val=""/>
      <w:lvlJc w:val="left"/>
      <w:pPr>
        <w:tabs>
          <w:tab w:val="num" w:pos="1740"/>
        </w:tabs>
        <w:ind w:left="1740" w:hanging="360"/>
      </w:pPr>
      <w:rPr>
        <w:rFonts w:ascii="Wingdings" w:hAnsi="Wingdings" w:hint="default"/>
      </w:rPr>
    </w:lvl>
    <w:lvl w:ilvl="3" w:tplc="0C0A000F" w:tentative="1">
      <w:start w:val="1"/>
      <w:numFmt w:val="bullet"/>
      <w:lvlText w:val=""/>
      <w:lvlJc w:val="left"/>
      <w:pPr>
        <w:tabs>
          <w:tab w:val="num" w:pos="2460"/>
        </w:tabs>
        <w:ind w:left="2460" w:hanging="360"/>
      </w:pPr>
      <w:rPr>
        <w:rFonts w:ascii="Symbol" w:hAnsi="Symbol" w:hint="default"/>
      </w:rPr>
    </w:lvl>
    <w:lvl w:ilvl="4" w:tplc="0C0A0019" w:tentative="1">
      <w:start w:val="1"/>
      <w:numFmt w:val="bullet"/>
      <w:lvlText w:val="o"/>
      <w:lvlJc w:val="left"/>
      <w:pPr>
        <w:tabs>
          <w:tab w:val="num" w:pos="3180"/>
        </w:tabs>
        <w:ind w:left="3180" w:hanging="360"/>
      </w:pPr>
      <w:rPr>
        <w:rFonts w:ascii="Courier New" w:hAnsi="Courier New" w:hint="default"/>
      </w:rPr>
    </w:lvl>
    <w:lvl w:ilvl="5" w:tplc="0C0A001B" w:tentative="1">
      <w:start w:val="1"/>
      <w:numFmt w:val="bullet"/>
      <w:lvlText w:val=""/>
      <w:lvlJc w:val="left"/>
      <w:pPr>
        <w:tabs>
          <w:tab w:val="num" w:pos="3900"/>
        </w:tabs>
        <w:ind w:left="3900" w:hanging="360"/>
      </w:pPr>
      <w:rPr>
        <w:rFonts w:ascii="Wingdings" w:hAnsi="Wingdings" w:hint="default"/>
      </w:rPr>
    </w:lvl>
    <w:lvl w:ilvl="6" w:tplc="0C0A000F">
      <w:start w:val="1"/>
      <w:numFmt w:val="bullet"/>
      <w:lvlText w:val=""/>
      <w:lvlJc w:val="left"/>
      <w:pPr>
        <w:tabs>
          <w:tab w:val="num" w:pos="4620"/>
        </w:tabs>
        <w:ind w:left="4620" w:hanging="360"/>
      </w:pPr>
      <w:rPr>
        <w:rFonts w:ascii="Symbol" w:hAnsi="Symbol" w:hint="default"/>
      </w:rPr>
    </w:lvl>
    <w:lvl w:ilvl="7" w:tplc="0C0A0019" w:tentative="1">
      <w:start w:val="1"/>
      <w:numFmt w:val="bullet"/>
      <w:lvlText w:val="o"/>
      <w:lvlJc w:val="left"/>
      <w:pPr>
        <w:tabs>
          <w:tab w:val="num" w:pos="5340"/>
        </w:tabs>
        <w:ind w:left="5340" w:hanging="360"/>
      </w:pPr>
      <w:rPr>
        <w:rFonts w:ascii="Courier New" w:hAnsi="Courier New" w:hint="default"/>
      </w:rPr>
    </w:lvl>
    <w:lvl w:ilvl="8" w:tplc="0C0A001B" w:tentative="1">
      <w:start w:val="1"/>
      <w:numFmt w:val="bullet"/>
      <w:lvlText w:val=""/>
      <w:lvlJc w:val="left"/>
      <w:pPr>
        <w:tabs>
          <w:tab w:val="num" w:pos="6060"/>
        </w:tabs>
        <w:ind w:left="6060" w:hanging="360"/>
      </w:pPr>
      <w:rPr>
        <w:rFonts w:ascii="Wingdings" w:hAnsi="Wingdings" w:hint="default"/>
      </w:rPr>
    </w:lvl>
  </w:abstractNum>
  <w:abstractNum w:abstractNumId="16" w15:restartNumberingAfterBreak="0">
    <w:nsid w:val="40890436"/>
    <w:multiLevelType w:val="hybridMultilevel"/>
    <w:tmpl w:val="7BA84CA8"/>
    <w:lvl w:ilvl="0" w:tplc="3B9AF702">
      <w:start w:val="117"/>
      <w:numFmt w:val="bullet"/>
      <w:lvlText w:val="-"/>
      <w:lvlJc w:val="left"/>
      <w:pPr>
        <w:ind w:left="720" w:hanging="360"/>
      </w:pPr>
      <w:rPr>
        <w:rFonts w:ascii="Bookman Old Style" w:eastAsia="Times New Roman" w:hAnsi="Bookman Old Style"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2C67665"/>
    <w:multiLevelType w:val="multilevel"/>
    <w:tmpl w:val="8DF2241C"/>
    <w:lvl w:ilvl="0">
      <w:start w:val="117"/>
      <w:numFmt w:val="bullet"/>
      <w:lvlText w:val="-"/>
      <w:lvlJc w:val="left"/>
      <w:pPr>
        <w:ind w:left="1080" w:hanging="720"/>
      </w:pPr>
      <w:rPr>
        <w:rFonts w:ascii="Bookman Old Style" w:eastAsia="Times New Roman" w:hAnsi="Bookman Old Style" w:cs="Arial" w:hint="default"/>
        <w:b/>
        <w:bCs/>
        <w:color w:val="auto"/>
        <w:sz w:val="24"/>
        <w:szCs w:val="24"/>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C0312B"/>
    <w:multiLevelType w:val="hybridMultilevel"/>
    <w:tmpl w:val="0CBE18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A73755F"/>
    <w:multiLevelType w:val="hybridMultilevel"/>
    <w:tmpl w:val="4ADC6406"/>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0C2645E"/>
    <w:multiLevelType w:val="hybridMultilevel"/>
    <w:tmpl w:val="556ED48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1" w15:restartNumberingAfterBreak="0">
    <w:nsid w:val="51270101"/>
    <w:multiLevelType w:val="hybridMultilevel"/>
    <w:tmpl w:val="573850B4"/>
    <w:lvl w:ilvl="0" w:tplc="7820C712">
      <w:start w:val="1"/>
      <w:numFmt w:val="bullet"/>
      <w:lvlText w:val=""/>
      <w:lvlJc w:val="left"/>
      <w:pPr>
        <w:ind w:left="1440" w:hanging="360"/>
      </w:pPr>
      <w:rPr>
        <w:rFonts w:ascii="Symbol" w:hAnsi="Symbol" w:cs="Symbol" w:hint="default"/>
        <w:color w:val="000000"/>
      </w:rPr>
    </w:lvl>
    <w:lvl w:ilvl="1" w:tplc="140A0003">
      <w:start w:val="1"/>
      <w:numFmt w:val="bullet"/>
      <w:lvlText w:val="o"/>
      <w:lvlJc w:val="left"/>
      <w:pPr>
        <w:ind w:left="2160" w:hanging="360"/>
      </w:pPr>
      <w:rPr>
        <w:rFonts w:ascii="Courier New" w:hAnsi="Courier New" w:cs="Courier New" w:hint="default"/>
      </w:rPr>
    </w:lvl>
    <w:lvl w:ilvl="2" w:tplc="140A0005">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start w:val="1"/>
      <w:numFmt w:val="bullet"/>
      <w:lvlText w:val="o"/>
      <w:lvlJc w:val="left"/>
      <w:pPr>
        <w:ind w:left="4320" w:hanging="360"/>
      </w:pPr>
      <w:rPr>
        <w:rFonts w:ascii="Courier New" w:hAnsi="Courier New" w:cs="Courier New" w:hint="default"/>
      </w:rPr>
    </w:lvl>
    <w:lvl w:ilvl="5" w:tplc="140A0005">
      <w:start w:val="1"/>
      <w:numFmt w:val="bullet"/>
      <w:lvlText w:val=""/>
      <w:lvlJc w:val="left"/>
      <w:pPr>
        <w:ind w:left="5040" w:hanging="360"/>
      </w:pPr>
      <w:rPr>
        <w:rFonts w:ascii="Wingdings" w:hAnsi="Wingdings" w:hint="default"/>
      </w:rPr>
    </w:lvl>
    <w:lvl w:ilvl="6" w:tplc="140A0001">
      <w:start w:val="1"/>
      <w:numFmt w:val="bullet"/>
      <w:lvlText w:val=""/>
      <w:lvlJc w:val="left"/>
      <w:pPr>
        <w:ind w:left="5760" w:hanging="360"/>
      </w:pPr>
      <w:rPr>
        <w:rFonts w:ascii="Symbol" w:hAnsi="Symbol" w:hint="default"/>
      </w:rPr>
    </w:lvl>
    <w:lvl w:ilvl="7" w:tplc="140A0003">
      <w:start w:val="1"/>
      <w:numFmt w:val="bullet"/>
      <w:lvlText w:val="o"/>
      <w:lvlJc w:val="left"/>
      <w:pPr>
        <w:ind w:left="6480" w:hanging="360"/>
      </w:pPr>
      <w:rPr>
        <w:rFonts w:ascii="Courier New" w:hAnsi="Courier New" w:cs="Courier New" w:hint="default"/>
      </w:rPr>
    </w:lvl>
    <w:lvl w:ilvl="8" w:tplc="140A0005">
      <w:start w:val="1"/>
      <w:numFmt w:val="bullet"/>
      <w:lvlText w:val=""/>
      <w:lvlJc w:val="left"/>
      <w:pPr>
        <w:ind w:left="7200" w:hanging="360"/>
      </w:pPr>
      <w:rPr>
        <w:rFonts w:ascii="Wingdings" w:hAnsi="Wingdings" w:hint="default"/>
      </w:rPr>
    </w:lvl>
  </w:abstractNum>
  <w:abstractNum w:abstractNumId="22" w15:restartNumberingAfterBreak="0">
    <w:nsid w:val="51EE57A0"/>
    <w:multiLevelType w:val="hybridMultilevel"/>
    <w:tmpl w:val="51E07DE0"/>
    <w:lvl w:ilvl="0" w:tplc="29DAF4DE">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B6249F"/>
    <w:multiLevelType w:val="hybridMultilevel"/>
    <w:tmpl w:val="48AC4778"/>
    <w:lvl w:ilvl="0" w:tplc="140A000F">
      <w:start w:val="1"/>
      <w:numFmt w:val="decimal"/>
      <w:lvlText w:val="%1."/>
      <w:lvlJc w:val="left"/>
      <w:pPr>
        <w:ind w:left="1400" w:hanging="360"/>
      </w:pPr>
    </w:lvl>
    <w:lvl w:ilvl="1" w:tplc="140A0019" w:tentative="1">
      <w:start w:val="1"/>
      <w:numFmt w:val="lowerLetter"/>
      <w:lvlText w:val="%2."/>
      <w:lvlJc w:val="left"/>
      <w:pPr>
        <w:ind w:left="2120" w:hanging="360"/>
      </w:pPr>
    </w:lvl>
    <w:lvl w:ilvl="2" w:tplc="140A001B" w:tentative="1">
      <w:start w:val="1"/>
      <w:numFmt w:val="lowerRoman"/>
      <w:lvlText w:val="%3."/>
      <w:lvlJc w:val="right"/>
      <w:pPr>
        <w:ind w:left="2840" w:hanging="180"/>
      </w:pPr>
    </w:lvl>
    <w:lvl w:ilvl="3" w:tplc="140A000F" w:tentative="1">
      <w:start w:val="1"/>
      <w:numFmt w:val="decimal"/>
      <w:lvlText w:val="%4."/>
      <w:lvlJc w:val="left"/>
      <w:pPr>
        <w:ind w:left="3560" w:hanging="360"/>
      </w:pPr>
    </w:lvl>
    <w:lvl w:ilvl="4" w:tplc="140A0019" w:tentative="1">
      <w:start w:val="1"/>
      <w:numFmt w:val="lowerLetter"/>
      <w:lvlText w:val="%5."/>
      <w:lvlJc w:val="left"/>
      <w:pPr>
        <w:ind w:left="4280" w:hanging="360"/>
      </w:pPr>
    </w:lvl>
    <w:lvl w:ilvl="5" w:tplc="140A001B" w:tentative="1">
      <w:start w:val="1"/>
      <w:numFmt w:val="lowerRoman"/>
      <w:lvlText w:val="%6."/>
      <w:lvlJc w:val="right"/>
      <w:pPr>
        <w:ind w:left="5000" w:hanging="180"/>
      </w:pPr>
    </w:lvl>
    <w:lvl w:ilvl="6" w:tplc="140A000F" w:tentative="1">
      <w:start w:val="1"/>
      <w:numFmt w:val="decimal"/>
      <w:lvlText w:val="%7."/>
      <w:lvlJc w:val="left"/>
      <w:pPr>
        <w:ind w:left="5720" w:hanging="360"/>
      </w:pPr>
    </w:lvl>
    <w:lvl w:ilvl="7" w:tplc="140A0019" w:tentative="1">
      <w:start w:val="1"/>
      <w:numFmt w:val="lowerLetter"/>
      <w:lvlText w:val="%8."/>
      <w:lvlJc w:val="left"/>
      <w:pPr>
        <w:ind w:left="6440" w:hanging="360"/>
      </w:pPr>
    </w:lvl>
    <w:lvl w:ilvl="8" w:tplc="140A001B" w:tentative="1">
      <w:start w:val="1"/>
      <w:numFmt w:val="lowerRoman"/>
      <w:lvlText w:val="%9."/>
      <w:lvlJc w:val="right"/>
      <w:pPr>
        <w:ind w:left="7160" w:hanging="180"/>
      </w:pPr>
    </w:lvl>
  </w:abstractNum>
  <w:abstractNum w:abstractNumId="24" w15:restartNumberingAfterBreak="0">
    <w:nsid w:val="6611616C"/>
    <w:multiLevelType w:val="hybridMultilevel"/>
    <w:tmpl w:val="5036B2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66455F06"/>
    <w:multiLevelType w:val="hybridMultilevel"/>
    <w:tmpl w:val="7076E034"/>
    <w:lvl w:ilvl="0" w:tplc="C0B43C32">
      <w:start w:val="1"/>
      <w:numFmt w:val="upperRoman"/>
      <w:lvlText w:val="%1."/>
      <w:lvlJc w:val="left"/>
      <w:pPr>
        <w:ind w:left="720" w:hanging="360"/>
      </w:pPr>
    </w:lvl>
    <w:lvl w:ilvl="1" w:tplc="B76C30E4">
      <w:start w:val="1"/>
      <w:numFmt w:val="lowerLetter"/>
      <w:lvlText w:val="%2."/>
      <w:lvlJc w:val="left"/>
      <w:pPr>
        <w:ind w:left="1440" w:hanging="360"/>
      </w:pPr>
    </w:lvl>
    <w:lvl w:ilvl="2" w:tplc="EF843F4C">
      <w:start w:val="1"/>
      <w:numFmt w:val="lowerRoman"/>
      <w:lvlText w:val="%3."/>
      <w:lvlJc w:val="right"/>
      <w:pPr>
        <w:ind w:left="2160" w:hanging="180"/>
      </w:pPr>
    </w:lvl>
    <w:lvl w:ilvl="3" w:tplc="B53067A8">
      <w:start w:val="1"/>
      <w:numFmt w:val="decimal"/>
      <w:lvlText w:val="%4."/>
      <w:lvlJc w:val="left"/>
      <w:pPr>
        <w:ind w:left="2880" w:hanging="360"/>
      </w:pPr>
    </w:lvl>
    <w:lvl w:ilvl="4" w:tplc="F266E458">
      <w:start w:val="1"/>
      <w:numFmt w:val="lowerLetter"/>
      <w:lvlText w:val="%5."/>
      <w:lvlJc w:val="left"/>
      <w:pPr>
        <w:ind w:left="3600" w:hanging="360"/>
      </w:pPr>
    </w:lvl>
    <w:lvl w:ilvl="5" w:tplc="886C2BC8">
      <w:start w:val="1"/>
      <w:numFmt w:val="lowerRoman"/>
      <w:lvlText w:val="%6."/>
      <w:lvlJc w:val="right"/>
      <w:pPr>
        <w:ind w:left="4320" w:hanging="180"/>
      </w:pPr>
    </w:lvl>
    <w:lvl w:ilvl="6" w:tplc="F2B00458">
      <w:start w:val="1"/>
      <w:numFmt w:val="decimal"/>
      <w:lvlText w:val="%7."/>
      <w:lvlJc w:val="left"/>
      <w:pPr>
        <w:ind w:left="5040" w:hanging="360"/>
      </w:pPr>
    </w:lvl>
    <w:lvl w:ilvl="7" w:tplc="25627852">
      <w:start w:val="1"/>
      <w:numFmt w:val="lowerLetter"/>
      <w:lvlText w:val="%8."/>
      <w:lvlJc w:val="left"/>
      <w:pPr>
        <w:ind w:left="5760" w:hanging="360"/>
      </w:pPr>
    </w:lvl>
    <w:lvl w:ilvl="8" w:tplc="65807F00">
      <w:start w:val="1"/>
      <w:numFmt w:val="lowerRoman"/>
      <w:lvlText w:val="%9."/>
      <w:lvlJc w:val="right"/>
      <w:pPr>
        <w:ind w:left="6480" w:hanging="180"/>
      </w:pPr>
    </w:lvl>
  </w:abstractNum>
  <w:abstractNum w:abstractNumId="26" w15:restartNumberingAfterBreak="0">
    <w:nsid w:val="6D936170"/>
    <w:multiLevelType w:val="hybridMultilevel"/>
    <w:tmpl w:val="91CCAD0A"/>
    <w:lvl w:ilvl="0" w:tplc="FA0EAFF4">
      <w:start w:val="1"/>
      <w:numFmt w:val="bullet"/>
      <w:lvlText w:val="•"/>
      <w:lvlJc w:val="left"/>
      <w:pPr>
        <w:tabs>
          <w:tab w:val="num" w:pos="720"/>
        </w:tabs>
        <w:ind w:left="720" w:hanging="360"/>
      </w:pPr>
      <w:rPr>
        <w:rFonts w:ascii="Arial" w:hAnsi="Arial" w:hint="default"/>
      </w:rPr>
    </w:lvl>
    <w:lvl w:ilvl="1" w:tplc="B23C36CA" w:tentative="1">
      <w:start w:val="1"/>
      <w:numFmt w:val="bullet"/>
      <w:lvlText w:val="•"/>
      <w:lvlJc w:val="left"/>
      <w:pPr>
        <w:tabs>
          <w:tab w:val="num" w:pos="1440"/>
        </w:tabs>
        <w:ind w:left="1440" w:hanging="360"/>
      </w:pPr>
      <w:rPr>
        <w:rFonts w:ascii="Arial" w:hAnsi="Arial" w:hint="default"/>
      </w:rPr>
    </w:lvl>
    <w:lvl w:ilvl="2" w:tplc="541C3C62" w:tentative="1">
      <w:start w:val="1"/>
      <w:numFmt w:val="bullet"/>
      <w:lvlText w:val="•"/>
      <w:lvlJc w:val="left"/>
      <w:pPr>
        <w:tabs>
          <w:tab w:val="num" w:pos="2160"/>
        </w:tabs>
        <w:ind w:left="2160" w:hanging="360"/>
      </w:pPr>
      <w:rPr>
        <w:rFonts w:ascii="Arial" w:hAnsi="Arial" w:hint="default"/>
      </w:rPr>
    </w:lvl>
    <w:lvl w:ilvl="3" w:tplc="0D2459EE" w:tentative="1">
      <w:start w:val="1"/>
      <w:numFmt w:val="bullet"/>
      <w:lvlText w:val="•"/>
      <w:lvlJc w:val="left"/>
      <w:pPr>
        <w:tabs>
          <w:tab w:val="num" w:pos="2880"/>
        </w:tabs>
        <w:ind w:left="2880" w:hanging="360"/>
      </w:pPr>
      <w:rPr>
        <w:rFonts w:ascii="Arial" w:hAnsi="Arial" w:hint="default"/>
      </w:rPr>
    </w:lvl>
    <w:lvl w:ilvl="4" w:tplc="56E05E26" w:tentative="1">
      <w:start w:val="1"/>
      <w:numFmt w:val="bullet"/>
      <w:lvlText w:val="•"/>
      <w:lvlJc w:val="left"/>
      <w:pPr>
        <w:tabs>
          <w:tab w:val="num" w:pos="3600"/>
        </w:tabs>
        <w:ind w:left="3600" w:hanging="360"/>
      </w:pPr>
      <w:rPr>
        <w:rFonts w:ascii="Arial" w:hAnsi="Arial" w:hint="default"/>
      </w:rPr>
    </w:lvl>
    <w:lvl w:ilvl="5" w:tplc="4574DE48" w:tentative="1">
      <w:start w:val="1"/>
      <w:numFmt w:val="bullet"/>
      <w:lvlText w:val="•"/>
      <w:lvlJc w:val="left"/>
      <w:pPr>
        <w:tabs>
          <w:tab w:val="num" w:pos="4320"/>
        </w:tabs>
        <w:ind w:left="4320" w:hanging="360"/>
      </w:pPr>
      <w:rPr>
        <w:rFonts w:ascii="Arial" w:hAnsi="Arial" w:hint="default"/>
      </w:rPr>
    </w:lvl>
    <w:lvl w:ilvl="6" w:tplc="FA1A3F98" w:tentative="1">
      <w:start w:val="1"/>
      <w:numFmt w:val="bullet"/>
      <w:lvlText w:val="•"/>
      <w:lvlJc w:val="left"/>
      <w:pPr>
        <w:tabs>
          <w:tab w:val="num" w:pos="5040"/>
        </w:tabs>
        <w:ind w:left="5040" w:hanging="360"/>
      </w:pPr>
      <w:rPr>
        <w:rFonts w:ascii="Arial" w:hAnsi="Arial" w:hint="default"/>
      </w:rPr>
    </w:lvl>
    <w:lvl w:ilvl="7" w:tplc="1116F150" w:tentative="1">
      <w:start w:val="1"/>
      <w:numFmt w:val="bullet"/>
      <w:lvlText w:val="•"/>
      <w:lvlJc w:val="left"/>
      <w:pPr>
        <w:tabs>
          <w:tab w:val="num" w:pos="5760"/>
        </w:tabs>
        <w:ind w:left="5760" w:hanging="360"/>
      </w:pPr>
      <w:rPr>
        <w:rFonts w:ascii="Arial" w:hAnsi="Arial" w:hint="default"/>
      </w:rPr>
    </w:lvl>
    <w:lvl w:ilvl="8" w:tplc="43603CA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3FE16BA"/>
    <w:multiLevelType w:val="hybridMultilevel"/>
    <w:tmpl w:val="251E3130"/>
    <w:lvl w:ilvl="0" w:tplc="DBA4E4F0">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E316878"/>
    <w:multiLevelType w:val="hybridMultilevel"/>
    <w:tmpl w:val="32DC683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16cid:durableId="659962755">
    <w:abstractNumId w:val="0"/>
  </w:num>
  <w:num w:numId="2" w16cid:durableId="63576803">
    <w:abstractNumId w:val="15"/>
  </w:num>
  <w:num w:numId="3" w16cid:durableId="2101443455">
    <w:abstractNumId w:val="5"/>
  </w:num>
  <w:num w:numId="4" w16cid:durableId="429856557">
    <w:abstractNumId w:val="20"/>
  </w:num>
  <w:num w:numId="5" w16cid:durableId="1508866464">
    <w:abstractNumId w:val="26"/>
  </w:num>
  <w:num w:numId="6" w16cid:durableId="20999829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184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8525205">
    <w:abstractNumId w:val="21"/>
  </w:num>
  <w:num w:numId="9" w16cid:durableId="2045935492">
    <w:abstractNumId w:val="6"/>
  </w:num>
  <w:num w:numId="10" w16cid:durableId="135731160">
    <w:abstractNumId w:val="12"/>
  </w:num>
  <w:num w:numId="11" w16cid:durableId="566184530">
    <w:abstractNumId w:val="28"/>
  </w:num>
  <w:num w:numId="12" w16cid:durableId="2135175061">
    <w:abstractNumId w:val="11"/>
  </w:num>
  <w:num w:numId="13" w16cid:durableId="439493509">
    <w:abstractNumId w:val="6"/>
  </w:num>
  <w:num w:numId="14" w16cid:durableId="1392843932">
    <w:abstractNumId w:val="2"/>
  </w:num>
  <w:num w:numId="15" w16cid:durableId="1754400606">
    <w:abstractNumId w:val="23"/>
  </w:num>
  <w:num w:numId="16" w16cid:durableId="239022154">
    <w:abstractNumId w:val="18"/>
  </w:num>
  <w:num w:numId="17" w16cid:durableId="1118181537">
    <w:abstractNumId w:val="7"/>
  </w:num>
  <w:num w:numId="18" w16cid:durableId="132412077">
    <w:abstractNumId w:val="4"/>
  </w:num>
  <w:num w:numId="19" w16cid:durableId="826673644">
    <w:abstractNumId w:val="17"/>
  </w:num>
  <w:num w:numId="20" w16cid:durableId="1391072956">
    <w:abstractNumId w:val="16"/>
  </w:num>
  <w:num w:numId="21" w16cid:durableId="1716269137">
    <w:abstractNumId w:val="8"/>
  </w:num>
  <w:num w:numId="22" w16cid:durableId="1174300975">
    <w:abstractNumId w:val="3"/>
  </w:num>
  <w:num w:numId="23" w16cid:durableId="1628898981">
    <w:abstractNumId w:val="22"/>
  </w:num>
  <w:num w:numId="24" w16cid:durableId="1548834318">
    <w:abstractNumId w:val="10"/>
  </w:num>
  <w:num w:numId="25" w16cid:durableId="833762743">
    <w:abstractNumId w:val="27"/>
  </w:num>
  <w:num w:numId="26" w16cid:durableId="1899705265">
    <w:abstractNumId w:val="9"/>
  </w:num>
  <w:num w:numId="27" w16cid:durableId="1080254604">
    <w:abstractNumId w:val="13"/>
  </w:num>
  <w:num w:numId="28" w16cid:durableId="710955472">
    <w:abstractNumId w:val="19"/>
  </w:num>
  <w:num w:numId="29" w16cid:durableId="1647778723">
    <w:abstractNumId w:val="24"/>
  </w:num>
  <w:num w:numId="30" w16cid:durableId="1303683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5E"/>
    <w:rsid w:val="00004209"/>
    <w:rsid w:val="000061FB"/>
    <w:rsid w:val="00015CD1"/>
    <w:rsid w:val="00016D50"/>
    <w:rsid w:val="00021602"/>
    <w:rsid w:val="00024254"/>
    <w:rsid w:val="0002758F"/>
    <w:rsid w:val="00027FE4"/>
    <w:rsid w:val="00031275"/>
    <w:rsid w:val="000331B3"/>
    <w:rsid w:val="00033915"/>
    <w:rsid w:val="00033B43"/>
    <w:rsid w:val="000347F0"/>
    <w:rsid w:val="00034969"/>
    <w:rsid w:val="00046E9C"/>
    <w:rsid w:val="00051A6B"/>
    <w:rsid w:val="0005411F"/>
    <w:rsid w:val="000612E7"/>
    <w:rsid w:val="00064484"/>
    <w:rsid w:val="000655C0"/>
    <w:rsid w:val="00067082"/>
    <w:rsid w:val="000670A2"/>
    <w:rsid w:val="000760B6"/>
    <w:rsid w:val="0008137A"/>
    <w:rsid w:val="00082135"/>
    <w:rsid w:val="000828CE"/>
    <w:rsid w:val="00082F32"/>
    <w:rsid w:val="000861D5"/>
    <w:rsid w:val="00086B55"/>
    <w:rsid w:val="00091AFD"/>
    <w:rsid w:val="00093ABD"/>
    <w:rsid w:val="00094097"/>
    <w:rsid w:val="000948D8"/>
    <w:rsid w:val="0009612A"/>
    <w:rsid w:val="000A2E63"/>
    <w:rsid w:val="000A38D7"/>
    <w:rsid w:val="000A50F9"/>
    <w:rsid w:val="000B25A3"/>
    <w:rsid w:val="000B43F8"/>
    <w:rsid w:val="000B4E3C"/>
    <w:rsid w:val="000B68C1"/>
    <w:rsid w:val="000B784A"/>
    <w:rsid w:val="000C0505"/>
    <w:rsid w:val="000C36C5"/>
    <w:rsid w:val="000C693A"/>
    <w:rsid w:val="000D2770"/>
    <w:rsid w:val="000D4EEB"/>
    <w:rsid w:val="000D5A37"/>
    <w:rsid w:val="000E158D"/>
    <w:rsid w:val="000E1818"/>
    <w:rsid w:val="000E1A83"/>
    <w:rsid w:val="000E4F0A"/>
    <w:rsid w:val="000E5436"/>
    <w:rsid w:val="000E6CD4"/>
    <w:rsid w:val="000F12AB"/>
    <w:rsid w:val="000F17FD"/>
    <w:rsid w:val="000F3979"/>
    <w:rsid w:val="0010109A"/>
    <w:rsid w:val="0010265C"/>
    <w:rsid w:val="00103A1E"/>
    <w:rsid w:val="00106388"/>
    <w:rsid w:val="00115A9B"/>
    <w:rsid w:val="0011705D"/>
    <w:rsid w:val="00120BAF"/>
    <w:rsid w:val="0012335F"/>
    <w:rsid w:val="00123569"/>
    <w:rsid w:val="00123DD6"/>
    <w:rsid w:val="00123E7A"/>
    <w:rsid w:val="001309A4"/>
    <w:rsid w:val="00131B45"/>
    <w:rsid w:val="00133FB5"/>
    <w:rsid w:val="00141B44"/>
    <w:rsid w:val="00147EB9"/>
    <w:rsid w:val="00151F6B"/>
    <w:rsid w:val="00152240"/>
    <w:rsid w:val="0016019A"/>
    <w:rsid w:val="0016338E"/>
    <w:rsid w:val="0016765C"/>
    <w:rsid w:val="00170D56"/>
    <w:rsid w:val="00175D7B"/>
    <w:rsid w:val="00192D49"/>
    <w:rsid w:val="001940EB"/>
    <w:rsid w:val="001A29FE"/>
    <w:rsid w:val="001A34E1"/>
    <w:rsid w:val="001A3899"/>
    <w:rsid w:val="001A5586"/>
    <w:rsid w:val="001A6F21"/>
    <w:rsid w:val="001B0E11"/>
    <w:rsid w:val="001B4712"/>
    <w:rsid w:val="001B4E9B"/>
    <w:rsid w:val="001B7815"/>
    <w:rsid w:val="001C1770"/>
    <w:rsid w:val="001C5531"/>
    <w:rsid w:val="001C5FDB"/>
    <w:rsid w:val="001C688B"/>
    <w:rsid w:val="001C7628"/>
    <w:rsid w:val="001D3E59"/>
    <w:rsid w:val="001D6E74"/>
    <w:rsid w:val="001D7DDA"/>
    <w:rsid w:val="001E0EDB"/>
    <w:rsid w:val="001E1CF6"/>
    <w:rsid w:val="001E5C4E"/>
    <w:rsid w:val="001E6A27"/>
    <w:rsid w:val="001E74BB"/>
    <w:rsid w:val="001F03B5"/>
    <w:rsid w:val="001F252F"/>
    <w:rsid w:val="001F2D50"/>
    <w:rsid w:val="001F2EF1"/>
    <w:rsid w:val="001F7CE8"/>
    <w:rsid w:val="002017E0"/>
    <w:rsid w:val="00202C8B"/>
    <w:rsid w:val="00203D94"/>
    <w:rsid w:val="002046D3"/>
    <w:rsid w:val="00205674"/>
    <w:rsid w:val="00206526"/>
    <w:rsid w:val="0020707F"/>
    <w:rsid w:val="002070FF"/>
    <w:rsid w:val="0021203E"/>
    <w:rsid w:val="00214613"/>
    <w:rsid w:val="0021480C"/>
    <w:rsid w:val="00214CFB"/>
    <w:rsid w:val="00216991"/>
    <w:rsid w:val="002234B5"/>
    <w:rsid w:val="002244EF"/>
    <w:rsid w:val="002248E5"/>
    <w:rsid w:val="00225231"/>
    <w:rsid w:val="00225664"/>
    <w:rsid w:val="00225F6B"/>
    <w:rsid w:val="00230128"/>
    <w:rsid w:val="00231080"/>
    <w:rsid w:val="002316E6"/>
    <w:rsid w:val="00231D7A"/>
    <w:rsid w:val="00232F42"/>
    <w:rsid w:val="00234BD8"/>
    <w:rsid w:val="00237297"/>
    <w:rsid w:val="00240083"/>
    <w:rsid w:val="002428BC"/>
    <w:rsid w:val="00250065"/>
    <w:rsid w:val="002502C3"/>
    <w:rsid w:val="00250C3B"/>
    <w:rsid w:val="00250D20"/>
    <w:rsid w:val="00251002"/>
    <w:rsid w:val="00255618"/>
    <w:rsid w:val="0025657A"/>
    <w:rsid w:val="002575A9"/>
    <w:rsid w:val="00260BA3"/>
    <w:rsid w:val="00263A7F"/>
    <w:rsid w:val="00265BAC"/>
    <w:rsid w:val="00267E0D"/>
    <w:rsid w:val="002711AA"/>
    <w:rsid w:val="00271401"/>
    <w:rsid w:val="002735EB"/>
    <w:rsid w:val="002761A0"/>
    <w:rsid w:val="0027674D"/>
    <w:rsid w:val="00276BB8"/>
    <w:rsid w:val="00281C6B"/>
    <w:rsid w:val="00281C94"/>
    <w:rsid w:val="00283A13"/>
    <w:rsid w:val="00286961"/>
    <w:rsid w:val="00291B11"/>
    <w:rsid w:val="00294FCE"/>
    <w:rsid w:val="00297D20"/>
    <w:rsid w:val="00297F49"/>
    <w:rsid w:val="002A0D14"/>
    <w:rsid w:val="002A1C97"/>
    <w:rsid w:val="002A1CD5"/>
    <w:rsid w:val="002A5C85"/>
    <w:rsid w:val="002A5FEB"/>
    <w:rsid w:val="002A70D9"/>
    <w:rsid w:val="002A7367"/>
    <w:rsid w:val="002B0B7D"/>
    <w:rsid w:val="002B0D3F"/>
    <w:rsid w:val="002B2E31"/>
    <w:rsid w:val="002B5968"/>
    <w:rsid w:val="002B5CA1"/>
    <w:rsid w:val="002B78C3"/>
    <w:rsid w:val="002B7AA4"/>
    <w:rsid w:val="002C2D17"/>
    <w:rsid w:val="002D0D86"/>
    <w:rsid w:val="002D13A4"/>
    <w:rsid w:val="002D14EF"/>
    <w:rsid w:val="002D569D"/>
    <w:rsid w:val="002D6861"/>
    <w:rsid w:val="002D69CC"/>
    <w:rsid w:val="002D785E"/>
    <w:rsid w:val="002E27EA"/>
    <w:rsid w:val="002E3CEE"/>
    <w:rsid w:val="002F0B1E"/>
    <w:rsid w:val="002F1BFA"/>
    <w:rsid w:val="002F3DC4"/>
    <w:rsid w:val="002F6717"/>
    <w:rsid w:val="002F6AAA"/>
    <w:rsid w:val="00305001"/>
    <w:rsid w:val="0030659C"/>
    <w:rsid w:val="00307988"/>
    <w:rsid w:val="00310216"/>
    <w:rsid w:val="00310C29"/>
    <w:rsid w:val="003140CB"/>
    <w:rsid w:val="00315288"/>
    <w:rsid w:val="00316749"/>
    <w:rsid w:val="00317C42"/>
    <w:rsid w:val="00323988"/>
    <w:rsid w:val="00323991"/>
    <w:rsid w:val="0032542B"/>
    <w:rsid w:val="003257E3"/>
    <w:rsid w:val="00330184"/>
    <w:rsid w:val="00333477"/>
    <w:rsid w:val="003344EF"/>
    <w:rsid w:val="003354A8"/>
    <w:rsid w:val="0034095B"/>
    <w:rsid w:val="00343417"/>
    <w:rsid w:val="00353077"/>
    <w:rsid w:val="00354142"/>
    <w:rsid w:val="00356B1E"/>
    <w:rsid w:val="00360078"/>
    <w:rsid w:val="003614B2"/>
    <w:rsid w:val="00361FFA"/>
    <w:rsid w:val="003637EE"/>
    <w:rsid w:val="003677A4"/>
    <w:rsid w:val="00367CA0"/>
    <w:rsid w:val="003726ED"/>
    <w:rsid w:val="00381599"/>
    <w:rsid w:val="00381AAD"/>
    <w:rsid w:val="00384B91"/>
    <w:rsid w:val="00387A3F"/>
    <w:rsid w:val="00390965"/>
    <w:rsid w:val="00391068"/>
    <w:rsid w:val="00391D53"/>
    <w:rsid w:val="0039251D"/>
    <w:rsid w:val="00392A56"/>
    <w:rsid w:val="00395272"/>
    <w:rsid w:val="003952FB"/>
    <w:rsid w:val="00396AD1"/>
    <w:rsid w:val="0039731D"/>
    <w:rsid w:val="003A1459"/>
    <w:rsid w:val="003A2CF9"/>
    <w:rsid w:val="003A65AE"/>
    <w:rsid w:val="003A70F7"/>
    <w:rsid w:val="003B2FE7"/>
    <w:rsid w:val="003B4058"/>
    <w:rsid w:val="003B4655"/>
    <w:rsid w:val="003B5F5E"/>
    <w:rsid w:val="003C190D"/>
    <w:rsid w:val="003C1FB3"/>
    <w:rsid w:val="003C25B7"/>
    <w:rsid w:val="003C3292"/>
    <w:rsid w:val="003C5A82"/>
    <w:rsid w:val="003C683E"/>
    <w:rsid w:val="003C79B5"/>
    <w:rsid w:val="003E5216"/>
    <w:rsid w:val="003F6325"/>
    <w:rsid w:val="003F6A17"/>
    <w:rsid w:val="00400D8A"/>
    <w:rsid w:val="00401125"/>
    <w:rsid w:val="00404BA3"/>
    <w:rsid w:val="00410A9B"/>
    <w:rsid w:val="0041385B"/>
    <w:rsid w:val="00413BB4"/>
    <w:rsid w:val="004141D1"/>
    <w:rsid w:val="00414CD4"/>
    <w:rsid w:val="00414D84"/>
    <w:rsid w:val="00417163"/>
    <w:rsid w:val="00417F9A"/>
    <w:rsid w:val="0042139A"/>
    <w:rsid w:val="004213A8"/>
    <w:rsid w:val="0042153F"/>
    <w:rsid w:val="00421C6D"/>
    <w:rsid w:val="0042529A"/>
    <w:rsid w:val="00431622"/>
    <w:rsid w:val="00435655"/>
    <w:rsid w:val="00436DBB"/>
    <w:rsid w:val="00437054"/>
    <w:rsid w:val="0043729E"/>
    <w:rsid w:val="00441DF0"/>
    <w:rsid w:val="004429BB"/>
    <w:rsid w:val="00442EA7"/>
    <w:rsid w:val="00443431"/>
    <w:rsid w:val="0044463F"/>
    <w:rsid w:val="0045022C"/>
    <w:rsid w:val="004514FE"/>
    <w:rsid w:val="00454BA3"/>
    <w:rsid w:val="00455B0C"/>
    <w:rsid w:val="004563A1"/>
    <w:rsid w:val="004579A0"/>
    <w:rsid w:val="00460347"/>
    <w:rsid w:val="0046628E"/>
    <w:rsid w:val="0046734D"/>
    <w:rsid w:val="00470618"/>
    <w:rsid w:val="00472047"/>
    <w:rsid w:val="0047336E"/>
    <w:rsid w:val="00474C79"/>
    <w:rsid w:val="00475261"/>
    <w:rsid w:val="00475267"/>
    <w:rsid w:val="00476861"/>
    <w:rsid w:val="00477CC0"/>
    <w:rsid w:val="004815D3"/>
    <w:rsid w:val="00482FAF"/>
    <w:rsid w:val="00484018"/>
    <w:rsid w:val="0048437A"/>
    <w:rsid w:val="00492504"/>
    <w:rsid w:val="004A202A"/>
    <w:rsid w:val="004A45DA"/>
    <w:rsid w:val="004B016F"/>
    <w:rsid w:val="004B1AA2"/>
    <w:rsid w:val="004B2859"/>
    <w:rsid w:val="004B4F39"/>
    <w:rsid w:val="004B54E9"/>
    <w:rsid w:val="004B636B"/>
    <w:rsid w:val="004B6B40"/>
    <w:rsid w:val="004C429C"/>
    <w:rsid w:val="004D091F"/>
    <w:rsid w:val="004D1A3A"/>
    <w:rsid w:val="004D2C35"/>
    <w:rsid w:val="004D39D5"/>
    <w:rsid w:val="004E5E48"/>
    <w:rsid w:val="004E6351"/>
    <w:rsid w:val="004E7B27"/>
    <w:rsid w:val="004F011F"/>
    <w:rsid w:val="004F109E"/>
    <w:rsid w:val="004F3FB5"/>
    <w:rsid w:val="004F4B08"/>
    <w:rsid w:val="004F56C8"/>
    <w:rsid w:val="004F6872"/>
    <w:rsid w:val="004F7DA3"/>
    <w:rsid w:val="00503402"/>
    <w:rsid w:val="00507C98"/>
    <w:rsid w:val="00510E8C"/>
    <w:rsid w:val="00511BC1"/>
    <w:rsid w:val="00516133"/>
    <w:rsid w:val="00516472"/>
    <w:rsid w:val="00517456"/>
    <w:rsid w:val="00520139"/>
    <w:rsid w:val="00520E6E"/>
    <w:rsid w:val="0052265E"/>
    <w:rsid w:val="00523CF5"/>
    <w:rsid w:val="00525BD0"/>
    <w:rsid w:val="00525F08"/>
    <w:rsid w:val="005316D2"/>
    <w:rsid w:val="00531BD7"/>
    <w:rsid w:val="0053340A"/>
    <w:rsid w:val="00533F97"/>
    <w:rsid w:val="00536B7B"/>
    <w:rsid w:val="00540E0A"/>
    <w:rsid w:val="00545AA2"/>
    <w:rsid w:val="00551F71"/>
    <w:rsid w:val="00553C98"/>
    <w:rsid w:val="00555846"/>
    <w:rsid w:val="005565B7"/>
    <w:rsid w:val="00556727"/>
    <w:rsid w:val="00565FCC"/>
    <w:rsid w:val="00567E17"/>
    <w:rsid w:val="00571F0F"/>
    <w:rsid w:val="00573EF6"/>
    <w:rsid w:val="0057450A"/>
    <w:rsid w:val="00575D93"/>
    <w:rsid w:val="005776E8"/>
    <w:rsid w:val="00581A95"/>
    <w:rsid w:val="00582881"/>
    <w:rsid w:val="00582FA4"/>
    <w:rsid w:val="00584012"/>
    <w:rsid w:val="0059173F"/>
    <w:rsid w:val="00591FF9"/>
    <w:rsid w:val="00594C76"/>
    <w:rsid w:val="00595329"/>
    <w:rsid w:val="00597682"/>
    <w:rsid w:val="005A07B6"/>
    <w:rsid w:val="005A311A"/>
    <w:rsid w:val="005A3F39"/>
    <w:rsid w:val="005B3F67"/>
    <w:rsid w:val="005B5B3E"/>
    <w:rsid w:val="005B5F8D"/>
    <w:rsid w:val="005B79CB"/>
    <w:rsid w:val="005B7E20"/>
    <w:rsid w:val="005C110B"/>
    <w:rsid w:val="005C25BF"/>
    <w:rsid w:val="005D031E"/>
    <w:rsid w:val="005D335C"/>
    <w:rsid w:val="005D68C2"/>
    <w:rsid w:val="005E1EF4"/>
    <w:rsid w:val="005E2E8E"/>
    <w:rsid w:val="005E3029"/>
    <w:rsid w:val="005E3581"/>
    <w:rsid w:val="005E5EB5"/>
    <w:rsid w:val="005E6C07"/>
    <w:rsid w:val="005F36B1"/>
    <w:rsid w:val="005F3ED5"/>
    <w:rsid w:val="005F736B"/>
    <w:rsid w:val="005F7837"/>
    <w:rsid w:val="005F7C74"/>
    <w:rsid w:val="00602784"/>
    <w:rsid w:val="00605073"/>
    <w:rsid w:val="006064DE"/>
    <w:rsid w:val="006070FF"/>
    <w:rsid w:val="006130FB"/>
    <w:rsid w:val="00613E95"/>
    <w:rsid w:val="00614491"/>
    <w:rsid w:val="00615F6C"/>
    <w:rsid w:val="006168FD"/>
    <w:rsid w:val="0062397B"/>
    <w:rsid w:val="0062461E"/>
    <w:rsid w:val="00624883"/>
    <w:rsid w:val="006370AA"/>
    <w:rsid w:val="00637E68"/>
    <w:rsid w:val="006405B4"/>
    <w:rsid w:val="006425DC"/>
    <w:rsid w:val="00642C81"/>
    <w:rsid w:val="006437AB"/>
    <w:rsid w:val="00644822"/>
    <w:rsid w:val="00645BDA"/>
    <w:rsid w:val="00650770"/>
    <w:rsid w:val="00651AC8"/>
    <w:rsid w:val="00652FE5"/>
    <w:rsid w:val="00653166"/>
    <w:rsid w:val="00654FA5"/>
    <w:rsid w:val="0065630C"/>
    <w:rsid w:val="00656F11"/>
    <w:rsid w:val="006607FB"/>
    <w:rsid w:val="00664991"/>
    <w:rsid w:val="00664BC5"/>
    <w:rsid w:val="00666C4D"/>
    <w:rsid w:val="00667E87"/>
    <w:rsid w:val="00674E96"/>
    <w:rsid w:val="0067685D"/>
    <w:rsid w:val="0068037F"/>
    <w:rsid w:val="006831E1"/>
    <w:rsid w:val="00683B0C"/>
    <w:rsid w:val="006849F0"/>
    <w:rsid w:val="00694E9A"/>
    <w:rsid w:val="006958DD"/>
    <w:rsid w:val="0069685B"/>
    <w:rsid w:val="0069776A"/>
    <w:rsid w:val="006A1EAC"/>
    <w:rsid w:val="006A3600"/>
    <w:rsid w:val="006A3C00"/>
    <w:rsid w:val="006A56B8"/>
    <w:rsid w:val="006B0A06"/>
    <w:rsid w:val="006B5FCB"/>
    <w:rsid w:val="006C04AC"/>
    <w:rsid w:val="006C1155"/>
    <w:rsid w:val="006C44AB"/>
    <w:rsid w:val="006D2955"/>
    <w:rsid w:val="006D3401"/>
    <w:rsid w:val="006D49BC"/>
    <w:rsid w:val="006D4A56"/>
    <w:rsid w:val="006D4D56"/>
    <w:rsid w:val="006D670E"/>
    <w:rsid w:val="006D7456"/>
    <w:rsid w:val="006E2856"/>
    <w:rsid w:val="006E4714"/>
    <w:rsid w:val="006E6CA2"/>
    <w:rsid w:val="006F0232"/>
    <w:rsid w:val="006F0333"/>
    <w:rsid w:val="006F0A5B"/>
    <w:rsid w:val="006F290A"/>
    <w:rsid w:val="006F5DD2"/>
    <w:rsid w:val="007036C9"/>
    <w:rsid w:val="00704103"/>
    <w:rsid w:val="00704309"/>
    <w:rsid w:val="007053DA"/>
    <w:rsid w:val="00706004"/>
    <w:rsid w:val="00706493"/>
    <w:rsid w:val="00711B38"/>
    <w:rsid w:val="00720329"/>
    <w:rsid w:val="007205B0"/>
    <w:rsid w:val="00720D0A"/>
    <w:rsid w:val="007213F6"/>
    <w:rsid w:val="00721EAD"/>
    <w:rsid w:val="00723FD3"/>
    <w:rsid w:val="00727716"/>
    <w:rsid w:val="0073193C"/>
    <w:rsid w:val="007337A6"/>
    <w:rsid w:val="00734D1B"/>
    <w:rsid w:val="00734D22"/>
    <w:rsid w:val="00734FFE"/>
    <w:rsid w:val="00735186"/>
    <w:rsid w:val="00736C27"/>
    <w:rsid w:val="00741B09"/>
    <w:rsid w:val="007438BD"/>
    <w:rsid w:val="0074793A"/>
    <w:rsid w:val="007511BD"/>
    <w:rsid w:val="007527E0"/>
    <w:rsid w:val="0075609B"/>
    <w:rsid w:val="00763B77"/>
    <w:rsid w:val="00764EDF"/>
    <w:rsid w:val="00766920"/>
    <w:rsid w:val="0077171C"/>
    <w:rsid w:val="00771951"/>
    <w:rsid w:val="00777110"/>
    <w:rsid w:val="00777394"/>
    <w:rsid w:val="007870A9"/>
    <w:rsid w:val="00787FAC"/>
    <w:rsid w:val="0079061A"/>
    <w:rsid w:val="00793C68"/>
    <w:rsid w:val="00794341"/>
    <w:rsid w:val="00794820"/>
    <w:rsid w:val="007948EB"/>
    <w:rsid w:val="0079676E"/>
    <w:rsid w:val="0079772F"/>
    <w:rsid w:val="007A08B3"/>
    <w:rsid w:val="007A164C"/>
    <w:rsid w:val="007A6867"/>
    <w:rsid w:val="007B1392"/>
    <w:rsid w:val="007B143C"/>
    <w:rsid w:val="007B42A3"/>
    <w:rsid w:val="007B6E07"/>
    <w:rsid w:val="007C122E"/>
    <w:rsid w:val="007C1532"/>
    <w:rsid w:val="007C1969"/>
    <w:rsid w:val="007C26B7"/>
    <w:rsid w:val="007C4DE1"/>
    <w:rsid w:val="007C6F1C"/>
    <w:rsid w:val="007C70E4"/>
    <w:rsid w:val="007D012C"/>
    <w:rsid w:val="007D63E6"/>
    <w:rsid w:val="007D650F"/>
    <w:rsid w:val="007E1B10"/>
    <w:rsid w:val="007E2F6B"/>
    <w:rsid w:val="007E4C93"/>
    <w:rsid w:val="007E6D20"/>
    <w:rsid w:val="007F5E54"/>
    <w:rsid w:val="007F626B"/>
    <w:rsid w:val="007F6EEE"/>
    <w:rsid w:val="007F7D33"/>
    <w:rsid w:val="00803906"/>
    <w:rsid w:val="00803D49"/>
    <w:rsid w:val="00804214"/>
    <w:rsid w:val="00806302"/>
    <w:rsid w:val="00806854"/>
    <w:rsid w:val="0080698F"/>
    <w:rsid w:val="00810E52"/>
    <w:rsid w:val="008134BE"/>
    <w:rsid w:val="00813B82"/>
    <w:rsid w:val="00816DA2"/>
    <w:rsid w:val="0081767F"/>
    <w:rsid w:val="00820970"/>
    <w:rsid w:val="00820D32"/>
    <w:rsid w:val="00823260"/>
    <w:rsid w:val="00824F02"/>
    <w:rsid w:val="00826169"/>
    <w:rsid w:val="00830110"/>
    <w:rsid w:val="008301CD"/>
    <w:rsid w:val="00834886"/>
    <w:rsid w:val="00834C8F"/>
    <w:rsid w:val="0083526C"/>
    <w:rsid w:val="008373FD"/>
    <w:rsid w:val="00837658"/>
    <w:rsid w:val="008460F7"/>
    <w:rsid w:val="00850573"/>
    <w:rsid w:val="00850D13"/>
    <w:rsid w:val="00851133"/>
    <w:rsid w:val="00853A39"/>
    <w:rsid w:val="008562D1"/>
    <w:rsid w:val="00863BB0"/>
    <w:rsid w:val="008671FA"/>
    <w:rsid w:val="0087265A"/>
    <w:rsid w:val="008726A8"/>
    <w:rsid w:val="008739D5"/>
    <w:rsid w:val="00877115"/>
    <w:rsid w:val="00883B8C"/>
    <w:rsid w:val="008842AF"/>
    <w:rsid w:val="008845FF"/>
    <w:rsid w:val="008862AA"/>
    <w:rsid w:val="00887A4A"/>
    <w:rsid w:val="0089029A"/>
    <w:rsid w:val="00897944"/>
    <w:rsid w:val="008A02B2"/>
    <w:rsid w:val="008A584A"/>
    <w:rsid w:val="008C1693"/>
    <w:rsid w:val="008C3494"/>
    <w:rsid w:val="008C6C19"/>
    <w:rsid w:val="008D12FE"/>
    <w:rsid w:val="008D315C"/>
    <w:rsid w:val="008D429F"/>
    <w:rsid w:val="008E3E1D"/>
    <w:rsid w:val="008E4FAE"/>
    <w:rsid w:val="008E6CEA"/>
    <w:rsid w:val="008E7AC6"/>
    <w:rsid w:val="008E7C29"/>
    <w:rsid w:val="008E7C9C"/>
    <w:rsid w:val="008F1C15"/>
    <w:rsid w:val="008F3B04"/>
    <w:rsid w:val="008F6140"/>
    <w:rsid w:val="008F77DA"/>
    <w:rsid w:val="008F7A29"/>
    <w:rsid w:val="0090684F"/>
    <w:rsid w:val="00910142"/>
    <w:rsid w:val="00911311"/>
    <w:rsid w:val="009125BD"/>
    <w:rsid w:val="009178AD"/>
    <w:rsid w:val="009205D7"/>
    <w:rsid w:val="009209E3"/>
    <w:rsid w:val="00920B3E"/>
    <w:rsid w:val="00920F75"/>
    <w:rsid w:val="009236FE"/>
    <w:rsid w:val="00925F87"/>
    <w:rsid w:val="00926E05"/>
    <w:rsid w:val="00932001"/>
    <w:rsid w:val="00932673"/>
    <w:rsid w:val="009336EA"/>
    <w:rsid w:val="009338D4"/>
    <w:rsid w:val="00933FC4"/>
    <w:rsid w:val="009349EE"/>
    <w:rsid w:val="0093508F"/>
    <w:rsid w:val="00935C73"/>
    <w:rsid w:val="0093728A"/>
    <w:rsid w:val="0094186F"/>
    <w:rsid w:val="00942FEC"/>
    <w:rsid w:val="009527D7"/>
    <w:rsid w:val="009568D5"/>
    <w:rsid w:val="00957092"/>
    <w:rsid w:val="00966DB3"/>
    <w:rsid w:val="00972A98"/>
    <w:rsid w:val="00975069"/>
    <w:rsid w:val="00976C38"/>
    <w:rsid w:val="00977412"/>
    <w:rsid w:val="009822B5"/>
    <w:rsid w:val="00986825"/>
    <w:rsid w:val="00995831"/>
    <w:rsid w:val="009A3A1D"/>
    <w:rsid w:val="009A45DF"/>
    <w:rsid w:val="009A4B61"/>
    <w:rsid w:val="009A7058"/>
    <w:rsid w:val="009B1FAF"/>
    <w:rsid w:val="009C1169"/>
    <w:rsid w:val="009C4F3F"/>
    <w:rsid w:val="009C50DB"/>
    <w:rsid w:val="009C6DD1"/>
    <w:rsid w:val="009D03A6"/>
    <w:rsid w:val="009D061F"/>
    <w:rsid w:val="009D0C50"/>
    <w:rsid w:val="009D1B86"/>
    <w:rsid w:val="009D2FAF"/>
    <w:rsid w:val="009D3977"/>
    <w:rsid w:val="009D458B"/>
    <w:rsid w:val="009D4FFB"/>
    <w:rsid w:val="009E7348"/>
    <w:rsid w:val="009F2E50"/>
    <w:rsid w:val="009F5484"/>
    <w:rsid w:val="00A001B8"/>
    <w:rsid w:val="00A0050A"/>
    <w:rsid w:val="00A00C92"/>
    <w:rsid w:val="00A03D88"/>
    <w:rsid w:val="00A076A7"/>
    <w:rsid w:val="00A10B39"/>
    <w:rsid w:val="00A111A4"/>
    <w:rsid w:val="00A11AD1"/>
    <w:rsid w:val="00A124E7"/>
    <w:rsid w:val="00A12535"/>
    <w:rsid w:val="00A14557"/>
    <w:rsid w:val="00A20A8F"/>
    <w:rsid w:val="00A21EC3"/>
    <w:rsid w:val="00A23439"/>
    <w:rsid w:val="00A23EFA"/>
    <w:rsid w:val="00A25ECE"/>
    <w:rsid w:val="00A26013"/>
    <w:rsid w:val="00A26307"/>
    <w:rsid w:val="00A26A41"/>
    <w:rsid w:val="00A320D9"/>
    <w:rsid w:val="00A35121"/>
    <w:rsid w:val="00A36187"/>
    <w:rsid w:val="00A40734"/>
    <w:rsid w:val="00A42621"/>
    <w:rsid w:val="00A430F8"/>
    <w:rsid w:val="00A43404"/>
    <w:rsid w:val="00A43D90"/>
    <w:rsid w:val="00A4530B"/>
    <w:rsid w:val="00A46223"/>
    <w:rsid w:val="00A5165F"/>
    <w:rsid w:val="00A521E2"/>
    <w:rsid w:val="00A564A0"/>
    <w:rsid w:val="00A56C6A"/>
    <w:rsid w:val="00A60A01"/>
    <w:rsid w:val="00A62919"/>
    <w:rsid w:val="00A63555"/>
    <w:rsid w:val="00A6448B"/>
    <w:rsid w:val="00A6572E"/>
    <w:rsid w:val="00A720BC"/>
    <w:rsid w:val="00A7484F"/>
    <w:rsid w:val="00A77D02"/>
    <w:rsid w:val="00A816EE"/>
    <w:rsid w:val="00A91227"/>
    <w:rsid w:val="00A92AA4"/>
    <w:rsid w:val="00A951C0"/>
    <w:rsid w:val="00A96B16"/>
    <w:rsid w:val="00A96E9E"/>
    <w:rsid w:val="00A97365"/>
    <w:rsid w:val="00A9749E"/>
    <w:rsid w:val="00AA235F"/>
    <w:rsid w:val="00AA3113"/>
    <w:rsid w:val="00AA487D"/>
    <w:rsid w:val="00AA5902"/>
    <w:rsid w:val="00AA61E6"/>
    <w:rsid w:val="00AB019A"/>
    <w:rsid w:val="00AB2347"/>
    <w:rsid w:val="00AB2B1A"/>
    <w:rsid w:val="00AB2DA2"/>
    <w:rsid w:val="00AB2EED"/>
    <w:rsid w:val="00AB3069"/>
    <w:rsid w:val="00AB49B1"/>
    <w:rsid w:val="00AC2A1D"/>
    <w:rsid w:val="00AC35AF"/>
    <w:rsid w:val="00AC4120"/>
    <w:rsid w:val="00AC4816"/>
    <w:rsid w:val="00AC651E"/>
    <w:rsid w:val="00AC6BBB"/>
    <w:rsid w:val="00AD0EAE"/>
    <w:rsid w:val="00AD1428"/>
    <w:rsid w:val="00AD18B9"/>
    <w:rsid w:val="00AD347E"/>
    <w:rsid w:val="00AD49E0"/>
    <w:rsid w:val="00AD6B58"/>
    <w:rsid w:val="00AE0FA4"/>
    <w:rsid w:val="00AE3744"/>
    <w:rsid w:val="00AE4383"/>
    <w:rsid w:val="00AE46B1"/>
    <w:rsid w:val="00AE56A8"/>
    <w:rsid w:val="00AE7C42"/>
    <w:rsid w:val="00AF1BF1"/>
    <w:rsid w:val="00AF2806"/>
    <w:rsid w:val="00AF73EC"/>
    <w:rsid w:val="00B010E6"/>
    <w:rsid w:val="00B05735"/>
    <w:rsid w:val="00B07D02"/>
    <w:rsid w:val="00B12D5C"/>
    <w:rsid w:val="00B151E5"/>
    <w:rsid w:val="00B154A3"/>
    <w:rsid w:val="00B16DC3"/>
    <w:rsid w:val="00B21F93"/>
    <w:rsid w:val="00B33E8F"/>
    <w:rsid w:val="00B33E9A"/>
    <w:rsid w:val="00B42F67"/>
    <w:rsid w:val="00B468F0"/>
    <w:rsid w:val="00B51452"/>
    <w:rsid w:val="00B5256B"/>
    <w:rsid w:val="00B52DAF"/>
    <w:rsid w:val="00B5580A"/>
    <w:rsid w:val="00B55BA3"/>
    <w:rsid w:val="00B5616C"/>
    <w:rsid w:val="00B63145"/>
    <w:rsid w:val="00B6374A"/>
    <w:rsid w:val="00B65DC6"/>
    <w:rsid w:val="00B66001"/>
    <w:rsid w:val="00B705FC"/>
    <w:rsid w:val="00B710A5"/>
    <w:rsid w:val="00B77765"/>
    <w:rsid w:val="00B81F7F"/>
    <w:rsid w:val="00B82604"/>
    <w:rsid w:val="00B82A8E"/>
    <w:rsid w:val="00B863DD"/>
    <w:rsid w:val="00B87CBE"/>
    <w:rsid w:val="00B91070"/>
    <w:rsid w:val="00B93162"/>
    <w:rsid w:val="00B94D32"/>
    <w:rsid w:val="00B96188"/>
    <w:rsid w:val="00B97EE3"/>
    <w:rsid w:val="00BA2652"/>
    <w:rsid w:val="00BA76A9"/>
    <w:rsid w:val="00BB0356"/>
    <w:rsid w:val="00BB1E41"/>
    <w:rsid w:val="00BB5784"/>
    <w:rsid w:val="00BB7E8C"/>
    <w:rsid w:val="00BC0820"/>
    <w:rsid w:val="00BC382C"/>
    <w:rsid w:val="00BC4288"/>
    <w:rsid w:val="00BC4BE4"/>
    <w:rsid w:val="00BD09D9"/>
    <w:rsid w:val="00BD3526"/>
    <w:rsid w:val="00BE0C95"/>
    <w:rsid w:val="00BE2826"/>
    <w:rsid w:val="00BE3220"/>
    <w:rsid w:val="00BF0589"/>
    <w:rsid w:val="00BF17A7"/>
    <w:rsid w:val="00BF2076"/>
    <w:rsid w:val="00BF207A"/>
    <w:rsid w:val="00BF24C2"/>
    <w:rsid w:val="00BF4D64"/>
    <w:rsid w:val="00C10978"/>
    <w:rsid w:val="00C125A6"/>
    <w:rsid w:val="00C134EE"/>
    <w:rsid w:val="00C14012"/>
    <w:rsid w:val="00C1505E"/>
    <w:rsid w:val="00C15722"/>
    <w:rsid w:val="00C159BD"/>
    <w:rsid w:val="00C16268"/>
    <w:rsid w:val="00C167B6"/>
    <w:rsid w:val="00C171DA"/>
    <w:rsid w:val="00C21369"/>
    <w:rsid w:val="00C23337"/>
    <w:rsid w:val="00C242BD"/>
    <w:rsid w:val="00C24465"/>
    <w:rsid w:val="00C26317"/>
    <w:rsid w:val="00C26701"/>
    <w:rsid w:val="00C277F9"/>
    <w:rsid w:val="00C3100F"/>
    <w:rsid w:val="00C33959"/>
    <w:rsid w:val="00C340CA"/>
    <w:rsid w:val="00C34C04"/>
    <w:rsid w:val="00C3603E"/>
    <w:rsid w:val="00C36F40"/>
    <w:rsid w:val="00C37EF8"/>
    <w:rsid w:val="00C4065C"/>
    <w:rsid w:val="00C41583"/>
    <w:rsid w:val="00C434CF"/>
    <w:rsid w:val="00C438CA"/>
    <w:rsid w:val="00C45628"/>
    <w:rsid w:val="00C47014"/>
    <w:rsid w:val="00C477CA"/>
    <w:rsid w:val="00C47BC4"/>
    <w:rsid w:val="00C47FE5"/>
    <w:rsid w:val="00C5362E"/>
    <w:rsid w:val="00C552C9"/>
    <w:rsid w:val="00C61A26"/>
    <w:rsid w:val="00C6219A"/>
    <w:rsid w:val="00C64E91"/>
    <w:rsid w:val="00C72B38"/>
    <w:rsid w:val="00C72E0C"/>
    <w:rsid w:val="00C74136"/>
    <w:rsid w:val="00C767B1"/>
    <w:rsid w:val="00C77653"/>
    <w:rsid w:val="00C801D9"/>
    <w:rsid w:val="00C828C3"/>
    <w:rsid w:val="00C86B33"/>
    <w:rsid w:val="00C86E34"/>
    <w:rsid w:val="00C90A85"/>
    <w:rsid w:val="00C92784"/>
    <w:rsid w:val="00C93055"/>
    <w:rsid w:val="00C93DBA"/>
    <w:rsid w:val="00C93FB8"/>
    <w:rsid w:val="00C969E2"/>
    <w:rsid w:val="00C976B4"/>
    <w:rsid w:val="00CA54C7"/>
    <w:rsid w:val="00CA5B2C"/>
    <w:rsid w:val="00CB1C8C"/>
    <w:rsid w:val="00CB30A1"/>
    <w:rsid w:val="00CB3F10"/>
    <w:rsid w:val="00CB562C"/>
    <w:rsid w:val="00CC0957"/>
    <w:rsid w:val="00CC168B"/>
    <w:rsid w:val="00CC3920"/>
    <w:rsid w:val="00CC4C6E"/>
    <w:rsid w:val="00CC715A"/>
    <w:rsid w:val="00CD0B2F"/>
    <w:rsid w:val="00CD2217"/>
    <w:rsid w:val="00CD39D7"/>
    <w:rsid w:val="00CD6BDA"/>
    <w:rsid w:val="00CE18F3"/>
    <w:rsid w:val="00CE1A47"/>
    <w:rsid w:val="00CE437C"/>
    <w:rsid w:val="00CE4DFF"/>
    <w:rsid w:val="00CE6C66"/>
    <w:rsid w:val="00CE7D11"/>
    <w:rsid w:val="00CE7FC4"/>
    <w:rsid w:val="00CF0038"/>
    <w:rsid w:val="00CF2A76"/>
    <w:rsid w:val="00CF2A9A"/>
    <w:rsid w:val="00CF2CBE"/>
    <w:rsid w:val="00CF3844"/>
    <w:rsid w:val="00CF6620"/>
    <w:rsid w:val="00CF6E69"/>
    <w:rsid w:val="00CF7EFF"/>
    <w:rsid w:val="00CF7F9F"/>
    <w:rsid w:val="00D00045"/>
    <w:rsid w:val="00D02BD7"/>
    <w:rsid w:val="00D0347F"/>
    <w:rsid w:val="00D066B4"/>
    <w:rsid w:val="00D07958"/>
    <w:rsid w:val="00D1170C"/>
    <w:rsid w:val="00D12908"/>
    <w:rsid w:val="00D146DE"/>
    <w:rsid w:val="00D15300"/>
    <w:rsid w:val="00D16FCD"/>
    <w:rsid w:val="00D2393B"/>
    <w:rsid w:val="00D243DC"/>
    <w:rsid w:val="00D3486F"/>
    <w:rsid w:val="00D37019"/>
    <w:rsid w:val="00D401BC"/>
    <w:rsid w:val="00D40B6C"/>
    <w:rsid w:val="00D40BE8"/>
    <w:rsid w:val="00D41901"/>
    <w:rsid w:val="00D45E66"/>
    <w:rsid w:val="00D461F3"/>
    <w:rsid w:val="00D46A56"/>
    <w:rsid w:val="00D53BCF"/>
    <w:rsid w:val="00D56649"/>
    <w:rsid w:val="00D60DE7"/>
    <w:rsid w:val="00D63C88"/>
    <w:rsid w:val="00D65835"/>
    <w:rsid w:val="00D70C0C"/>
    <w:rsid w:val="00D71766"/>
    <w:rsid w:val="00D71ADA"/>
    <w:rsid w:val="00D720C2"/>
    <w:rsid w:val="00D723F6"/>
    <w:rsid w:val="00D72CD0"/>
    <w:rsid w:val="00D75CFD"/>
    <w:rsid w:val="00D808C5"/>
    <w:rsid w:val="00D84E2A"/>
    <w:rsid w:val="00D84F07"/>
    <w:rsid w:val="00D8565A"/>
    <w:rsid w:val="00D85847"/>
    <w:rsid w:val="00D878F7"/>
    <w:rsid w:val="00D878FD"/>
    <w:rsid w:val="00D87D33"/>
    <w:rsid w:val="00D901EB"/>
    <w:rsid w:val="00D94107"/>
    <w:rsid w:val="00DA3944"/>
    <w:rsid w:val="00DA3AF4"/>
    <w:rsid w:val="00DA7E08"/>
    <w:rsid w:val="00DC10F6"/>
    <w:rsid w:val="00DC2805"/>
    <w:rsid w:val="00DC2E90"/>
    <w:rsid w:val="00DC4F9B"/>
    <w:rsid w:val="00DC6CEC"/>
    <w:rsid w:val="00DC7695"/>
    <w:rsid w:val="00DC7839"/>
    <w:rsid w:val="00DD07FC"/>
    <w:rsid w:val="00DD0817"/>
    <w:rsid w:val="00DD1B6A"/>
    <w:rsid w:val="00DD20AF"/>
    <w:rsid w:val="00DD28FA"/>
    <w:rsid w:val="00DD56C8"/>
    <w:rsid w:val="00DD6007"/>
    <w:rsid w:val="00DD67BE"/>
    <w:rsid w:val="00DE011B"/>
    <w:rsid w:val="00DE5B50"/>
    <w:rsid w:val="00DE60FC"/>
    <w:rsid w:val="00DE77C8"/>
    <w:rsid w:val="00E04EF6"/>
    <w:rsid w:val="00E05DA8"/>
    <w:rsid w:val="00E068E6"/>
    <w:rsid w:val="00E072CF"/>
    <w:rsid w:val="00E14EB4"/>
    <w:rsid w:val="00E1529E"/>
    <w:rsid w:val="00E17727"/>
    <w:rsid w:val="00E17938"/>
    <w:rsid w:val="00E200B8"/>
    <w:rsid w:val="00E20D13"/>
    <w:rsid w:val="00E24370"/>
    <w:rsid w:val="00E2516A"/>
    <w:rsid w:val="00E25341"/>
    <w:rsid w:val="00E26B71"/>
    <w:rsid w:val="00E33514"/>
    <w:rsid w:val="00E348E1"/>
    <w:rsid w:val="00E40780"/>
    <w:rsid w:val="00E42952"/>
    <w:rsid w:val="00E42F37"/>
    <w:rsid w:val="00E509E3"/>
    <w:rsid w:val="00E51C31"/>
    <w:rsid w:val="00E52636"/>
    <w:rsid w:val="00E53F7C"/>
    <w:rsid w:val="00E559F4"/>
    <w:rsid w:val="00E55E8C"/>
    <w:rsid w:val="00E62219"/>
    <w:rsid w:val="00E628C1"/>
    <w:rsid w:val="00E647F6"/>
    <w:rsid w:val="00E6548C"/>
    <w:rsid w:val="00E65495"/>
    <w:rsid w:val="00E6766E"/>
    <w:rsid w:val="00E70918"/>
    <w:rsid w:val="00E72C21"/>
    <w:rsid w:val="00E7491B"/>
    <w:rsid w:val="00E77EC0"/>
    <w:rsid w:val="00E81128"/>
    <w:rsid w:val="00E85BF2"/>
    <w:rsid w:val="00E903F6"/>
    <w:rsid w:val="00E92266"/>
    <w:rsid w:val="00E93114"/>
    <w:rsid w:val="00E93FB1"/>
    <w:rsid w:val="00E96E6A"/>
    <w:rsid w:val="00EA4A29"/>
    <w:rsid w:val="00EA5343"/>
    <w:rsid w:val="00EA6F0D"/>
    <w:rsid w:val="00EA733C"/>
    <w:rsid w:val="00EB0DB8"/>
    <w:rsid w:val="00EB0E6E"/>
    <w:rsid w:val="00EB4CAB"/>
    <w:rsid w:val="00EB5325"/>
    <w:rsid w:val="00EC0583"/>
    <w:rsid w:val="00EC47ED"/>
    <w:rsid w:val="00EC79ED"/>
    <w:rsid w:val="00ED2AA9"/>
    <w:rsid w:val="00ED4DE6"/>
    <w:rsid w:val="00ED5652"/>
    <w:rsid w:val="00ED7444"/>
    <w:rsid w:val="00EE1703"/>
    <w:rsid w:val="00EE3DCF"/>
    <w:rsid w:val="00EE52D3"/>
    <w:rsid w:val="00EF0F83"/>
    <w:rsid w:val="00EF1581"/>
    <w:rsid w:val="00EF2348"/>
    <w:rsid w:val="00EF41FF"/>
    <w:rsid w:val="00EF49FB"/>
    <w:rsid w:val="00EF5605"/>
    <w:rsid w:val="00F008AE"/>
    <w:rsid w:val="00F01E10"/>
    <w:rsid w:val="00F07DFC"/>
    <w:rsid w:val="00F11098"/>
    <w:rsid w:val="00F110D3"/>
    <w:rsid w:val="00F141F0"/>
    <w:rsid w:val="00F15160"/>
    <w:rsid w:val="00F16B23"/>
    <w:rsid w:val="00F16BD2"/>
    <w:rsid w:val="00F16CA9"/>
    <w:rsid w:val="00F2086E"/>
    <w:rsid w:val="00F22109"/>
    <w:rsid w:val="00F25DCD"/>
    <w:rsid w:val="00F261D7"/>
    <w:rsid w:val="00F271F9"/>
    <w:rsid w:val="00F30516"/>
    <w:rsid w:val="00F35E40"/>
    <w:rsid w:val="00F36C94"/>
    <w:rsid w:val="00F37743"/>
    <w:rsid w:val="00F41560"/>
    <w:rsid w:val="00F42911"/>
    <w:rsid w:val="00F4405D"/>
    <w:rsid w:val="00F4547F"/>
    <w:rsid w:val="00F46B18"/>
    <w:rsid w:val="00F50D85"/>
    <w:rsid w:val="00F51862"/>
    <w:rsid w:val="00F52C50"/>
    <w:rsid w:val="00F5372E"/>
    <w:rsid w:val="00F54DA9"/>
    <w:rsid w:val="00F55457"/>
    <w:rsid w:val="00F60154"/>
    <w:rsid w:val="00F614A3"/>
    <w:rsid w:val="00F646D3"/>
    <w:rsid w:val="00F651D0"/>
    <w:rsid w:val="00F677A0"/>
    <w:rsid w:val="00F67BFA"/>
    <w:rsid w:val="00F729AE"/>
    <w:rsid w:val="00F72ABA"/>
    <w:rsid w:val="00F75D89"/>
    <w:rsid w:val="00F805EE"/>
    <w:rsid w:val="00F81AED"/>
    <w:rsid w:val="00F8400A"/>
    <w:rsid w:val="00F85D06"/>
    <w:rsid w:val="00F87542"/>
    <w:rsid w:val="00F911E9"/>
    <w:rsid w:val="00F927E2"/>
    <w:rsid w:val="00F92A2C"/>
    <w:rsid w:val="00F9610B"/>
    <w:rsid w:val="00F96C44"/>
    <w:rsid w:val="00FA5270"/>
    <w:rsid w:val="00FA63E8"/>
    <w:rsid w:val="00FB2913"/>
    <w:rsid w:val="00FC1C84"/>
    <w:rsid w:val="00FC51BC"/>
    <w:rsid w:val="00FC5642"/>
    <w:rsid w:val="00FC7B66"/>
    <w:rsid w:val="00FD2BC2"/>
    <w:rsid w:val="00FD38E0"/>
    <w:rsid w:val="00FD3AA7"/>
    <w:rsid w:val="00FD48C7"/>
    <w:rsid w:val="00FD4D55"/>
    <w:rsid w:val="00FD65AA"/>
    <w:rsid w:val="00FD6BD8"/>
    <w:rsid w:val="00FE0A32"/>
    <w:rsid w:val="00FE1C8B"/>
    <w:rsid w:val="00FE29F4"/>
    <w:rsid w:val="00FF3576"/>
    <w:rsid w:val="00FF3A12"/>
    <w:rsid w:val="00FF6289"/>
    <w:rsid w:val="00FF785E"/>
    <w:rsid w:val="00FF7AF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A1CD8"/>
  <w15:docId w15:val="{8E479C9F-4839-42B3-9B5E-7CD295F8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aliases w:val="Título Principal,CAPITULO 1,000000,1. Texto Base,heading 1"/>
    <w:basedOn w:val="Normal"/>
    <w:next w:val="Normal"/>
    <w:link w:val="Ttulo1Car"/>
    <w:qFormat/>
    <w:rsid w:val="00A03D88"/>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A7367"/>
    <w:pPr>
      <w:keepNext/>
      <w:widowControl w:val="0"/>
      <w:autoSpaceDE w:val="0"/>
      <w:autoSpaceDN w:val="0"/>
      <w:adjustRightInd w:val="0"/>
      <w:spacing w:before="240" w:after="60" w:line="240" w:lineRule="auto"/>
      <w:outlineLvl w:val="1"/>
    </w:pPr>
    <w:rPr>
      <w:rFonts w:ascii="Calibri Light" w:eastAsia="Times New Roman" w:hAnsi="Calibri Light"/>
      <w:b/>
      <w:bCs/>
      <w:i/>
      <w:iCs/>
      <w:color w:val="000000"/>
      <w:sz w:val="28"/>
      <w:szCs w:val="28"/>
      <w:lang w:val="es-ES" w:eastAsia="es-ES"/>
    </w:rPr>
  </w:style>
  <w:style w:type="paragraph" w:styleId="Ttulo3">
    <w:name w:val="heading 3"/>
    <w:basedOn w:val="Normal"/>
    <w:next w:val="Normal"/>
    <w:link w:val="Ttulo3Car"/>
    <w:uiPriority w:val="9"/>
    <w:semiHidden/>
    <w:unhideWhenUsed/>
    <w:qFormat/>
    <w:rsid w:val="00BF24C2"/>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semiHidden/>
    <w:unhideWhenUsed/>
    <w:qFormat/>
    <w:rsid w:val="0020707F"/>
    <w:pPr>
      <w:keepNext/>
      <w:spacing w:before="240" w:after="60"/>
      <w:outlineLvl w:val="3"/>
    </w:pPr>
    <w:rPr>
      <w:rFonts w:eastAsia="Times New Roman"/>
      <w:b/>
      <w:bCs/>
      <w:sz w:val="28"/>
      <w:szCs w:val="28"/>
    </w:rPr>
  </w:style>
  <w:style w:type="paragraph" w:styleId="Ttulo7">
    <w:name w:val="heading 7"/>
    <w:basedOn w:val="Normal"/>
    <w:next w:val="Normal"/>
    <w:link w:val="Ttulo7Car1"/>
    <w:qFormat/>
    <w:rsid w:val="00A03D88"/>
    <w:pPr>
      <w:keepNext/>
      <w:widowControl w:val="0"/>
      <w:numPr>
        <w:ilvl w:val="6"/>
        <w:numId w:val="1"/>
      </w:numPr>
      <w:tabs>
        <w:tab w:val="left" w:pos="0"/>
      </w:tabs>
      <w:suppressAutoHyphens/>
      <w:autoSpaceDE w:val="0"/>
      <w:spacing w:after="0" w:line="240" w:lineRule="auto"/>
      <w:jc w:val="right"/>
      <w:outlineLvl w:val="6"/>
    </w:pPr>
    <w:rPr>
      <w:rFonts w:ascii="Arial" w:eastAsia="Times New Roman" w:hAnsi="Arial"/>
      <w:b/>
      <w:bCs/>
      <w:sz w:val="24"/>
      <w:szCs w:val="24"/>
      <w:u w:val="single"/>
      <w:shd w:val="clear" w:color="auto" w:fill="FFFFFF"/>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next w:val="Normal"/>
    <w:qFormat/>
    <w:rsid w:val="00FF785E"/>
    <w:pPr>
      <w:widowControl w:val="0"/>
      <w:autoSpaceDE w:val="0"/>
      <w:autoSpaceDN w:val="0"/>
      <w:adjustRightInd w:val="0"/>
    </w:pPr>
    <w:rPr>
      <w:rFonts w:ascii="Arial" w:eastAsia="Times New Roman" w:hAnsi="Arial" w:cs="Arial"/>
      <w:sz w:val="24"/>
      <w:szCs w:val="24"/>
      <w:u w:color="000000"/>
      <w:lang w:val="es-ES" w:eastAsia="es-ES"/>
    </w:rPr>
  </w:style>
  <w:style w:type="character" w:styleId="Textoennegrita">
    <w:name w:val="Strong"/>
    <w:uiPriority w:val="22"/>
    <w:qFormat/>
    <w:rsid w:val="00FF785E"/>
    <w:rPr>
      <w:b/>
      <w:bCs/>
    </w:rPr>
  </w:style>
  <w:style w:type="table" w:styleId="Tablaconcuadrcula">
    <w:name w:val="Table Grid"/>
    <w:basedOn w:val="Tablanormal"/>
    <w:uiPriority w:val="39"/>
    <w:rsid w:val="000E6C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Cuerpodetexto"/>
    <w:locked/>
    <w:rsid w:val="00E96E6A"/>
    <w:rPr>
      <w:rFonts w:ascii="Times New Roman" w:eastAsia="Times New Roman" w:hAnsi="Times New Roman"/>
      <w:sz w:val="24"/>
      <w:lang w:val="en-US" w:eastAsia="es-ES"/>
    </w:rPr>
  </w:style>
  <w:style w:type="paragraph" w:customStyle="1" w:styleId="Cuerpodetexto">
    <w:name w:val="Cuerpo de texto"/>
    <w:basedOn w:val="Normal"/>
    <w:link w:val="TextoindependienteCar"/>
    <w:rsid w:val="00E96E6A"/>
    <w:pPr>
      <w:suppressAutoHyphens/>
      <w:spacing w:after="0" w:line="288" w:lineRule="auto"/>
      <w:jc w:val="both"/>
    </w:pPr>
    <w:rPr>
      <w:rFonts w:ascii="Times New Roman" w:eastAsia="Times New Roman" w:hAnsi="Times New Roman"/>
      <w:sz w:val="24"/>
      <w:szCs w:val="20"/>
      <w:lang w:val="en-US" w:eastAsia="es-ES"/>
    </w:rPr>
  </w:style>
  <w:style w:type="paragraph" w:styleId="Sinespaciado">
    <w:name w:val="No Spacing"/>
    <w:uiPriority w:val="1"/>
    <w:qFormat/>
    <w:rsid w:val="00E96E6A"/>
    <w:rPr>
      <w:sz w:val="22"/>
      <w:szCs w:val="22"/>
      <w:lang w:eastAsia="en-US"/>
    </w:rPr>
  </w:style>
  <w:style w:type="character" w:customStyle="1" w:styleId="Ttulo7Car">
    <w:name w:val="Título 7 Car"/>
    <w:uiPriority w:val="9"/>
    <w:semiHidden/>
    <w:rsid w:val="00A03D88"/>
    <w:rPr>
      <w:rFonts w:ascii="Calibri" w:eastAsia="Times New Roman" w:hAnsi="Calibri" w:cs="Times New Roman"/>
      <w:sz w:val="24"/>
      <w:szCs w:val="24"/>
      <w:lang w:eastAsia="en-US"/>
    </w:rPr>
  </w:style>
  <w:style w:type="character" w:customStyle="1" w:styleId="Ttulo7Car1">
    <w:name w:val="Título 7 Car1"/>
    <w:link w:val="Ttulo7"/>
    <w:rsid w:val="00A03D88"/>
    <w:rPr>
      <w:rFonts w:ascii="Arial" w:eastAsia="Times New Roman" w:hAnsi="Arial"/>
      <w:b/>
      <w:bCs/>
      <w:sz w:val="24"/>
      <w:szCs w:val="24"/>
      <w:u w:val="single"/>
      <w:lang w:val="es-ES" w:eastAsia="ar-SA"/>
    </w:rPr>
  </w:style>
  <w:style w:type="paragraph" w:customStyle="1" w:styleId="Ttulo51">
    <w:name w:val="Título 51"/>
    <w:next w:val="Normal"/>
    <w:rsid w:val="00A03D88"/>
    <w:pPr>
      <w:keepNext/>
      <w:widowControl w:val="0"/>
      <w:tabs>
        <w:tab w:val="left" w:pos="0"/>
      </w:tabs>
      <w:suppressAutoHyphens/>
      <w:jc w:val="center"/>
    </w:pPr>
    <w:rPr>
      <w:rFonts w:ascii="Times New Roman" w:eastAsia="Lucida Sans Unicode" w:hAnsi="Times New Roman"/>
      <w:b/>
      <w:bCs/>
      <w:i/>
      <w:iCs/>
      <w:sz w:val="26"/>
      <w:szCs w:val="26"/>
      <w:u w:val="single"/>
      <w:shd w:val="clear" w:color="auto" w:fill="FFFFFF"/>
      <w:lang w:val="es-ES" w:eastAsia="ar-SA"/>
    </w:rPr>
  </w:style>
  <w:style w:type="paragraph" w:customStyle="1" w:styleId="Ttulo31">
    <w:name w:val="Título 31"/>
    <w:next w:val="Normal"/>
    <w:rsid w:val="00A03D88"/>
    <w:pPr>
      <w:widowControl w:val="0"/>
      <w:numPr>
        <w:ilvl w:val="2"/>
        <w:numId w:val="1"/>
      </w:numPr>
      <w:suppressAutoHyphens/>
      <w:outlineLvl w:val="2"/>
    </w:pPr>
    <w:rPr>
      <w:rFonts w:ascii="Times New Roman" w:eastAsia="Arial Unicode MS" w:hAnsi="Times New Roman"/>
      <w:sz w:val="24"/>
      <w:szCs w:val="24"/>
      <w:u w:val="single"/>
      <w:shd w:val="clear" w:color="auto" w:fill="FFFFFF"/>
      <w:lang w:val="es-ES_tradnl" w:eastAsia="es-ES"/>
    </w:rPr>
  </w:style>
  <w:style w:type="paragraph" w:customStyle="1" w:styleId="SUBPROGRAMA">
    <w:name w:val="SUBPROGRAMA"/>
    <w:basedOn w:val="Ttulo1"/>
    <w:next w:val="Normal"/>
    <w:qFormat/>
    <w:rsid w:val="00A03D88"/>
    <w:pPr>
      <w:numPr>
        <w:numId w:val="1"/>
      </w:numPr>
      <w:tabs>
        <w:tab w:val="clear" w:pos="0"/>
      </w:tabs>
      <w:spacing w:line="240" w:lineRule="auto"/>
      <w:ind w:left="703"/>
      <w:jc w:val="both"/>
    </w:pPr>
    <w:rPr>
      <w:rFonts w:ascii="Bookman Old Style" w:hAnsi="Bookman Old Style"/>
      <w:bCs w:val="0"/>
      <w:smallCaps/>
      <w:color w:val="000080"/>
      <w:kern w:val="28"/>
      <w:sz w:val="28"/>
      <w:szCs w:val="20"/>
      <w:u w:val="single"/>
      <w:lang w:val="es-ES" w:eastAsia="es-ES"/>
    </w:rPr>
  </w:style>
  <w:style w:type="paragraph" w:customStyle="1" w:styleId="Ttulo53">
    <w:name w:val="Título 53"/>
    <w:next w:val="Normal"/>
    <w:rsid w:val="00A03D88"/>
    <w:pPr>
      <w:keepNext/>
      <w:widowControl w:val="0"/>
      <w:tabs>
        <w:tab w:val="left" w:pos="0"/>
      </w:tabs>
      <w:suppressAutoHyphens/>
      <w:jc w:val="center"/>
    </w:pPr>
    <w:rPr>
      <w:rFonts w:ascii="Times New Roman" w:eastAsia="Lucida Sans Unicode" w:hAnsi="Times New Roman"/>
      <w:b/>
      <w:bCs/>
      <w:i/>
      <w:iCs/>
      <w:sz w:val="26"/>
      <w:szCs w:val="26"/>
      <w:u w:val="single"/>
      <w:shd w:val="clear" w:color="auto" w:fill="FFFFFF"/>
      <w:lang w:val="es-ES" w:eastAsia="ar-SA"/>
    </w:rPr>
  </w:style>
  <w:style w:type="paragraph" w:customStyle="1" w:styleId="Ttulo52">
    <w:name w:val="Título 52"/>
    <w:next w:val="Normal"/>
    <w:rsid w:val="00A03D88"/>
    <w:pPr>
      <w:keepNext/>
      <w:widowControl w:val="0"/>
      <w:tabs>
        <w:tab w:val="left" w:pos="0"/>
      </w:tabs>
      <w:suppressAutoHyphens/>
      <w:jc w:val="center"/>
    </w:pPr>
    <w:rPr>
      <w:rFonts w:ascii="Times New Roman" w:eastAsia="Lucida Sans Unicode" w:hAnsi="Times New Roman"/>
      <w:b/>
      <w:bCs/>
      <w:i/>
      <w:iCs/>
      <w:sz w:val="26"/>
      <w:szCs w:val="26"/>
      <w:u w:val="single"/>
      <w:shd w:val="clear" w:color="auto" w:fill="FFFFFF"/>
      <w:lang w:val="es-ES" w:eastAsia="ar-SA"/>
    </w:rPr>
  </w:style>
  <w:style w:type="character" w:customStyle="1" w:styleId="Ttulo1Car">
    <w:name w:val="Título 1 Car"/>
    <w:aliases w:val="Título Principal Car,CAPITULO 1 Car,000000 Car,1. Texto Base Car,heading 1 Car"/>
    <w:link w:val="Ttulo1"/>
    <w:uiPriority w:val="9"/>
    <w:rsid w:val="00A03D88"/>
    <w:rPr>
      <w:rFonts w:ascii="Calibri Light" w:eastAsia="Times New Roman" w:hAnsi="Calibri Light" w:cs="Times New Roman"/>
      <w:b/>
      <w:bCs/>
      <w:kern w:val="32"/>
      <w:sz w:val="32"/>
      <w:szCs w:val="32"/>
      <w:lang w:eastAsia="en-US"/>
    </w:rPr>
  </w:style>
  <w:style w:type="paragraph" w:styleId="Listaconvietas">
    <w:name w:val="List Bullet"/>
    <w:aliases w:val="UL"/>
    <w:basedOn w:val="Normal"/>
    <w:rsid w:val="0074793A"/>
    <w:pPr>
      <w:keepLines/>
      <w:widowControl w:val="0"/>
      <w:numPr>
        <w:numId w:val="2"/>
      </w:numPr>
      <w:tabs>
        <w:tab w:val="num" w:pos="1080"/>
      </w:tabs>
      <w:autoSpaceDE w:val="0"/>
      <w:autoSpaceDN w:val="0"/>
      <w:adjustRightInd w:val="0"/>
      <w:spacing w:before="60" w:after="60" w:line="240" w:lineRule="auto"/>
      <w:ind w:left="1208" w:hanging="357"/>
      <w:jc w:val="both"/>
    </w:pPr>
    <w:rPr>
      <w:rFonts w:ascii="Tahoma" w:eastAsia="Times New Roman" w:hAnsi="Tahoma" w:cs="Tahoma"/>
      <w:sz w:val="20"/>
      <w:szCs w:val="20"/>
      <w:lang w:val="es-ES" w:eastAsia="es-ES"/>
    </w:rPr>
  </w:style>
  <w:style w:type="paragraph" w:styleId="Textoindependiente2">
    <w:name w:val="Body Text 2"/>
    <w:basedOn w:val="Normal"/>
    <w:link w:val="Textoindependiente2Car"/>
    <w:rsid w:val="00656F11"/>
    <w:pPr>
      <w:spacing w:after="0" w:line="240" w:lineRule="auto"/>
      <w:jc w:val="both"/>
    </w:pPr>
    <w:rPr>
      <w:rFonts w:ascii="Bookman Old Style" w:eastAsia="Times New Roman" w:hAnsi="Bookman Old Style"/>
      <w:sz w:val="24"/>
      <w:szCs w:val="24"/>
      <w:lang w:val="es-ES_tradnl" w:eastAsia="es-ES"/>
    </w:rPr>
  </w:style>
  <w:style w:type="character" w:customStyle="1" w:styleId="Textoindependiente2Car">
    <w:name w:val="Texto independiente 2 Car"/>
    <w:link w:val="Textoindependiente2"/>
    <w:rsid w:val="00656F11"/>
    <w:rPr>
      <w:rFonts w:ascii="Bookman Old Style" w:eastAsia="Times New Roman" w:hAnsi="Bookman Old Style"/>
      <w:sz w:val="24"/>
      <w:szCs w:val="24"/>
      <w:lang w:val="es-ES_tradnl" w:eastAsia="es-ES"/>
    </w:rPr>
  </w:style>
  <w:style w:type="character" w:styleId="Hipervnculo">
    <w:name w:val="Hyperlink"/>
    <w:uiPriority w:val="99"/>
    <w:rsid w:val="00656F11"/>
    <w:rPr>
      <w:rFonts w:cs="Times New Roman"/>
      <w:color w:val="0000FF"/>
      <w:u w:val="single"/>
    </w:rPr>
  </w:style>
  <w:style w:type="character" w:customStyle="1" w:styleId="Ttulo2Car">
    <w:name w:val="Título 2 Car"/>
    <w:link w:val="Ttulo2"/>
    <w:uiPriority w:val="9"/>
    <w:semiHidden/>
    <w:rsid w:val="002A7367"/>
    <w:rPr>
      <w:rFonts w:ascii="Calibri Light" w:eastAsia="Times New Roman" w:hAnsi="Calibri Light"/>
      <w:b/>
      <w:bCs/>
      <w:i/>
      <w:iCs/>
      <w:color w:val="000000"/>
      <w:sz w:val="28"/>
      <w:szCs w:val="28"/>
      <w:lang w:val="es-ES" w:eastAsia="es-ES"/>
    </w:rPr>
  </w:style>
  <w:style w:type="numbering" w:customStyle="1" w:styleId="Sinlista1">
    <w:name w:val="Sin lista1"/>
    <w:next w:val="Sinlista"/>
    <w:uiPriority w:val="99"/>
    <w:semiHidden/>
    <w:unhideWhenUsed/>
    <w:rsid w:val="002A7367"/>
  </w:style>
  <w:style w:type="paragraph" w:styleId="Textodeglobo">
    <w:name w:val="Balloon Text"/>
    <w:basedOn w:val="Normal"/>
    <w:link w:val="TextodegloboCar"/>
    <w:uiPriority w:val="99"/>
    <w:semiHidden/>
    <w:rsid w:val="002A7367"/>
    <w:pPr>
      <w:widowControl w:val="0"/>
      <w:autoSpaceDE w:val="0"/>
      <w:autoSpaceDN w:val="0"/>
      <w:adjustRightInd w:val="0"/>
      <w:spacing w:after="0" w:line="240" w:lineRule="auto"/>
    </w:pPr>
    <w:rPr>
      <w:rFonts w:ascii="Times New Roman" w:eastAsia="Times New Roman" w:hAnsi="Times New Roman"/>
      <w:color w:val="000000"/>
      <w:sz w:val="0"/>
      <w:szCs w:val="0"/>
      <w:lang w:val="es-ES" w:eastAsia="es-ES"/>
    </w:rPr>
  </w:style>
  <w:style w:type="character" w:customStyle="1" w:styleId="TextodegloboCar">
    <w:name w:val="Texto de globo Car"/>
    <w:link w:val="Textodeglobo"/>
    <w:uiPriority w:val="99"/>
    <w:semiHidden/>
    <w:rsid w:val="002A7367"/>
    <w:rPr>
      <w:rFonts w:ascii="Times New Roman" w:eastAsia="Times New Roman" w:hAnsi="Times New Roman"/>
      <w:color w:val="000000"/>
      <w:sz w:val="0"/>
      <w:szCs w:val="0"/>
      <w:lang w:val="es-ES" w:eastAsia="es-ES"/>
    </w:rPr>
  </w:style>
  <w:style w:type="paragraph" w:customStyle="1" w:styleId="Car">
    <w:name w:val="Car"/>
    <w:basedOn w:val="Normal"/>
    <w:semiHidden/>
    <w:rsid w:val="002A7367"/>
    <w:pPr>
      <w:spacing w:line="240" w:lineRule="exact"/>
    </w:pPr>
    <w:rPr>
      <w:rFonts w:ascii="Verdana" w:eastAsia="Times New Roman" w:hAnsi="Verdana" w:cs="Verdana"/>
      <w:sz w:val="20"/>
      <w:szCs w:val="20"/>
      <w:lang w:val="en-AU"/>
    </w:rPr>
  </w:style>
  <w:style w:type="paragraph" w:customStyle="1" w:styleId="Car1">
    <w:name w:val="Car1"/>
    <w:basedOn w:val="Normal"/>
    <w:uiPriority w:val="99"/>
    <w:semiHidden/>
    <w:rsid w:val="002A7367"/>
    <w:pPr>
      <w:spacing w:line="240" w:lineRule="exact"/>
    </w:pPr>
    <w:rPr>
      <w:rFonts w:ascii="Verdana" w:eastAsia="Times New Roman" w:hAnsi="Verdana" w:cs="Verdana"/>
      <w:sz w:val="20"/>
      <w:szCs w:val="20"/>
      <w:lang w:val="en-AU"/>
    </w:rPr>
  </w:style>
  <w:style w:type="character" w:customStyle="1" w:styleId="apple-converted-space">
    <w:name w:val="apple-converted-space"/>
    <w:uiPriority w:val="99"/>
    <w:rsid w:val="002A7367"/>
    <w:rPr>
      <w:rFonts w:cs="Times New Roman"/>
    </w:rPr>
  </w:style>
  <w:style w:type="paragraph" w:styleId="Textosinformato">
    <w:name w:val="Plain Text"/>
    <w:basedOn w:val="Normal"/>
    <w:link w:val="TextosinformatoCar"/>
    <w:uiPriority w:val="99"/>
    <w:rsid w:val="002A7367"/>
    <w:pPr>
      <w:overflowPunct w:val="0"/>
      <w:autoSpaceDE w:val="0"/>
      <w:autoSpaceDN w:val="0"/>
      <w:adjustRightInd w:val="0"/>
      <w:spacing w:after="0" w:line="240" w:lineRule="auto"/>
      <w:textAlignment w:val="baseline"/>
    </w:pPr>
    <w:rPr>
      <w:rFonts w:ascii="Courier New" w:eastAsia="Times New Roman" w:hAnsi="Courier New"/>
      <w:color w:val="000000"/>
      <w:sz w:val="20"/>
      <w:szCs w:val="20"/>
      <w:lang w:val="es-ES" w:eastAsia="es-ES"/>
    </w:rPr>
  </w:style>
  <w:style w:type="character" w:customStyle="1" w:styleId="TextosinformatoCar">
    <w:name w:val="Texto sin formato Car"/>
    <w:link w:val="Textosinformato"/>
    <w:uiPriority w:val="99"/>
    <w:rsid w:val="002A7367"/>
    <w:rPr>
      <w:rFonts w:ascii="Courier New" w:eastAsia="Times New Roman" w:hAnsi="Courier New"/>
      <w:color w:val="000000"/>
      <w:lang w:val="es-ES" w:eastAsia="es-ES"/>
    </w:rPr>
  </w:style>
  <w:style w:type="paragraph" w:customStyle="1" w:styleId="Default">
    <w:name w:val="Default"/>
    <w:rsid w:val="002A7367"/>
    <w:pPr>
      <w:autoSpaceDE w:val="0"/>
      <w:autoSpaceDN w:val="0"/>
      <w:adjustRightInd w:val="0"/>
    </w:pPr>
    <w:rPr>
      <w:rFonts w:ascii="Arial" w:eastAsia="Times New Roman" w:hAnsi="Arial" w:cs="Arial"/>
      <w:color w:val="000000"/>
      <w:sz w:val="24"/>
      <w:szCs w:val="24"/>
      <w:lang w:val="es-ES" w:eastAsia="es-ES"/>
    </w:rPr>
  </w:style>
  <w:style w:type="paragraph" w:styleId="Textoindependiente">
    <w:name w:val="Body Text"/>
    <w:basedOn w:val="Normal"/>
    <w:uiPriority w:val="99"/>
    <w:rsid w:val="002A7367"/>
    <w:pPr>
      <w:widowControl w:val="0"/>
      <w:autoSpaceDE w:val="0"/>
      <w:autoSpaceDN w:val="0"/>
      <w:adjustRightInd w:val="0"/>
      <w:spacing w:after="120" w:line="240" w:lineRule="auto"/>
      <w:jc w:val="both"/>
    </w:pPr>
    <w:rPr>
      <w:rFonts w:ascii="Arial" w:eastAsia="Times New Roman" w:hAnsi="Arial"/>
      <w:color w:val="000000"/>
      <w:sz w:val="28"/>
      <w:szCs w:val="28"/>
      <w:lang w:val="es-ES" w:eastAsia="es-ES"/>
    </w:rPr>
  </w:style>
  <w:style w:type="character" w:customStyle="1" w:styleId="TextoindependienteCar1">
    <w:name w:val="Texto independiente Car1"/>
    <w:uiPriority w:val="99"/>
    <w:semiHidden/>
    <w:rsid w:val="002A7367"/>
    <w:rPr>
      <w:sz w:val="22"/>
      <w:szCs w:val="22"/>
      <w:lang w:eastAsia="en-US"/>
    </w:rPr>
  </w:style>
  <w:style w:type="paragraph" w:styleId="Prrafodelista">
    <w:name w:val="List Paragraph"/>
    <w:aliases w:val="Bullet 1,Use Case List Paragraph,Lista vistosa - Énfasis 11,Párrafo de lista Car Car Car,List Paragraph,Footnote,List Paragraph2,Informe,FooterText,numbered,Paragraphe de liste1,Bulletr List Paragraph,列出段落,列出段落1,lp1,lp11"/>
    <w:basedOn w:val="Normal"/>
    <w:link w:val="PrrafodelistaCar"/>
    <w:uiPriority w:val="34"/>
    <w:qFormat/>
    <w:rsid w:val="002A7367"/>
    <w:pPr>
      <w:widowControl w:val="0"/>
      <w:autoSpaceDE w:val="0"/>
      <w:autoSpaceDN w:val="0"/>
      <w:adjustRightInd w:val="0"/>
      <w:spacing w:after="0" w:line="240" w:lineRule="auto"/>
      <w:ind w:left="708"/>
      <w:jc w:val="both"/>
    </w:pPr>
    <w:rPr>
      <w:rFonts w:eastAsia="Times New Roman" w:cs="Calibri"/>
      <w:lang w:val="es-ES" w:eastAsia="es-ES"/>
    </w:rPr>
  </w:style>
  <w:style w:type="paragraph" w:customStyle="1" w:styleId="Prrafodelista1">
    <w:name w:val="Párrafo de lista1"/>
    <w:rsid w:val="002A7367"/>
    <w:pPr>
      <w:widowControl w:val="0"/>
      <w:autoSpaceDE w:val="0"/>
      <w:autoSpaceDN w:val="0"/>
      <w:adjustRightInd w:val="0"/>
      <w:ind w:left="720"/>
      <w:jc w:val="both"/>
    </w:pPr>
    <w:rPr>
      <w:rFonts w:eastAsia="Times New Roman" w:cs="Calibri"/>
      <w:sz w:val="22"/>
      <w:szCs w:val="22"/>
      <w:lang w:val="es-ES" w:eastAsia="es-ES"/>
    </w:rPr>
  </w:style>
  <w:style w:type="table" w:customStyle="1" w:styleId="Tablaconcuadrcula1">
    <w:name w:val="Tabla con cuadrícula1"/>
    <w:basedOn w:val="Tablanormal"/>
    <w:next w:val="Tablaconcuadrcula"/>
    <w:rsid w:val="002A7367"/>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qFormat/>
    <w:rsid w:val="002A7367"/>
    <w:pPr>
      <w:widowControl w:val="0"/>
      <w:autoSpaceDE w:val="0"/>
      <w:autoSpaceDN w:val="0"/>
      <w:adjustRightInd w:val="0"/>
      <w:spacing w:before="100" w:after="100" w:line="240" w:lineRule="auto"/>
    </w:pPr>
    <w:rPr>
      <w:rFonts w:eastAsia="Times New Roman" w:cs="Calibri"/>
      <w:sz w:val="24"/>
      <w:szCs w:val="24"/>
      <w:lang w:val="es-ES" w:eastAsia="es-ES"/>
    </w:rPr>
  </w:style>
  <w:style w:type="paragraph" w:customStyle="1" w:styleId="Prrafodelista2">
    <w:name w:val="Párrafo de lista2"/>
    <w:rsid w:val="002A7367"/>
    <w:pPr>
      <w:widowControl w:val="0"/>
      <w:autoSpaceDE w:val="0"/>
      <w:autoSpaceDN w:val="0"/>
      <w:adjustRightInd w:val="0"/>
      <w:ind w:left="708"/>
      <w:jc w:val="both"/>
    </w:pPr>
    <w:rPr>
      <w:rFonts w:eastAsia="Times New Roman" w:cs="Calibri"/>
      <w:sz w:val="22"/>
      <w:szCs w:val="22"/>
      <w:lang w:val="es-ES" w:eastAsia="es-ES"/>
    </w:rPr>
  </w:style>
  <w:style w:type="paragraph" w:styleId="Textonotapie">
    <w:name w:val="footnote text"/>
    <w:basedOn w:val="Normal"/>
    <w:link w:val="TextonotapieCar"/>
    <w:rsid w:val="002A7367"/>
    <w:pPr>
      <w:widowControl w:val="0"/>
      <w:autoSpaceDE w:val="0"/>
      <w:autoSpaceDN w:val="0"/>
      <w:adjustRightInd w:val="0"/>
      <w:spacing w:after="0" w:line="240" w:lineRule="auto"/>
      <w:jc w:val="both"/>
    </w:pPr>
    <w:rPr>
      <w:rFonts w:ascii="Times New Roman" w:eastAsia="Times New Roman" w:hAnsi="Times New Roman"/>
      <w:sz w:val="20"/>
      <w:szCs w:val="20"/>
      <w:lang w:val="es-ES" w:eastAsia="es-ES"/>
    </w:rPr>
  </w:style>
  <w:style w:type="character" w:customStyle="1" w:styleId="TextonotapieCar">
    <w:name w:val="Texto nota pie Car"/>
    <w:link w:val="Textonotapie"/>
    <w:rsid w:val="002A736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2A7367"/>
    <w:rPr>
      <w:color w:val="808080"/>
      <w:shd w:val="clear" w:color="auto" w:fill="E6E6E6"/>
    </w:rPr>
  </w:style>
  <w:style w:type="character" w:styleId="nfasis">
    <w:name w:val="Emphasis"/>
    <w:qFormat/>
    <w:rsid w:val="002A7367"/>
    <w:rPr>
      <w:i/>
      <w:iCs/>
    </w:rPr>
  </w:style>
  <w:style w:type="paragraph" w:customStyle="1" w:styleId="Style">
    <w:name w:val="Style"/>
    <w:basedOn w:val="Normal"/>
    <w:next w:val="Normal"/>
    <w:qFormat/>
    <w:rsid w:val="002A7367"/>
    <w:pPr>
      <w:spacing w:after="0" w:line="240" w:lineRule="auto"/>
    </w:pPr>
    <w:rPr>
      <w:rFonts w:ascii="Times New Roman" w:eastAsia="Times New Roman" w:hAnsi="Times New Roman"/>
      <w:b/>
      <w:bCs/>
      <w:sz w:val="20"/>
      <w:szCs w:val="20"/>
      <w:lang w:val="es-ES" w:eastAsia="es-ES"/>
    </w:rPr>
  </w:style>
  <w:style w:type="character" w:styleId="Refdenotaalpie">
    <w:name w:val="footnote reference"/>
    <w:uiPriority w:val="99"/>
    <w:semiHidden/>
    <w:unhideWhenUsed/>
    <w:rsid w:val="002A7367"/>
    <w:rPr>
      <w:vertAlign w:val="superscript"/>
    </w:rPr>
  </w:style>
  <w:style w:type="paragraph" w:styleId="Encabezado">
    <w:name w:val="header"/>
    <w:basedOn w:val="Normal"/>
    <w:link w:val="EncabezadoCar"/>
    <w:uiPriority w:val="99"/>
    <w:unhideWhenUsed/>
    <w:rsid w:val="002A7367"/>
    <w:pPr>
      <w:widowControl w:val="0"/>
      <w:tabs>
        <w:tab w:val="center" w:pos="4252"/>
        <w:tab w:val="right" w:pos="8504"/>
      </w:tabs>
      <w:autoSpaceDE w:val="0"/>
      <w:autoSpaceDN w:val="0"/>
      <w:adjustRightInd w:val="0"/>
      <w:spacing w:after="0" w:line="240" w:lineRule="auto"/>
    </w:pPr>
    <w:rPr>
      <w:rFonts w:ascii="Arial" w:eastAsia="Times New Roman" w:hAnsi="Arial" w:cs="Arial"/>
      <w:color w:val="000000"/>
      <w:sz w:val="28"/>
      <w:szCs w:val="28"/>
      <w:lang w:val="es-ES" w:eastAsia="es-ES"/>
    </w:rPr>
  </w:style>
  <w:style w:type="character" w:customStyle="1" w:styleId="EncabezadoCar">
    <w:name w:val="Encabezado Car"/>
    <w:link w:val="Encabezado"/>
    <w:uiPriority w:val="99"/>
    <w:rsid w:val="002A7367"/>
    <w:rPr>
      <w:rFonts w:ascii="Arial" w:eastAsia="Times New Roman" w:hAnsi="Arial" w:cs="Arial"/>
      <w:color w:val="000000"/>
      <w:sz w:val="28"/>
      <w:szCs w:val="28"/>
      <w:lang w:val="es-ES" w:eastAsia="es-ES"/>
    </w:rPr>
  </w:style>
  <w:style w:type="paragraph" w:styleId="Piedepgina">
    <w:name w:val="footer"/>
    <w:basedOn w:val="Normal"/>
    <w:link w:val="PiedepginaCar"/>
    <w:uiPriority w:val="99"/>
    <w:unhideWhenUsed/>
    <w:rsid w:val="002A7367"/>
    <w:pPr>
      <w:widowControl w:val="0"/>
      <w:tabs>
        <w:tab w:val="center" w:pos="4252"/>
        <w:tab w:val="right" w:pos="8504"/>
      </w:tabs>
      <w:autoSpaceDE w:val="0"/>
      <w:autoSpaceDN w:val="0"/>
      <w:adjustRightInd w:val="0"/>
      <w:spacing w:after="0" w:line="240" w:lineRule="auto"/>
    </w:pPr>
    <w:rPr>
      <w:rFonts w:ascii="Arial" w:eastAsia="Times New Roman" w:hAnsi="Arial" w:cs="Arial"/>
      <w:color w:val="000000"/>
      <w:sz w:val="28"/>
      <w:szCs w:val="28"/>
      <w:lang w:val="es-ES" w:eastAsia="es-ES"/>
    </w:rPr>
  </w:style>
  <w:style w:type="character" w:customStyle="1" w:styleId="PiedepginaCar">
    <w:name w:val="Pie de página Car"/>
    <w:link w:val="Piedepgina"/>
    <w:uiPriority w:val="99"/>
    <w:rsid w:val="002A7367"/>
    <w:rPr>
      <w:rFonts w:ascii="Arial" w:eastAsia="Times New Roman" w:hAnsi="Arial" w:cs="Arial"/>
      <w:color w:val="000000"/>
      <w:sz w:val="28"/>
      <w:szCs w:val="28"/>
      <w:lang w:val="es-ES" w:eastAsia="es-ES"/>
    </w:rPr>
  </w:style>
  <w:style w:type="paragraph" w:customStyle="1" w:styleId="WW-Predeterminado11">
    <w:name w:val="WW-Predeterminado11"/>
    <w:rsid w:val="002A7367"/>
    <w:pPr>
      <w:widowControl w:val="0"/>
      <w:suppressAutoHyphens/>
    </w:pPr>
    <w:rPr>
      <w:rFonts w:ascii="Times New Roman" w:eastAsia="font487" w:hAnsi="Times New Roman"/>
      <w:color w:val="000000"/>
      <w:sz w:val="24"/>
      <w:szCs w:val="24"/>
      <w:lang w:eastAsia="zh-CN" w:bidi="hi-IN"/>
    </w:rPr>
  </w:style>
  <w:style w:type="paragraph" w:customStyle="1" w:styleId="app-page-detaildocumentany">
    <w:name w:val="app-page-detail_document_any"/>
    <w:basedOn w:val="Normal"/>
    <w:rsid w:val="002A7367"/>
    <w:pPr>
      <w:widowControl w:val="0"/>
      <w:spacing w:after="0" w:line="300" w:lineRule="atLeast"/>
    </w:pPr>
    <w:rPr>
      <w:rFonts w:ascii="Arial" w:eastAsia="Times New Roman" w:hAnsi="Arial" w:cs="Arial"/>
      <w:color w:val="000000"/>
      <w:sz w:val="21"/>
      <w:szCs w:val="21"/>
      <w:lang w:eastAsia="es-CR"/>
    </w:rPr>
  </w:style>
  <w:style w:type="character" w:customStyle="1" w:styleId="app-page-detaildocumentanyCharacter">
    <w:name w:val="app-page-detail_document_any Character"/>
    <w:rsid w:val="002A7367"/>
    <w:rPr>
      <w:rFonts w:ascii="Arial" w:eastAsia="Times New Roman" w:hAnsi="Arial" w:cs="Arial"/>
      <w:color w:val="000000"/>
      <w:sz w:val="21"/>
      <w:szCs w:val="21"/>
      <w:bdr w:val="none" w:sz="0" w:space="0" w:color="auto"/>
    </w:rPr>
  </w:style>
  <w:style w:type="character" w:customStyle="1" w:styleId="example1">
    <w:name w:val="example1"/>
    <w:rsid w:val="002A7367"/>
  </w:style>
  <w:style w:type="character" w:styleId="nfasisintenso">
    <w:name w:val="Intense Emphasis"/>
    <w:uiPriority w:val="21"/>
    <w:qFormat/>
    <w:rsid w:val="002A7367"/>
    <w:rPr>
      <w:i/>
      <w:iCs/>
      <w:color w:val="4472C4"/>
    </w:rPr>
  </w:style>
  <w:style w:type="character" w:customStyle="1" w:styleId="NormalWebCar">
    <w:name w:val="Normal (Web) Car"/>
    <w:link w:val="NormalWeb"/>
    <w:uiPriority w:val="99"/>
    <w:qFormat/>
    <w:locked/>
    <w:rsid w:val="002A7367"/>
    <w:rPr>
      <w:rFonts w:eastAsia="Times New Roman" w:cs="Calibri"/>
      <w:sz w:val="24"/>
      <w:szCs w:val="24"/>
      <w:lang w:val="es-ES" w:eastAsia="es-ES"/>
    </w:rPr>
  </w:style>
  <w:style w:type="paragraph" w:customStyle="1" w:styleId="Autocorrecci3f">
    <w:name w:val="Autocorrecci?3f"/>
    <w:uiPriority w:val="99"/>
    <w:qFormat/>
    <w:rsid w:val="002A7367"/>
    <w:pPr>
      <w:autoSpaceDE w:val="0"/>
      <w:autoSpaceDN w:val="0"/>
      <w:adjustRightInd w:val="0"/>
    </w:pPr>
    <w:rPr>
      <w:rFonts w:ascii="Arial" w:eastAsia="Times New Roman" w:hAnsi="Arial" w:cs="Arial"/>
      <w:color w:val="000000"/>
      <w:u w:val="single"/>
      <w:lang w:val="es-ES" w:eastAsia="es-ES"/>
    </w:rPr>
  </w:style>
  <w:style w:type="character" w:styleId="Refdecomentario">
    <w:name w:val="annotation reference"/>
    <w:uiPriority w:val="99"/>
    <w:unhideWhenUsed/>
    <w:qFormat/>
    <w:rsid w:val="002A7367"/>
    <w:rPr>
      <w:sz w:val="16"/>
      <w:szCs w:val="16"/>
    </w:rPr>
  </w:style>
  <w:style w:type="paragraph" w:styleId="Textocomentario">
    <w:name w:val="annotation text"/>
    <w:basedOn w:val="Normal"/>
    <w:link w:val="TextocomentarioCar"/>
    <w:uiPriority w:val="99"/>
    <w:unhideWhenUsed/>
    <w:qFormat/>
    <w:rsid w:val="002A7367"/>
    <w:pPr>
      <w:widowControl w:val="0"/>
      <w:autoSpaceDE w:val="0"/>
      <w:autoSpaceDN w:val="0"/>
      <w:adjustRightInd w:val="0"/>
      <w:spacing w:after="0" w:line="240" w:lineRule="auto"/>
    </w:pPr>
    <w:rPr>
      <w:rFonts w:ascii="Arial" w:eastAsia="Times New Roman" w:hAnsi="Arial" w:cs="Arial"/>
      <w:color w:val="000000"/>
      <w:sz w:val="20"/>
      <w:szCs w:val="20"/>
      <w:lang w:val="es-ES" w:eastAsia="es-ES"/>
    </w:rPr>
  </w:style>
  <w:style w:type="character" w:customStyle="1" w:styleId="TextocomentarioCar">
    <w:name w:val="Texto comentario Car"/>
    <w:link w:val="Textocomentario"/>
    <w:uiPriority w:val="99"/>
    <w:qFormat/>
    <w:rsid w:val="002A7367"/>
    <w:rPr>
      <w:rFonts w:ascii="Arial" w:eastAsia="Times New Roman" w:hAnsi="Arial" w:cs="Arial"/>
      <w:color w:val="000000"/>
      <w:lang w:val="es-ES" w:eastAsia="es-ES"/>
    </w:rPr>
  </w:style>
  <w:style w:type="paragraph" w:styleId="Asuntodelcomentario">
    <w:name w:val="annotation subject"/>
    <w:basedOn w:val="Textocomentario"/>
    <w:next w:val="Textocomentario"/>
    <w:link w:val="AsuntodelcomentarioCar"/>
    <w:uiPriority w:val="99"/>
    <w:semiHidden/>
    <w:unhideWhenUsed/>
    <w:rsid w:val="002A7367"/>
    <w:rPr>
      <w:b/>
      <w:bCs/>
    </w:rPr>
  </w:style>
  <w:style w:type="character" w:customStyle="1" w:styleId="AsuntodelcomentarioCar">
    <w:name w:val="Asunto del comentario Car"/>
    <w:link w:val="Asuntodelcomentario"/>
    <w:uiPriority w:val="99"/>
    <w:semiHidden/>
    <w:rsid w:val="002A7367"/>
    <w:rPr>
      <w:rFonts w:ascii="Arial" w:eastAsia="Times New Roman" w:hAnsi="Arial" w:cs="Arial"/>
      <w:b/>
      <w:bCs/>
      <w:color w:val="000000"/>
      <w:lang w:val="es-ES" w:eastAsia="es-ES"/>
    </w:rPr>
  </w:style>
  <w:style w:type="paragraph" w:customStyle="1" w:styleId="Predeterminado">
    <w:name w:val="Predeterminado"/>
    <w:rsid w:val="002A7367"/>
    <w:pPr>
      <w:widowControl w:val="0"/>
      <w:autoSpaceDE w:val="0"/>
      <w:autoSpaceDN w:val="0"/>
      <w:adjustRightInd w:val="0"/>
    </w:pPr>
    <w:rPr>
      <w:rFonts w:ascii="Arial" w:eastAsia="Times New Roman" w:hAnsi="Arial" w:cs="Arial"/>
      <w:kern w:val="1"/>
      <w:sz w:val="24"/>
      <w:szCs w:val="24"/>
      <w:lang w:val="es-ES" w:eastAsia="es-ES"/>
    </w:rPr>
  </w:style>
  <w:style w:type="table" w:customStyle="1" w:styleId="TableGrid">
    <w:name w:val="TableGrid"/>
    <w:rsid w:val="001C1770"/>
    <w:rPr>
      <w:rFonts w:eastAsia="Times New Roman"/>
      <w:sz w:val="22"/>
      <w:szCs w:val="22"/>
      <w:lang w:val="es-ES" w:eastAsia="es-ES"/>
    </w:rPr>
    <w:tblPr>
      <w:tblCellMar>
        <w:top w:w="0" w:type="dxa"/>
        <w:left w:w="0" w:type="dxa"/>
        <w:bottom w:w="0" w:type="dxa"/>
        <w:right w:w="0" w:type="dxa"/>
      </w:tblCellMar>
    </w:tblPr>
  </w:style>
  <w:style w:type="table" w:customStyle="1" w:styleId="TableGrid1">
    <w:name w:val="TableGrid1"/>
    <w:rsid w:val="00031275"/>
    <w:rPr>
      <w:rFonts w:eastAsia="Times New Roman"/>
      <w:sz w:val="22"/>
      <w:szCs w:val="22"/>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D15300"/>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D4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9"/>
    <w:semiHidden/>
    <w:rsid w:val="00BF24C2"/>
    <w:rPr>
      <w:rFonts w:ascii="Calibri Light" w:eastAsia="Times New Roman" w:hAnsi="Calibri Light" w:cs="Times New Roman"/>
      <w:b/>
      <w:bCs/>
      <w:sz w:val="26"/>
      <w:szCs w:val="26"/>
      <w:lang w:eastAsia="en-US"/>
    </w:rPr>
  </w:style>
  <w:style w:type="paragraph" w:customStyle="1" w:styleId="heading5">
    <w:name w:val="heading5"/>
    <w:basedOn w:val="Normal"/>
    <w:rsid w:val="008C6C19"/>
    <w:pPr>
      <w:keepNext/>
      <w:numPr>
        <w:numId w:val="3"/>
      </w:numPr>
      <w:shd w:val="clear" w:color="auto" w:fill="FFFFFF"/>
      <w:spacing w:after="0" w:line="240" w:lineRule="auto"/>
      <w:ind w:left="0" w:firstLine="0"/>
      <w:jc w:val="center"/>
    </w:pPr>
    <w:rPr>
      <w:rFonts w:ascii="Times New Roman" w:eastAsia="Times New Roman" w:hAnsi="Times New Roman"/>
      <w:b/>
      <w:bCs/>
      <w:i/>
      <w:iCs/>
      <w:sz w:val="26"/>
      <w:szCs w:val="26"/>
      <w:u w:val="single"/>
      <w:lang w:val="es-ES" w:eastAsia="es-ES"/>
    </w:rPr>
  </w:style>
  <w:style w:type="paragraph" w:customStyle="1" w:styleId="xmsonormal">
    <w:name w:val="x_msonormal"/>
    <w:basedOn w:val="Normal"/>
    <w:rsid w:val="006D2955"/>
    <w:pPr>
      <w:spacing w:after="0" w:line="240" w:lineRule="auto"/>
    </w:pPr>
    <w:rPr>
      <w:rFonts w:cs="Calibri"/>
      <w:lang w:eastAsia="es-CR"/>
    </w:rPr>
  </w:style>
  <w:style w:type="character" w:customStyle="1" w:styleId="Ttulo4Car">
    <w:name w:val="Título 4 Car"/>
    <w:link w:val="Ttulo4"/>
    <w:uiPriority w:val="9"/>
    <w:semiHidden/>
    <w:rsid w:val="0020707F"/>
    <w:rPr>
      <w:rFonts w:ascii="Calibri" w:eastAsia="Times New Roman" w:hAnsi="Calibri" w:cs="Times New Roman"/>
      <w:b/>
      <w:bCs/>
      <w:sz w:val="28"/>
      <w:szCs w:val="28"/>
      <w:lang w:eastAsia="en-US"/>
    </w:rPr>
  </w:style>
  <w:style w:type="table" w:customStyle="1" w:styleId="TableGrid2">
    <w:name w:val="TableGrid2"/>
    <w:rsid w:val="00DC4F9B"/>
    <w:rPr>
      <w:rFonts w:eastAsia="Times New Roman"/>
      <w:sz w:val="22"/>
      <w:szCs w:val="22"/>
    </w:rPr>
    <w:tblPr>
      <w:tblCellMar>
        <w:top w:w="0" w:type="dxa"/>
        <w:left w:w="0" w:type="dxa"/>
        <w:bottom w:w="0" w:type="dxa"/>
        <w:right w:w="0" w:type="dxa"/>
      </w:tblCellMar>
    </w:tblPr>
  </w:style>
  <w:style w:type="paragraph" w:customStyle="1" w:styleId="Bencabezado">
    <w:name w:val="B  encabezado"/>
    <w:basedOn w:val="Normal"/>
    <w:link w:val="BencabezadoCar"/>
    <w:qFormat/>
    <w:rsid w:val="00666C4D"/>
    <w:pPr>
      <w:suppressAutoHyphens/>
      <w:spacing w:after="0" w:line="480" w:lineRule="auto"/>
      <w:ind w:firstLine="708"/>
      <w:jc w:val="both"/>
    </w:pPr>
    <w:rPr>
      <w:rFonts w:ascii="Times New Roman" w:eastAsia="Times New Roman" w:hAnsi="Times New Roman"/>
      <w:color w:val="000099"/>
      <w:sz w:val="28"/>
      <w:szCs w:val="28"/>
      <w:lang w:val="es-ES_tradnl" w:eastAsia="ar-SA"/>
    </w:rPr>
  </w:style>
  <w:style w:type="character" w:customStyle="1" w:styleId="BencabezadoCar">
    <w:name w:val="B  encabezado Car"/>
    <w:link w:val="Bencabezado"/>
    <w:qFormat/>
    <w:rsid w:val="00666C4D"/>
    <w:rPr>
      <w:rFonts w:ascii="Times New Roman" w:eastAsia="Times New Roman" w:hAnsi="Times New Roman"/>
      <w:color w:val="000099"/>
      <w:sz w:val="28"/>
      <w:szCs w:val="28"/>
      <w:lang w:val="es-ES_tradnl" w:eastAsia="ar-SA"/>
    </w:rPr>
  </w:style>
  <w:style w:type="paragraph" w:customStyle="1" w:styleId="Car2">
    <w:name w:val="Car2"/>
    <w:basedOn w:val="Normal"/>
    <w:semiHidden/>
    <w:rsid w:val="001A29FE"/>
    <w:pPr>
      <w:spacing w:line="240" w:lineRule="exact"/>
    </w:pPr>
    <w:rPr>
      <w:rFonts w:ascii="Verdana" w:eastAsia="Times New Roman" w:hAnsi="Verdana"/>
      <w:sz w:val="20"/>
      <w:szCs w:val="21"/>
      <w:lang w:val="en-AU"/>
    </w:rPr>
  </w:style>
  <w:style w:type="paragraph" w:customStyle="1" w:styleId="Normal2">
    <w:name w:val="Normal2"/>
    <w:rsid w:val="00F11098"/>
    <w:pPr>
      <w:suppressAutoHyphens/>
    </w:pPr>
    <w:rPr>
      <w:rFonts w:ascii="Times New Roman" w:eastAsia="Times New Roman" w:hAnsi="Times New Roman"/>
      <w:sz w:val="24"/>
      <w:lang w:val="es-ES"/>
    </w:rPr>
  </w:style>
  <w:style w:type="paragraph" w:customStyle="1" w:styleId="Textoindependiente21">
    <w:name w:val="Texto independiente 21"/>
    <w:basedOn w:val="Normal"/>
    <w:rsid w:val="00F11098"/>
    <w:pPr>
      <w:suppressAutoHyphens/>
      <w:spacing w:after="0" w:line="360" w:lineRule="auto"/>
      <w:jc w:val="both"/>
    </w:pPr>
    <w:rPr>
      <w:rFonts w:ascii="Bookman Old Style" w:eastAsia="Times New Roman" w:hAnsi="Bookman Old Style" w:cs="Bookman Old Style"/>
      <w:i/>
      <w:spacing w:val="-3"/>
      <w:sz w:val="24"/>
      <w:szCs w:val="20"/>
      <w:lang w:val="es-ES" w:eastAsia="zh-CN"/>
    </w:rPr>
  </w:style>
  <w:style w:type="paragraph" w:customStyle="1" w:styleId="Ttulo30">
    <w:name w:val="T’tulo 3"/>
    <w:basedOn w:val="Normal"/>
    <w:next w:val="Normal"/>
    <w:rsid w:val="000B25A3"/>
    <w:pPr>
      <w:keepNext/>
      <w:suppressAutoHyphens/>
      <w:overflowPunct w:val="0"/>
      <w:autoSpaceDE w:val="0"/>
      <w:spacing w:after="0" w:line="240" w:lineRule="auto"/>
      <w:jc w:val="center"/>
      <w:textAlignment w:val="baseline"/>
    </w:pPr>
    <w:rPr>
      <w:rFonts w:ascii="Times New Roman" w:eastAsia="Times New Roman" w:hAnsi="Times New Roman"/>
      <w:b/>
      <w:sz w:val="24"/>
      <w:szCs w:val="20"/>
      <w:lang w:val="es-ES" w:eastAsia="zh-CN"/>
    </w:rPr>
  </w:style>
  <w:style w:type="table" w:customStyle="1" w:styleId="TableGrid3">
    <w:name w:val="TableGrid3"/>
    <w:rsid w:val="00AC2A1D"/>
    <w:rPr>
      <w:rFonts w:eastAsia="Times New Roman"/>
      <w:sz w:val="22"/>
      <w:szCs w:val="22"/>
    </w:rPr>
    <w:tblPr>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D41901"/>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1 Car,Use Case List Paragraph Car,Lista vistosa - Énfasis 11 Car,Párrafo de lista Car Car Car Car,List Paragraph Car,Footnote Car,List Paragraph2 Car,Informe Car,FooterText Car,numbered Car,Paragraphe de liste1 Car,列出段落 Car"/>
    <w:link w:val="Prrafodelista"/>
    <w:uiPriority w:val="34"/>
    <w:locked/>
    <w:rsid w:val="00C16268"/>
    <w:rPr>
      <w:rFonts w:eastAsia="Times New Roman" w:cs="Calibri"/>
      <w:sz w:val="22"/>
      <w:szCs w:val="22"/>
      <w:lang w:val="es-ES" w:eastAsia="es-ES"/>
    </w:rPr>
  </w:style>
  <w:style w:type="character" w:customStyle="1" w:styleId="normaltextrun">
    <w:name w:val="normaltextrun"/>
    <w:basedOn w:val="Fuentedeprrafopredeter"/>
    <w:rsid w:val="00A00C92"/>
  </w:style>
  <w:style w:type="character" w:customStyle="1" w:styleId="ui-provider">
    <w:name w:val="ui-provider"/>
    <w:basedOn w:val="Fuentedeprrafopredeter"/>
    <w:rsid w:val="00D75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7248">
      <w:bodyDiv w:val="1"/>
      <w:marLeft w:val="0"/>
      <w:marRight w:val="0"/>
      <w:marTop w:val="0"/>
      <w:marBottom w:val="0"/>
      <w:divBdr>
        <w:top w:val="none" w:sz="0" w:space="0" w:color="auto"/>
        <w:left w:val="none" w:sz="0" w:space="0" w:color="auto"/>
        <w:bottom w:val="none" w:sz="0" w:space="0" w:color="auto"/>
        <w:right w:val="none" w:sz="0" w:space="0" w:color="auto"/>
      </w:divBdr>
    </w:div>
    <w:div w:id="119308205">
      <w:bodyDiv w:val="1"/>
      <w:marLeft w:val="0"/>
      <w:marRight w:val="0"/>
      <w:marTop w:val="0"/>
      <w:marBottom w:val="0"/>
      <w:divBdr>
        <w:top w:val="none" w:sz="0" w:space="0" w:color="auto"/>
        <w:left w:val="none" w:sz="0" w:space="0" w:color="auto"/>
        <w:bottom w:val="none" w:sz="0" w:space="0" w:color="auto"/>
        <w:right w:val="none" w:sz="0" w:space="0" w:color="auto"/>
      </w:divBdr>
    </w:div>
    <w:div w:id="123550734">
      <w:bodyDiv w:val="1"/>
      <w:marLeft w:val="0"/>
      <w:marRight w:val="0"/>
      <w:marTop w:val="0"/>
      <w:marBottom w:val="0"/>
      <w:divBdr>
        <w:top w:val="none" w:sz="0" w:space="0" w:color="auto"/>
        <w:left w:val="none" w:sz="0" w:space="0" w:color="auto"/>
        <w:bottom w:val="none" w:sz="0" w:space="0" w:color="auto"/>
        <w:right w:val="none" w:sz="0" w:space="0" w:color="auto"/>
      </w:divBdr>
    </w:div>
    <w:div w:id="184246407">
      <w:bodyDiv w:val="1"/>
      <w:marLeft w:val="0"/>
      <w:marRight w:val="0"/>
      <w:marTop w:val="0"/>
      <w:marBottom w:val="0"/>
      <w:divBdr>
        <w:top w:val="none" w:sz="0" w:space="0" w:color="auto"/>
        <w:left w:val="none" w:sz="0" w:space="0" w:color="auto"/>
        <w:bottom w:val="none" w:sz="0" w:space="0" w:color="auto"/>
        <w:right w:val="none" w:sz="0" w:space="0" w:color="auto"/>
      </w:divBdr>
    </w:div>
    <w:div w:id="206766908">
      <w:bodyDiv w:val="1"/>
      <w:marLeft w:val="0"/>
      <w:marRight w:val="0"/>
      <w:marTop w:val="0"/>
      <w:marBottom w:val="0"/>
      <w:divBdr>
        <w:top w:val="none" w:sz="0" w:space="0" w:color="auto"/>
        <w:left w:val="none" w:sz="0" w:space="0" w:color="auto"/>
        <w:bottom w:val="none" w:sz="0" w:space="0" w:color="auto"/>
        <w:right w:val="none" w:sz="0" w:space="0" w:color="auto"/>
      </w:divBdr>
    </w:div>
    <w:div w:id="211038902">
      <w:bodyDiv w:val="1"/>
      <w:marLeft w:val="0"/>
      <w:marRight w:val="0"/>
      <w:marTop w:val="0"/>
      <w:marBottom w:val="0"/>
      <w:divBdr>
        <w:top w:val="none" w:sz="0" w:space="0" w:color="auto"/>
        <w:left w:val="none" w:sz="0" w:space="0" w:color="auto"/>
        <w:bottom w:val="none" w:sz="0" w:space="0" w:color="auto"/>
        <w:right w:val="none" w:sz="0" w:space="0" w:color="auto"/>
      </w:divBdr>
    </w:div>
    <w:div w:id="351566811">
      <w:bodyDiv w:val="1"/>
      <w:marLeft w:val="0"/>
      <w:marRight w:val="0"/>
      <w:marTop w:val="0"/>
      <w:marBottom w:val="0"/>
      <w:divBdr>
        <w:top w:val="none" w:sz="0" w:space="0" w:color="auto"/>
        <w:left w:val="none" w:sz="0" w:space="0" w:color="auto"/>
        <w:bottom w:val="none" w:sz="0" w:space="0" w:color="auto"/>
        <w:right w:val="none" w:sz="0" w:space="0" w:color="auto"/>
      </w:divBdr>
    </w:div>
    <w:div w:id="384452907">
      <w:bodyDiv w:val="1"/>
      <w:marLeft w:val="0"/>
      <w:marRight w:val="0"/>
      <w:marTop w:val="0"/>
      <w:marBottom w:val="0"/>
      <w:divBdr>
        <w:top w:val="none" w:sz="0" w:space="0" w:color="auto"/>
        <w:left w:val="none" w:sz="0" w:space="0" w:color="auto"/>
        <w:bottom w:val="none" w:sz="0" w:space="0" w:color="auto"/>
        <w:right w:val="none" w:sz="0" w:space="0" w:color="auto"/>
      </w:divBdr>
    </w:div>
    <w:div w:id="446047632">
      <w:bodyDiv w:val="1"/>
      <w:marLeft w:val="0"/>
      <w:marRight w:val="0"/>
      <w:marTop w:val="0"/>
      <w:marBottom w:val="0"/>
      <w:divBdr>
        <w:top w:val="none" w:sz="0" w:space="0" w:color="auto"/>
        <w:left w:val="none" w:sz="0" w:space="0" w:color="auto"/>
        <w:bottom w:val="none" w:sz="0" w:space="0" w:color="auto"/>
        <w:right w:val="none" w:sz="0" w:space="0" w:color="auto"/>
      </w:divBdr>
    </w:div>
    <w:div w:id="507063011">
      <w:bodyDiv w:val="1"/>
      <w:marLeft w:val="0"/>
      <w:marRight w:val="0"/>
      <w:marTop w:val="0"/>
      <w:marBottom w:val="0"/>
      <w:divBdr>
        <w:top w:val="none" w:sz="0" w:space="0" w:color="auto"/>
        <w:left w:val="none" w:sz="0" w:space="0" w:color="auto"/>
        <w:bottom w:val="none" w:sz="0" w:space="0" w:color="auto"/>
        <w:right w:val="none" w:sz="0" w:space="0" w:color="auto"/>
      </w:divBdr>
    </w:div>
    <w:div w:id="516848466">
      <w:bodyDiv w:val="1"/>
      <w:marLeft w:val="0"/>
      <w:marRight w:val="0"/>
      <w:marTop w:val="0"/>
      <w:marBottom w:val="0"/>
      <w:divBdr>
        <w:top w:val="none" w:sz="0" w:space="0" w:color="auto"/>
        <w:left w:val="none" w:sz="0" w:space="0" w:color="auto"/>
        <w:bottom w:val="none" w:sz="0" w:space="0" w:color="auto"/>
        <w:right w:val="none" w:sz="0" w:space="0" w:color="auto"/>
      </w:divBdr>
    </w:div>
    <w:div w:id="550581615">
      <w:bodyDiv w:val="1"/>
      <w:marLeft w:val="0"/>
      <w:marRight w:val="0"/>
      <w:marTop w:val="0"/>
      <w:marBottom w:val="0"/>
      <w:divBdr>
        <w:top w:val="none" w:sz="0" w:space="0" w:color="auto"/>
        <w:left w:val="none" w:sz="0" w:space="0" w:color="auto"/>
        <w:bottom w:val="none" w:sz="0" w:space="0" w:color="auto"/>
        <w:right w:val="none" w:sz="0" w:space="0" w:color="auto"/>
      </w:divBdr>
    </w:div>
    <w:div w:id="553782009">
      <w:bodyDiv w:val="1"/>
      <w:marLeft w:val="0"/>
      <w:marRight w:val="0"/>
      <w:marTop w:val="0"/>
      <w:marBottom w:val="0"/>
      <w:divBdr>
        <w:top w:val="none" w:sz="0" w:space="0" w:color="auto"/>
        <w:left w:val="none" w:sz="0" w:space="0" w:color="auto"/>
        <w:bottom w:val="none" w:sz="0" w:space="0" w:color="auto"/>
        <w:right w:val="none" w:sz="0" w:space="0" w:color="auto"/>
      </w:divBdr>
    </w:div>
    <w:div w:id="589044446">
      <w:bodyDiv w:val="1"/>
      <w:marLeft w:val="0"/>
      <w:marRight w:val="0"/>
      <w:marTop w:val="0"/>
      <w:marBottom w:val="0"/>
      <w:divBdr>
        <w:top w:val="none" w:sz="0" w:space="0" w:color="auto"/>
        <w:left w:val="none" w:sz="0" w:space="0" w:color="auto"/>
        <w:bottom w:val="none" w:sz="0" w:space="0" w:color="auto"/>
        <w:right w:val="none" w:sz="0" w:space="0" w:color="auto"/>
      </w:divBdr>
    </w:div>
    <w:div w:id="589967823">
      <w:bodyDiv w:val="1"/>
      <w:marLeft w:val="0"/>
      <w:marRight w:val="0"/>
      <w:marTop w:val="0"/>
      <w:marBottom w:val="0"/>
      <w:divBdr>
        <w:top w:val="none" w:sz="0" w:space="0" w:color="auto"/>
        <w:left w:val="none" w:sz="0" w:space="0" w:color="auto"/>
        <w:bottom w:val="none" w:sz="0" w:space="0" w:color="auto"/>
        <w:right w:val="none" w:sz="0" w:space="0" w:color="auto"/>
      </w:divBdr>
    </w:div>
    <w:div w:id="690423988">
      <w:bodyDiv w:val="1"/>
      <w:marLeft w:val="0"/>
      <w:marRight w:val="0"/>
      <w:marTop w:val="0"/>
      <w:marBottom w:val="0"/>
      <w:divBdr>
        <w:top w:val="none" w:sz="0" w:space="0" w:color="auto"/>
        <w:left w:val="none" w:sz="0" w:space="0" w:color="auto"/>
        <w:bottom w:val="none" w:sz="0" w:space="0" w:color="auto"/>
        <w:right w:val="none" w:sz="0" w:space="0" w:color="auto"/>
      </w:divBdr>
    </w:div>
    <w:div w:id="695036211">
      <w:bodyDiv w:val="1"/>
      <w:marLeft w:val="0"/>
      <w:marRight w:val="0"/>
      <w:marTop w:val="0"/>
      <w:marBottom w:val="0"/>
      <w:divBdr>
        <w:top w:val="none" w:sz="0" w:space="0" w:color="auto"/>
        <w:left w:val="none" w:sz="0" w:space="0" w:color="auto"/>
        <w:bottom w:val="none" w:sz="0" w:space="0" w:color="auto"/>
        <w:right w:val="none" w:sz="0" w:space="0" w:color="auto"/>
      </w:divBdr>
    </w:div>
    <w:div w:id="838815785">
      <w:bodyDiv w:val="1"/>
      <w:marLeft w:val="0"/>
      <w:marRight w:val="0"/>
      <w:marTop w:val="0"/>
      <w:marBottom w:val="0"/>
      <w:divBdr>
        <w:top w:val="none" w:sz="0" w:space="0" w:color="auto"/>
        <w:left w:val="none" w:sz="0" w:space="0" w:color="auto"/>
        <w:bottom w:val="none" w:sz="0" w:space="0" w:color="auto"/>
        <w:right w:val="none" w:sz="0" w:space="0" w:color="auto"/>
      </w:divBdr>
    </w:div>
    <w:div w:id="841822341">
      <w:bodyDiv w:val="1"/>
      <w:marLeft w:val="0"/>
      <w:marRight w:val="0"/>
      <w:marTop w:val="0"/>
      <w:marBottom w:val="0"/>
      <w:divBdr>
        <w:top w:val="none" w:sz="0" w:space="0" w:color="auto"/>
        <w:left w:val="none" w:sz="0" w:space="0" w:color="auto"/>
        <w:bottom w:val="none" w:sz="0" w:space="0" w:color="auto"/>
        <w:right w:val="none" w:sz="0" w:space="0" w:color="auto"/>
      </w:divBdr>
    </w:div>
    <w:div w:id="848711555">
      <w:bodyDiv w:val="1"/>
      <w:marLeft w:val="0"/>
      <w:marRight w:val="0"/>
      <w:marTop w:val="0"/>
      <w:marBottom w:val="0"/>
      <w:divBdr>
        <w:top w:val="none" w:sz="0" w:space="0" w:color="auto"/>
        <w:left w:val="none" w:sz="0" w:space="0" w:color="auto"/>
        <w:bottom w:val="none" w:sz="0" w:space="0" w:color="auto"/>
        <w:right w:val="none" w:sz="0" w:space="0" w:color="auto"/>
      </w:divBdr>
    </w:div>
    <w:div w:id="883256388">
      <w:bodyDiv w:val="1"/>
      <w:marLeft w:val="0"/>
      <w:marRight w:val="0"/>
      <w:marTop w:val="0"/>
      <w:marBottom w:val="0"/>
      <w:divBdr>
        <w:top w:val="none" w:sz="0" w:space="0" w:color="auto"/>
        <w:left w:val="none" w:sz="0" w:space="0" w:color="auto"/>
        <w:bottom w:val="none" w:sz="0" w:space="0" w:color="auto"/>
        <w:right w:val="none" w:sz="0" w:space="0" w:color="auto"/>
      </w:divBdr>
    </w:div>
    <w:div w:id="1071123256">
      <w:bodyDiv w:val="1"/>
      <w:marLeft w:val="0"/>
      <w:marRight w:val="0"/>
      <w:marTop w:val="0"/>
      <w:marBottom w:val="0"/>
      <w:divBdr>
        <w:top w:val="none" w:sz="0" w:space="0" w:color="auto"/>
        <w:left w:val="none" w:sz="0" w:space="0" w:color="auto"/>
        <w:bottom w:val="none" w:sz="0" w:space="0" w:color="auto"/>
        <w:right w:val="none" w:sz="0" w:space="0" w:color="auto"/>
      </w:divBdr>
    </w:div>
    <w:div w:id="1253396108">
      <w:bodyDiv w:val="1"/>
      <w:marLeft w:val="0"/>
      <w:marRight w:val="0"/>
      <w:marTop w:val="0"/>
      <w:marBottom w:val="0"/>
      <w:divBdr>
        <w:top w:val="none" w:sz="0" w:space="0" w:color="auto"/>
        <w:left w:val="none" w:sz="0" w:space="0" w:color="auto"/>
        <w:bottom w:val="none" w:sz="0" w:space="0" w:color="auto"/>
        <w:right w:val="none" w:sz="0" w:space="0" w:color="auto"/>
      </w:divBdr>
    </w:div>
    <w:div w:id="1330137535">
      <w:bodyDiv w:val="1"/>
      <w:marLeft w:val="0"/>
      <w:marRight w:val="0"/>
      <w:marTop w:val="0"/>
      <w:marBottom w:val="0"/>
      <w:divBdr>
        <w:top w:val="none" w:sz="0" w:space="0" w:color="auto"/>
        <w:left w:val="none" w:sz="0" w:space="0" w:color="auto"/>
        <w:bottom w:val="none" w:sz="0" w:space="0" w:color="auto"/>
        <w:right w:val="none" w:sz="0" w:space="0" w:color="auto"/>
      </w:divBdr>
    </w:div>
    <w:div w:id="1409691786">
      <w:bodyDiv w:val="1"/>
      <w:marLeft w:val="0"/>
      <w:marRight w:val="0"/>
      <w:marTop w:val="0"/>
      <w:marBottom w:val="0"/>
      <w:divBdr>
        <w:top w:val="none" w:sz="0" w:space="0" w:color="auto"/>
        <w:left w:val="none" w:sz="0" w:space="0" w:color="auto"/>
        <w:bottom w:val="none" w:sz="0" w:space="0" w:color="auto"/>
        <w:right w:val="none" w:sz="0" w:space="0" w:color="auto"/>
      </w:divBdr>
    </w:div>
    <w:div w:id="1509128928">
      <w:bodyDiv w:val="1"/>
      <w:marLeft w:val="0"/>
      <w:marRight w:val="0"/>
      <w:marTop w:val="0"/>
      <w:marBottom w:val="0"/>
      <w:divBdr>
        <w:top w:val="none" w:sz="0" w:space="0" w:color="auto"/>
        <w:left w:val="none" w:sz="0" w:space="0" w:color="auto"/>
        <w:bottom w:val="none" w:sz="0" w:space="0" w:color="auto"/>
        <w:right w:val="none" w:sz="0" w:space="0" w:color="auto"/>
      </w:divBdr>
    </w:div>
    <w:div w:id="1520776812">
      <w:bodyDiv w:val="1"/>
      <w:marLeft w:val="0"/>
      <w:marRight w:val="0"/>
      <w:marTop w:val="0"/>
      <w:marBottom w:val="0"/>
      <w:divBdr>
        <w:top w:val="none" w:sz="0" w:space="0" w:color="auto"/>
        <w:left w:val="none" w:sz="0" w:space="0" w:color="auto"/>
        <w:bottom w:val="none" w:sz="0" w:space="0" w:color="auto"/>
        <w:right w:val="none" w:sz="0" w:space="0" w:color="auto"/>
      </w:divBdr>
      <w:divsChild>
        <w:div w:id="149639597">
          <w:marLeft w:val="274"/>
          <w:marRight w:val="0"/>
          <w:marTop w:val="0"/>
          <w:marBottom w:val="0"/>
          <w:divBdr>
            <w:top w:val="none" w:sz="0" w:space="0" w:color="auto"/>
            <w:left w:val="none" w:sz="0" w:space="0" w:color="auto"/>
            <w:bottom w:val="none" w:sz="0" w:space="0" w:color="auto"/>
            <w:right w:val="none" w:sz="0" w:space="0" w:color="auto"/>
          </w:divBdr>
        </w:div>
        <w:div w:id="438453620">
          <w:marLeft w:val="274"/>
          <w:marRight w:val="0"/>
          <w:marTop w:val="0"/>
          <w:marBottom w:val="0"/>
          <w:divBdr>
            <w:top w:val="none" w:sz="0" w:space="0" w:color="auto"/>
            <w:left w:val="none" w:sz="0" w:space="0" w:color="auto"/>
            <w:bottom w:val="none" w:sz="0" w:space="0" w:color="auto"/>
            <w:right w:val="none" w:sz="0" w:space="0" w:color="auto"/>
          </w:divBdr>
        </w:div>
        <w:div w:id="461045832">
          <w:marLeft w:val="274"/>
          <w:marRight w:val="0"/>
          <w:marTop w:val="0"/>
          <w:marBottom w:val="0"/>
          <w:divBdr>
            <w:top w:val="none" w:sz="0" w:space="0" w:color="auto"/>
            <w:left w:val="none" w:sz="0" w:space="0" w:color="auto"/>
            <w:bottom w:val="none" w:sz="0" w:space="0" w:color="auto"/>
            <w:right w:val="none" w:sz="0" w:space="0" w:color="auto"/>
          </w:divBdr>
        </w:div>
        <w:div w:id="646327776">
          <w:marLeft w:val="274"/>
          <w:marRight w:val="0"/>
          <w:marTop w:val="0"/>
          <w:marBottom w:val="0"/>
          <w:divBdr>
            <w:top w:val="none" w:sz="0" w:space="0" w:color="auto"/>
            <w:left w:val="none" w:sz="0" w:space="0" w:color="auto"/>
            <w:bottom w:val="none" w:sz="0" w:space="0" w:color="auto"/>
            <w:right w:val="none" w:sz="0" w:space="0" w:color="auto"/>
          </w:divBdr>
        </w:div>
      </w:divsChild>
    </w:div>
    <w:div w:id="1596939411">
      <w:bodyDiv w:val="1"/>
      <w:marLeft w:val="0"/>
      <w:marRight w:val="0"/>
      <w:marTop w:val="0"/>
      <w:marBottom w:val="0"/>
      <w:divBdr>
        <w:top w:val="none" w:sz="0" w:space="0" w:color="auto"/>
        <w:left w:val="none" w:sz="0" w:space="0" w:color="auto"/>
        <w:bottom w:val="none" w:sz="0" w:space="0" w:color="auto"/>
        <w:right w:val="none" w:sz="0" w:space="0" w:color="auto"/>
      </w:divBdr>
    </w:div>
    <w:div w:id="1843548744">
      <w:bodyDiv w:val="1"/>
      <w:marLeft w:val="0"/>
      <w:marRight w:val="0"/>
      <w:marTop w:val="0"/>
      <w:marBottom w:val="0"/>
      <w:divBdr>
        <w:top w:val="none" w:sz="0" w:space="0" w:color="auto"/>
        <w:left w:val="none" w:sz="0" w:space="0" w:color="auto"/>
        <w:bottom w:val="none" w:sz="0" w:space="0" w:color="auto"/>
        <w:right w:val="none" w:sz="0" w:space="0" w:color="auto"/>
      </w:divBdr>
    </w:div>
    <w:div w:id="1851292069">
      <w:bodyDiv w:val="1"/>
      <w:marLeft w:val="0"/>
      <w:marRight w:val="0"/>
      <w:marTop w:val="0"/>
      <w:marBottom w:val="0"/>
      <w:divBdr>
        <w:top w:val="none" w:sz="0" w:space="0" w:color="auto"/>
        <w:left w:val="none" w:sz="0" w:space="0" w:color="auto"/>
        <w:bottom w:val="none" w:sz="0" w:space="0" w:color="auto"/>
        <w:right w:val="none" w:sz="0" w:space="0" w:color="auto"/>
      </w:divBdr>
    </w:div>
    <w:div w:id="1881362545">
      <w:bodyDiv w:val="1"/>
      <w:marLeft w:val="0"/>
      <w:marRight w:val="0"/>
      <w:marTop w:val="0"/>
      <w:marBottom w:val="0"/>
      <w:divBdr>
        <w:top w:val="none" w:sz="0" w:space="0" w:color="auto"/>
        <w:left w:val="none" w:sz="0" w:space="0" w:color="auto"/>
        <w:bottom w:val="none" w:sz="0" w:space="0" w:color="auto"/>
        <w:right w:val="none" w:sz="0" w:space="0" w:color="auto"/>
      </w:divBdr>
    </w:div>
    <w:div w:id="1881547447">
      <w:bodyDiv w:val="1"/>
      <w:marLeft w:val="0"/>
      <w:marRight w:val="0"/>
      <w:marTop w:val="0"/>
      <w:marBottom w:val="0"/>
      <w:divBdr>
        <w:top w:val="none" w:sz="0" w:space="0" w:color="auto"/>
        <w:left w:val="none" w:sz="0" w:space="0" w:color="auto"/>
        <w:bottom w:val="none" w:sz="0" w:space="0" w:color="auto"/>
        <w:right w:val="none" w:sz="0" w:space="0" w:color="auto"/>
      </w:divBdr>
    </w:div>
    <w:div w:id="2100786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A3A2-6B78-486D-9395-7064583E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5610</Words>
  <Characters>30859</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Aguero Monge</dc:creator>
  <cp:keywords/>
  <dc:description/>
  <cp:lastModifiedBy>Walter Jiménez Picado</cp:lastModifiedBy>
  <cp:revision>3</cp:revision>
  <dcterms:created xsi:type="dcterms:W3CDTF">2023-04-11T20:23:00Z</dcterms:created>
  <dcterms:modified xsi:type="dcterms:W3CDTF">2023-04-11T20:50:00Z</dcterms:modified>
</cp:coreProperties>
</file>