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4B8E" w14:textId="77777777" w:rsidR="009D7F46" w:rsidRPr="0070574C" w:rsidRDefault="00000000" w:rsidP="009D09DC">
      <w:pPr>
        <w:spacing w:after="0" w:line="240" w:lineRule="auto"/>
        <w:ind w:left="0" w:right="0" w:firstLine="0"/>
        <w:jc w:val="left"/>
      </w:pPr>
      <w:r w:rsidRPr="0070574C">
        <w:t xml:space="preserve"> </w:t>
      </w:r>
    </w:p>
    <w:tbl>
      <w:tblPr>
        <w:tblStyle w:val="TableGrid"/>
        <w:tblpPr w:vertAnchor="page" w:horzAnchor="margin" w:tblpXSpec="center" w:tblpY="1081"/>
        <w:tblOverlap w:val="never"/>
        <w:tblW w:w="8819" w:type="dxa"/>
        <w:tblInd w:w="0" w:type="dxa"/>
        <w:tblCellMar>
          <w:top w:w="53" w:type="dxa"/>
          <w:left w:w="59" w:type="dxa"/>
          <w:bottom w:w="6" w:type="dxa"/>
        </w:tblCellMar>
        <w:tblLook w:val="04A0" w:firstRow="1" w:lastRow="0" w:firstColumn="1" w:lastColumn="0" w:noHBand="0" w:noVBand="1"/>
      </w:tblPr>
      <w:tblGrid>
        <w:gridCol w:w="1776"/>
        <w:gridCol w:w="7043"/>
      </w:tblGrid>
      <w:tr w:rsidR="009D7F46" w:rsidRPr="0070574C" w14:paraId="6812BB82" w14:textId="77777777" w:rsidTr="004C379C">
        <w:trPr>
          <w:trHeight w:val="881"/>
        </w:trPr>
        <w:tc>
          <w:tcPr>
            <w:tcW w:w="1776" w:type="dxa"/>
            <w:vMerge w:val="restart"/>
            <w:tcBorders>
              <w:top w:val="single" w:sz="8" w:space="0" w:color="000000"/>
              <w:left w:val="single" w:sz="8" w:space="0" w:color="000000"/>
              <w:bottom w:val="single" w:sz="8" w:space="0" w:color="000000"/>
              <w:right w:val="single" w:sz="8" w:space="0" w:color="000000"/>
            </w:tcBorders>
            <w:vAlign w:val="bottom"/>
          </w:tcPr>
          <w:p w14:paraId="26624FF1" w14:textId="77777777" w:rsidR="009D7F46" w:rsidRPr="0070574C" w:rsidRDefault="009D7F46" w:rsidP="009D09DC">
            <w:pPr>
              <w:spacing w:after="0" w:line="240" w:lineRule="auto"/>
              <w:ind w:left="0" w:right="-1" w:firstLine="0"/>
              <w:jc w:val="right"/>
            </w:pPr>
            <w:r w:rsidRPr="0070574C">
              <w:rPr>
                <w:noProof/>
              </w:rPr>
              <w:drawing>
                <wp:inline distT="0" distB="0" distL="0" distR="0" wp14:anchorId="0892E0EA" wp14:editId="05CB1E45">
                  <wp:extent cx="1051560" cy="1051560"/>
                  <wp:effectExtent l="0" t="0" r="0" b="0"/>
                  <wp:docPr id="4" name="Picture 15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Picture 153" descr="Logotipo&#10;&#10;Descripción generada automáticamente"/>
                          <pic:cNvPicPr/>
                        </pic:nvPicPr>
                        <pic:blipFill>
                          <a:blip r:embed="rId11"/>
                          <a:stretch>
                            <a:fillRect/>
                          </a:stretch>
                        </pic:blipFill>
                        <pic:spPr>
                          <a:xfrm>
                            <a:off x="0" y="0"/>
                            <a:ext cx="1051560" cy="1051560"/>
                          </a:xfrm>
                          <a:prstGeom prst="rect">
                            <a:avLst/>
                          </a:prstGeom>
                        </pic:spPr>
                      </pic:pic>
                    </a:graphicData>
                  </a:graphic>
                </wp:inline>
              </w:drawing>
            </w:r>
            <w:r w:rsidRPr="0070574C">
              <w:t xml:space="preserve"> </w:t>
            </w:r>
          </w:p>
        </w:tc>
        <w:tc>
          <w:tcPr>
            <w:tcW w:w="7043" w:type="dxa"/>
            <w:tcBorders>
              <w:top w:val="single" w:sz="8" w:space="0" w:color="000000"/>
              <w:left w:val="single" w:sz="8" w:space="0" w:color="000000"/>
              <w:bottom w:val="single" w:sz="8" w:space="0" w:color="000000"/>
              <w:right w:val="single" w:sz="8" w:space="0" w:color="000000"/>
            </w:tcBorders>
            <w:vAlign w:val="center"/>
          </w:tcPr>
          <w:p w14:paraId="24A1A3B9" w14:textId="77777777" w:rsidR="009D7F46" w:rsidRPr="0070574C" w:rsidRDefault="009D7F46" w:rsidP="009D09DC">
            <w:pPr>
              <w:spacing w:after="0" w:line="240" w:lineRule="auto"/>
              <w:ind w:left="0" w:right="63" w:firstLine="0"/>
              <w:jc w:val="center"/>
            </w:pPr>
            <w:r w:rsidRPr="0070574C">
              <w:rPr>
                <w:b/>
              </w:rPr>
              <w:t>PODER JUDICIAL</w:t>
            </w:r>
            <w:r w:rsidRPr="0070574C">
              <w:t xml:space="preserve"> </w:t>
            </w:r>
          </w:p>
        </w:tc>
      </w:tr>
      <w:tr w:rsidR="009D7F46" w:rsidRPr="0070574C" w14:paraId="2473C680" w14:textId="77777777" w:rsidTr="004C379C">
        <w:trPr>
          <w:trHeight w:val="881"/>
        </w:trPr>
        <w:tc>
          <w:tcPr>
            <w:tcW w:w="0" w:type="auto"/>
            <w:vMerge/>
            <w:tcBorders>
              <w:top w:val="nil"/>
              <w:left w:val="single" w:sz="8" w:space="0" w:color="000000"/>
              <w:bottom w:val="single" w:sz="8" w:space="0" w:color="000000"/>
              <w:right w:val="single" w:sz="8" w:space="0" w:color="000000"/>
            </w:tcBorders>
          </w:tcPr>
          <w:p w14:paraId="31B0591F" w14:textId="77777777" w:rsidR="009D7F46" w:rsidRPr="0070574C" w:rsidRDefault="009D7F46" w:rsidP="009D09DC">
            <w:pPr>
              <w:spacing w:after="0" w:line="240" w:lineRule="auto"/>
              <w:ind w:left="0" w:right="0" w:firstLine="0"/>
              <w:jc w:val="left"/>
            </w:pPr>
          </w:p>
        </w:tc>
        <w:tc>
          <w:tcPr>
            <w:tcW w:w="7043" w:type="dxa"/>
            <w:tcBorders>
              <w:top w:val="single" w:sz="8" w:space="0" w:color="000000"/>
              <w:left w:val="single" w:sz="8" w:space="0" w:color="000000"/>
              <w:bottom w:val="single" w:sz="8" w:space="0" w:color="000000"/>
              <w:right w:val="single" w:sz="8" w:space="0" w:color="000000"/>
            </w:tcBorders>
          </w:tcPr>
          <w:p w14:paraId="5557CD82" w14:textId="014C4E62" w:rsidR="009D7F46" w:rsidRPr="0070574C" w:rsidRDefault="009D7F46" w:rsidP="009D09DC">
            <w:pPr>
              <w:spacing w:after="0" w:line="240" w:lineRule="auto"/>
              <w:ind w:left="0" w:right="0" w:firstLine="0"/>
              <w:jc w:val="center"/>
            </w:pPr>
            <w:r w:rsidRPr="0070574C">
              <w:rPr>
                <w:b/>
              </w:rPr>
              <w:t>Actualización de Análisis de Riesgos de Continuidad del Servicio del Poder Judicial</w:t>
            </w:r>
            <w:r w:rsidRPr="0070574C">
              <w:rPr>
                <w:vertAlign w:val="subscript"/>
              </w:rPr>
              <w:t xml:space="preserve"> </w:t>
            </w:r>
          </w:p>
        </w:tc>
      </w:tr>
    </w:tbl>
    <w:tbl>
      <w:tblPr>
        <w:tblStyle w:val="TableGrid"/>
        <w:tblpPr w:vertAnchor="page" w:horzAnchor="margin" w:tblpXSpec="center" w:tblpY="3131"/>
        <w:tblOverlap w:val="never"/>
        <w:tblW w:w="8819" w:type="dxa"/>
        <w:tblInd w:w="0" w:type="dxa"/>
        <w:tblCellMar>
          <w:top w:w="89" w:type="dxa"/>
          <w:left w:w="122" w:type="dxa"/>
          <w:right w:w="67" w:type="dxa"/>
        </w:tblCellMar>
        <w:tblLook w:val="04A0" w:firstRow="1" w:lastRow="0" w:firstColumn="1" w:lastColumn="0" w:noHBand="0" w:noVBand="1"/>
      </w:tblPr>
      <w:tblGrid>
        <w:gridCol w:w="1763"/>
        <w:gridCol w:w="2036"/>
        <w:gridCol w:w="2036"/>
        <w:gridCol w:w="1493"/>
        <w:gridCol w:w="1491"/>
      </w:tblGrid>
      <w:tr w:rsidR="009D7F46" w:rsidRPr="0070574C" w14:paraId="0F59BEEA" w14:textId="77777777" w:rsidTr="005A54DB">
        <w:trPr>
          <w:trHeight w:val="463"/>
        </w:trPr>
        <w:tc>
          <w:tcPr>
            <w:tcW w:w="1763"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3C0ED96F" w14:textId="304B2FF9" w:rsidR="009D7F46" w:rsidRPr="005A54DB" w:rsidRDefault="009D7F46" w:rsidP="005A54DB">
            <w:pPr>
              <w:spacing w:after="0" w:line="240" w:lineRule="auto"/>
              <w:ind w:left="0" w:right="60" w:firstLine="0"/>
              <w:jc w:val="center"/>
              <w:rPr>
                <w:color w:val="FFFFFF" w:themeColor="background1"/>
                <w:highlight w:val="yellow"/>
              </w:rPr>
            </w:pPr>
            <w:r w:rsidRPr="005A54DB">
              <w:rPr>
                <w:color w:val="FFFFFF" w:themeColor="background1"/>
              </w:rPr>
              <w:t>Código</w:t>
            </w:r>
          </w:p>
        </w:tc>
        <w:tc>
          <w:tcPr>
            <w:tcW w:w="2036"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20B856CA" w14:textId="4F7C434A" w:rsidR="009D7F46" w:rsidRPr="005A54DB" w:rsidRDefault="009D7F46" w:rsidP="005A54DB">
            <w:pPr>
              <w:spacing w:after="0" w:line="240" w:lineRule="auto"/>
              <w:ind w:left="60" w:right="0" w:firstLine="0"/>
              <w:jc w:val="center"/>
              <w:rPr>
                <w:color w:val="FFFFFF" w:themeColor="background1"/>
              </w:rPr>
            </w:pPr>
            <w:r w:rsidRPr="005A54DB">
              <w:rPr>
                <w:color w:val="FFFFFF" w:themeColor="background1"/>
              </w:rPr>
              <w:t>Fecha Elaboración</w:t>
            </w:r>
          </w:p>
        </w:tc>
        <w:tc>
          <w:tcPr>
            <w:tcW w:w="2036"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5AE6373B" w14:textId="6D2E53EF" w:rsidR="009D7F46" w:rsidRPr="005A54DB" w:rsidRDefault="009D7F46" w:rsidP="005A54DB">
            <w:pPr>
              <w:spacing w:after="0" w:line="240" w:lineRule="auto"/>
              <w:ind w:left="0" w:right="0" w:firstLine="0"/>
              <w:jc w:val="center"/>
              <w:rPr>
                <w:color w:val="FFFFFF" w:themeColor="background1"/>
              </w:rPr>
            </w:pPr>
            <w:r w:rsidRPr="005A54DB">
              <w:rPr>
                <w:color w:val="FFFFFF" w:themeColor="background1"/>
              </w:rPr>
              <w:t>Fecha Actualización</w:t>
            </w:r>
          </w:p>
        </w:tc>
        <w:tc>
          <w:tcPr>
            <w:tcW w:w="1493"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4CE1C6F2" w14:textId="2556E0CD" w:rsidR="009D7F46" w:rsidRPr="005A54DB" w:rsidRDefault="009D7F46" w:rsidP="005A54DB">
            <w:pPr>
              <w:spacing w:after="0" w:line="240" w:lineRule="auto"/>
              <w:ind w:left="0" w:right="60" w:firstLine="0"/>
              <w:jc w:val="center"/>
              <w:rPr>
                <w:color w:val="FFFFFF" w:themeColor="background1"/>
              </w:rPr>
            </w:pPr>
            <w:r w:rsidRPr="005A54DB">
              <w:rPr>
                <w:color w:val="FFFFFF" w:themeColor="background1"/>
              </w:rPr>
              <w:t>Nº Revisión</w:t>
            </w:r>
          </w:p>
        </w:tc>
        <w:tc>
          <w:tcPr>
            <w:tcW w:w="1491"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0C9A1D11" w14:textId="10FADE62" w:rsidR="009D7F46" w:rsidRPr="005A54DB" w:rsidRDefault="009D7F46" w:rsidP="005A54DB">
            <w:pPr>
              <w:spacing w:after="0" w:line="240" w:lineRule="auto"/>
              <w:ind w:left="0" w:right="60" w:firstLine="0"/>
              <w:jc w:val="center"/>
              <w:rPr>
                <w:color w:val="FFFFFF" w:themeColor="background1"/>
              </w:rPr>
            </w:pPr>
            <w:r w:rsidRPr="005A54DB">
              <w:rPr>
                <w:color w:val="FFFFFF" w:themeColor="background1"/>
              </w:rPr>
              <w:t>Página</w:t>
            </w:r>
          </w:p>
        </w:tc>
      </w:tr>
      <w:tr w:rsidR="009D7F46" w:rsidRPr="0070574C" w14:paraId="1012AAA1" w14:textId="77777777" w:rsidTr="004C379C">
        <w:trPr>
          <w:trHeight w:val="394"/>
        </w:trPr>
        <w:tc>
          <w:tcPr>
            <w:tcW w:w="1763" w:type="dxa"/>
            <w:tcBorders>
              <w:top w:val="single" w:sz="8" w:space="0" w:color="000000"/>
              <w:left w:val="single" w:sz="8" w:space="0" w:color="000000"/>
              <w:bottom w:val="single" w:sz="8" w:space="0" w:color="000000"/>
              <w:right w:val="single" w:sz="8" w:space="0" w:color="000000"/>
            </w:tcBorders>
          </w:tcPr>
          <w:p w14:paraId="00FDD128" w14:textId="1B45F17B" w:rsidR="009D7F46" w:rsidRPr="0070574C" w:rsidRDefault="00A40892" w:rsidP="009D09DC">
            <w:pPr>
              <w:spacing w:after="0" w:line="240" w:lineRule="auto"/>
              <w:ind w:left="0" w:right="57" w:firstLine="0"/>
              <w:jc w:val="center"/>
              <w:rPr>
                <w:highlight w:val="yellow"/>
              </w:rPr>
            </w:pPr>
            <w:r>
              <w:rPr>
                <w:rStyle w:val="ui-provider"/>
              </w:rPr>
              <w:t>IFME-SGCS-DE-31-1988-008</w:t>
            </w:r>
          </w:p>
        </w:tc>
        <w:tc>
          <w:tcPr>
            <w:tcW w:w="2036" w:type="dxa"/>
            <w:tcBorders>
              <w:top w:val="single" w:sz="8" w:space="0" w:color="000000"/>
              <w:left w:val="single" w:sz="8" w:space="0" w:color="000000"/>
              <w:bottom w:val="single" w:sz="8" w:space="0" w:color="000000"/>
              <w:right w:val="single" w:sz="8" w:space="0" w:color="000000"/>
            </w:tcBorders>
          </w:tcPr>
          <w:p w14:paraId="244D9D36" w14:textId="77777777" w:rsidR="009D7F46" w:rsidRPr="0070574C" w:rsidRDefault="009D7F46" w:rsidP="009D09DC">
            <w:pPr>
              <w:spacing w:after="0" w:line="240" w:lineRule="auto"/>
              <w:ind w:left="0" w:right="59" w:firstLine="0"/>
              <w:jc w:val="center"/>
            </w:pPr>
            <w:r w:rsidRPr="0070574C">
              <w:t xml:space="preserve">06/12/2023 </w:t>
            </w:r>
          </w:p>
        </w:tc>
        <w:tc>
          <w:tcPr>
            <w:tcW w:w="2036" w:type="dxa"/>
            <w:tcBorders>
              <w:top w:val="single" w:sz="8" w:space="0" w:color="000000"/>
              <w:left w:val="single" w:sz="8" w:space="0" w:color="000000"/>
              <w:bottom w:val="single" w:sz="8" w:space="0" w:color="000000"/>
              <w:right w:val="single" w:sz="8" w:space="0" w:color="000000"/>
            </w:tcBorders>
          </w:tcPr>
          <w:p w14:paraId="5094E481" w14:textId="77777777" w:rsidR="009D7F46" w:rsidRPr="0070574C" w:rsidRDefault="009D7F46" w:rsidP="009D09DC">
            <w:pPr>
              <w:spacing w:after="0" w:line="240" w:lineRule="auto"/>
              <w:ind w:left="0" w:right="60" w:firstLine="0"/>
              <w:jc w:val="center"/>
            </w:pPr>
          </w:p>
        </w:tc>
        <w:tc>
          <w:tcPr>
            <w:tcW w:w="1493" w:type="dxa"/>
            <w:tcBorders>
              <w:top w:val="single" w:sz="8" w:space="0" w:color="000000"/>
              <w:left w:val="single" w:sz="8" w:space="0" w:color="000000"/>
              <w:bottom w:val="single" w:sz="8" w:space="0" w:color="000000"/>
              <w:right w:val="single" w:sz="8" w:space="0" w:color="000000"/>
            </w:tcBorders>
          </w:tcPr>
          <w:p w14:paraId="7B0EFD91" w14:textId="77777777" w:rsidR="009D7F46" w:rsidRPr="0070574C" w:rsidRDefault="009D7F46" w:rsidP="009D09DC">
            <w:pPr>
              <w:spacing w:after="0" w:line="240" w:lineRule="auto"/>
              <w:ind w:left="0" w:right="60" w:firstLine="0"/>
              <w:jc w:val="center"/>
            </w:pPr>
            <w:r w:rsidRPr="0070574C">
              <w:t>01</w:t>
            </w:r>
          </w:p>
        </w:tc>
        <w:tc>
          <w:tcPr>
            <w:tcW w:w="1491" w:type="dxa"/>
            <w:tcBorders>
              <w:top w:val="single" w:sz="8" w:space="0" w:color="000000"/>
              <w:left w:val="single" w:sz="8" w:space="0" w:color="000000"/>
              <w:bottom w:val="single" w:sz="8" w:space="0" w:color="000000"/>
              <w:right w:val="single" w:sz="8" w:space="0" w:color="000000"/>
            </w:tcBorders>
          </w:tcPr>
          <w:p w14:paraId="09229DF6" w14:textId="77777777" w:rsidR="009D7F46" w:rsidRPr="0070574C" w:rsidRDefault="009D7F46" w:rsidP="009D09DC">
            <w:pPr>
              <w:spacing w:after="0" w:line="240" w:lineRule="auto"/>
              <w:ind w:left="0" w:right="57" w:firstLine="0"/>
              <w:jc w:val="center"/>
            </w:pPr>
            <w:r w:rsidRPr="0070574C">
              <w:t xml:space="preserve">1 </w:t>
            </w:r>
          </w:p>
        </w:tc>
      </w:tr>
    </w:tbl>
    <w:p w14:paraId="22779DC5" w14:textId="77777777" w:rsidR="00C22498" w:rsidRPr="0070574C" w:rsidRDefault="00C22498" w:rsidP="009D09DC">
      <w:pPr>
        <w:spacing w:after="0" w:line="240" w:lineRule="auto"/>
        <w:ind w:left="0" w:right="0" w:firstLine="0"/>
        <w:jc w:val="left"/>
      </w:pPr>
    </w:p>
    <w:p w14:paraId="6A90F3BC" w14:textId="2DEFE362" w:rsidR="00B23A65" w:rsidRDefault="00000000" w:rsidP="009D09DC">
      <w:pPr>
        <w:spacing w:after="0" w:line="240" w:lineRule="auto"/>
        <w:ind w:left="0" w:right="0" w:firstLine="0"/>
        <w:jc w:val="left"/>
      </w:pPr>
      <w:r w:rsidRPr="0070574C">
        <w:t xml:space="preserve"> </w:t>
      </w:r>
    </w:p>
    <w:p w14:paraId="66F30529" w14:textId="1419D894" w:rsidR="00C22498" w:rsidRDefault="00C22498" w:rsidP="009D09DC">
      <w:pPr>
        <w:spacing w:after="0" w:line="240" w:lineRule="auto"/>
        <w:ind w:left="0" w:right="0" w:firstLine="0"/>
        <w:jc w:val="left"/>
      </w:pPr>
    </w:p>
    <w:p w14:paraId="6C5D4D89" w14:textId="19AC2B35" w:rsidR="00C22498" w:rsidRDefault="00C22498" w:rsidP="009D09DC">
      <w:pPr>
        <w:spacing w:after="0" w:line="240" w:lineRule="auto"/>
        <w:ind w:left="0" w:right="0" w:firstLine="0"/>
        <w:jc w:val="left"/>
      </w:pPr>
    </w:p>
    <w:p w14:paraId="3AB18B81" w14:textId="77777777" w:rsidR="00C22498" w:rsidRDefault="00C22498" w:rsidP="009D09DC">
      <w:pPr>
        <w:spacing w:after="0" w:line="240" w:lineRule="auto"/>
        <w:ind w:left="0" w:right="0" w:firstLine="0"/>
        <w:jc w:val="left"/>
      </w:pPr>
    </w:p>
    <w:p w14:paraId="7D02515D" w14:textId="4841AB74" w:rsidR="00C22498" w:rsidRDefault="00C22498" w:rsidP="009D09DC">
      <w:pPr>
        <w:spacing w:after="0" w:line="240" w:lineRule="auto"/>
        <w:ind w:left="0" w:right="0" w:firstLine="0"/>
        <w:jc w:val="left"/>
      </w:pPr>
      <w:r>
        <w:rPr>
          <w:noProof/>
        </w:rPr>
        <w:drawing>
          <wp:inline distT="0" distB="0" distL="0" distR="0" wp14:anchorId="3E3111CD" wp14:editId="13230A49">
            <wp:extent cx="4097020" cy="139001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7020" cy="1390015"/>
                    </a:xfrm>
                    <a:prstGeom prst="rect">
                      <a:avLst/>
                    </a:prstGeom>
                    <a:noFill/>
                  </pic:spPr>
                </pic:pic>
              </a:graphicData>
            </a:graphic>
          </wp:inline>
        </w:drawing>
      </w:r>
    </w:p>
    <w:p w14:paraId="1A5B67F2" w14:textId="3FAF6A7B" w:rsidR="00C22498" w:rsidRDefault="00C22498" w:rsidP="009D09DC">
      <w:pPr>
        <w:spacing w:after="0" w:line="240" w:lineRule="auto"/>
        <w:ind w:left="0" w:right="0" w:firstLine="0"/>
        <w:jc w:val="left"/>
      </w:pPr>
    </w:p>
    <w:p w14:paraId="4794DA08" w14:textId="347D4D95" w:rsidR="00C22498" w:rsidRDefault="00C22498" w:rsidP="009D09DC">
      <w:pPr>
        <w:spacing w:after="0" w:line="240" w:lineRule="auto"/>
        <w:ind w:left="0" w:right="0" w:firstLine="0"/>
        <w:jc w:val="left"/>
      </w:pPr>
    </w:p>
    <w:p w14:paraId="46161D74" w14:textId="77777777" w:rsidR="00C22498" w:rsidRPr="0070574C" w:rsidRDefault="00C22498" w:rsidP="009D09DC">
      <w:pPr>
        <w:spacing w:after="0" w:line="240" w:lineRule="auto"/>
        <w:ind w:left="0" w:right="0" w:firstLine="0"/>
        <w:jc w:val="left"/>
      </w:pPr>
    </w:p>
    <w:p w14:paraId="1C1A8D6C" w14:textId="77777777" w:rsidR="00B23A65" w:rsidRPr="0070574C" w:rsidRDefault="00000000" w:rsidP="009D09DC">
      <w:pPr>
        <w:spacing w:after="0" w:line="240" w:lineRule="auto"/>
        <w:ind w:left="0" w:right="0" w:firstLine="0"/>
        <w:jc w:val="left"/>
      </w:pPr>
      <w:r w:rsidRPr="0070574C">
        <w:t xml:space="preserve"> </w:t>
      </w:r>
    </w:p>
    <w:p w14:paraId="41B0314A" w14:textId="6F9F3C37" w:rsidR="00B23A65" w:rsidRPr="0070574C" w:rsidRDefault="00440F06" w:rsidP="009D09DC">
      <w:pPr>
        <w:spacing w:after="0" w:line="240" w:lineRule="auto"/>
        <w:ind w:left="0" w:right="0" w:firstLine="0"/>
        <w:jc w:val="center"/>
        <w:rPr>
          <w:color w:val="002060"/>
          <w:sz w:val="32"/>
          <w:szCs w:val="32"/>
        </w:rPr>
      </w:pPr>
      <w:bookmarkStart w:id="0" w:name="_Hlk154131805"/>
      <w:r w:rsidRPr="0070574C">
        <w:rPr>
          <w:rFonts w:eastAsia="Calibri"/>
          <w:color w:val="002060"/>
          <w:sz w:val="32"/>
          <w:szCs w:val="32"/>
        </w:rPr>
        <w:t>ACTUALIZACIÓN DE ANÁLISIS DE RIESGOS DE CONTINUIDAD DEL SERVICIO DEL PODER JUDICIAL</w:t>
      </w:r>
      <w:r w:rsidRPr="0070574C">
        <w:rPr>
          <w:color w:val="002060"/>
          <w:sz w:val="32"/>
          <w:szCs w:val="32"/>
        </w:rPr>
        <w:t xml:space="preserve"> </w:t>
      </w:r>
    </w:p>
    <w:bookmarkEnd w:id="0"/>
    <w:p w14:paraId="1F5FC18C" w14:textId="77777777" w:rsidR="00B23A65" w:rsidRPr="0070574C" w:rsidRDefault="00000000" w:rsidP="009D09DC">
      <w:pPr>
        <w:spacing w:after="0" w:line="240" w:lineRule="auto"/>
        <w:ind w:left="0" w:right="0" w:firstLine="0"/>
        <w:jc w:val="left"/>
      </w:pPr>
      <w:r w:rsidRPr="0070574C">
        <w:t xml:space="preserve"> </w:t>
      </w:r>
    </w:p>
    <w:p w14:paraId="3790CD49" w14:textId="77777777" w:rsidR="00B23A65" w:rsidRPr="0070574C" w:rsidRDefault="00000000" w:rsidP="009D09DC">
      <w:pPr>
        <w:spacing w:after="0" w:line="240" w:lineRule="auto"/>
        <w:ind w:left="0" w:right="0" w:firstLine="0"/>
        <w:jc w:val="left"/>
      </w:pPr>
      <w:r w:rsidRPr="0070574C">
        <w:t xml:space="preserve"> </w:t>
      </w:r>
    </w:p>
    <w:p w14:paraId="4920308D" w14:textId="77777777" w:rsidR="00B23A65" w:rsidRPr="0070574C" w:rsidRDefault="00000000" w:rsidP="009D09DC">
      <w:pPr>
        <w:spacing w:after="0" w:line="240" w:lineRule="auto"/>
        <w:ind w:left="0" w:right="0" w:firstLine="0"/>
        <w:jc w:val="left"/>
      </w:pPr>
      <w:r w:rsidRPr="0070574C">
        <w:t xml:space="preserve"> </w:t>
      </w:r>
    </w:p>
    <w:p w14:paraId="72F3728D" w14:textId="77777777" w:rsidR="00B23A65" w:rsidRPr="0070574C" w:rsidRDefault="00000000" w:rsidP="009D09DC">
      <w:pPr>
        <w:spacing w:after="0" w:line="240" w:lineRule="auto"/>
        <w:ind w:left="0" w:right="0" w:firstLine="0"/>
        <w:jc w:val="left"/>
      </w:pPr>
      <w:r w:rsidRPr="0070574C">
        <w:t xml:space="preserve"> </w:t>
      </w:r>
    </w:p>
    <w:p w14:paraId="007E898E" w14:textId="77777777" w:rsidR="00B23A65" w:rsidRPr="0070574C" w:rsidRDefault="00000000" w:rsidP="009D09DC">
      <w:pPr>
        <w:spacing w:after="0" w:line="240" w:lineRule="auto"/>
        <w:ind w:left="0" w:right="0" w:firstLine="0"/>
        <w:jc w:val="left"/>
      </w:pPr>
      <w:r w:rsidRPr="0070574C">
        <w:t xml:space="preserve"> </w:t>
      </w:r>
    </w:p>
    <w:p w14:paraId="116FC9A8" w14:textId="77777777" w:rsidR="00B23A65" w:rsidRPr="0070574C" w:rsidRDefault="00000000" w:rsidP="009D09DC">
      <w:pPr>
        <w:spacing w:after="0" w:line="240" w:lineRule="auto"/>
        <w:ind w:left="0" w:right="0" w:firstLine="0"/>
        <w:jc w:val="left"/>
      </w:pPr>
      <w:r w:rsidRPr="0070574C">
        <w:t xml:space="preserve"> </w:t>
      </w:r>
    </w:p>
    <w:p w14:paraId="3FF3694F" w14:textId="77777777" w:rsidR="009D7F46" w:rsidRPr="0070574C" w:rsidRDefault="00000000" w:rsidP="009D09DC">
      <w:pPr>
        <w:spacing w:after="0" w:line="240" w:lineRule="auto"/>
        <w:ind w:left="0" w:right="0" w:firstLine="0"/>
        <w:jc w:val="left"/>
      </w:pPr>
      <w:r w:rsidRPr="0070574C">
        <w:t xml:space="preserve"> </w:t>
      </w:r>
      <w:r w:rsidRPr="0070574C">
        <w:tab/>
      </w:r>
    </w:p>
    <w:p w14:paraId="3079D204" w14:textId="0780B8B4" w:rsidR="00B23A65" w:rsidRPr="004C379C" w:rsidRDefault="009D7F46" w:rsidP="005A54DB">
      <w:pPr>
        <w:pStyle w:val="Ttulo1"/>
      </w:pPr>
      <w:r w:rsidRPr="0070574C">
        <w:br w:type="page"/>
      </w:r>
      <w:bookmarkStart w:id="1" w:name="_Toc155778512"/>
      <w:r w:rsidRPr="005A54DB">
        <w:rPr>
          <w:b/>
          <w:bCs/>
          <w:color w:val="002060"/>
          <w:sz w:val="32"/>
          <w:szCs w:val="32"/>
        </w:rPr>
        <w:lastRenderedPageBreak/>
        <w:t>Control de Cambios</w:t>
      </w:r>
      <w:bookmarkEnd w:id="1"/>
      <w:r w:rsidRPr="00900DA4">
        <w:t xml:space="preserve"> </w:t>
      </w:r>
    </w:p>
    <w:p w14:paraId="0915F8EC" w14:textId="77777777" w:rsidR="009D7F46" w:rsidRPr="0070574C" w:rsidRDefault="009D7F46" w:rsidP="009D09DC">
      <w:pPr>
        <w:spacing w:after="0" w:line="240" w:lineRule="auto"/>
        <w:ind w:left="713" w:right="94" w:firstLine="0"/>
      </w:pPr>
    </w:p>
    <w:tbl>
      <w:tblPr>
        <w:tblStyle w:val="TableGrid"/>
        <w:tblW w:w="8867" w:type="dxa"/>
        <w:tblInd w:w="10" w:type="dxa"/>
        <w:tblCellMar>
          <w:top w:w="89" w:type="dxa"/>
          <w:left w:w="70" w:type="dxa"/>
          <w:right w:w="79" w:type="dxa"/>
        </w:tblCellMar>
        <w:tblLook w:val="04A0" w:firstRow="1" w:lastRow="0" w:firstColumn="1" w:lastColumn="0" w:noHBand="0" w:noVBand="1"/>
      </w:tblPr>
      <w:tblGrid>
        <w:gridCol w:w="897"/>
        <w:gridCol w:w="1337"/>
        <w:gridCol w:w="2207"/>
        <w:gridCol w:w="2209"/>
        <w:gridCol w:w="2217"/>
      </w:tblGrid>
      <w:tr w:rsidR="00B23A65" w:rsidRPr="0070574C" w14:paraId="7401F315" w14:textId="77777777" w:rsidTr="005A54DB">
        <w:trPr>
          <w:trHeight w:val="394"/>
        </w:trPr>
        <w:tc>
          <w:tcPr>
            <w:tcW w:w="886" w:type="dxa"/>
            <w:tcBorders>
              <w:top w:val="single" w:sz="8" w:space="0" w:color="000000"/>
              <w:left w:val="single" w:sz="8" w:space="0" w:color="000000"/>
              <w:bottom w:val="single" w:sz="8" w:space="0" w:color="000000"/>
              <w:right w:val="single" w:sz="8" w:space="0" w:color="000000"/>
            </w:tcBorders>
            <w:shd w:val="clear" w:color="auto" w:fill="002060"/>
          </w:tcPr>
          <w:p w14:paraId="4C7AB92C" w14:textId="03321B24" w:rsidR="00B23A65" w:rsidRPr="005A54DB" w:rsidRDefault="00000000" w:rsidP="005A54DB">
            <w:pPr>
              <w:spacing w:after="0" w:line="240" w:lineRule="auto"/>
              <w:ind w:left="2" w:right="0" w:firstLine="0"/>
              <w:jc w:val="center"/>
              <w:rPr>
                <w:color w:val="FFFFFF" w:themeColor="background1"/>
              </w:rPr>
            </w:pPr>
            <w:r w:rsidRPr="005A54DB">
              <w:rPr>
                <w:color w:val="FFFFFF" w:themeColor="background1"/>
              </w:rPr>
              <w:t>Versión</w:t>
            </w:r>
          </w:p>
        </w:tc>
        <w:tc>
          <w:tcPr>
            <w:tcW w:w="1337" w:type="dxa"/>
            <w:tcBorders>
              <w:top w:val="single" w:sz="8" w:space="0" w:color="000000"/>
              <w:left w:val="single" w:sz="8" w:space="0" w:color="000000"/>
              <w:bottom w:val="single" w:sz="8" w:space="0" w:color="000000"/>
              <w:right w:val="single" w:sz="8" w:space="0" w:color="000000"/>
            </w:tcBorders>
            <w:shd w:val="clear" w:color="auto" w:fill="002060"/>
          </w:tcPr>
          <w:p w14:paraId="1B1E9F09" w14:textId="3447D6C5" w:rsidR="00B23A65" w:rsidRPr="005A54DB" w:rsidRDefault="00000000" w:rsidP="005A54DB">
            <w:pPr>
              <w:spacing w:after="0" w:line="240" w:lineRule="auto"/>
              <w:ind w:left="2" w:right="0" w:firstLine="0"/>
              <w:jc w:val="center"/>
              <w:rPr>
                <w:color w:val="FFFFFF" w:themeColor="background1"/>
              </w:rPr>
            </w:pPr>
            <w:r w:rsidRPr="005A54DB">
              <w:rPr>
                <w:color w:val="FFFFFF" w:themeColor="background1"/>
              </w:rPr>
              <w:t>Fecha</w:t>
            </w:r>
          </w:p>
        </w:tc>
        <w:tc>
          <w:tcPr>
            <w:tcW w:w="2210" w:type="dxa"/>
            <w:tcBorders>
              <w:top w:val="single" w:sz="8" w:space="0" w:color="000000"/>
              <w:left w:val="single" w:sz="8" w:space="0" w:color="000000"/>
              <w:bottom w:val="single" w:sz="8" w:space="0" w:color="000000"/>
              <w:right w:val="single" w:sz="8" w:space="0" w:color="000000"/>
            </w:tcBorders>
            <w:shd w:val="clear" w:color="auto" w:fill="002060"/>
          </w:tcPr>
          <w:p w14:paraId="00C7CBC7" w14:textId="4307213B" w:rsidR="00B23A65" w:rsidRPr="005A54DB" w:rsidRDefault="00000000" w:rsidP="005A54DB">
            <w:pPr>
              <w:spacing w:after="0" w:line="240" w:lineRule="auto"/>
              <w:ind w:left="0" w:right="0" w:firstLine="0"/>
              <w:jc w:val="center"/>
              <w:rPr>
                <w:color w:val="FFFFFF" w:themeColor="background1"/>
              </w:rPr>
            </w:pPr>
            <w:r w:rsidRPr="005A54DB">
              <w:rPr>
                <w:color w:val="FFFFFF" w:themeColor="background1"/>
              </w:rPr>
              <w:t>Realizado por</w:t>
            </w:r>
          </w:p>
        </w:tc>
        <w:tc>
          <w:tcPr>
            <w:tcW w:w="2213" w:type="dxa"/>
            <w:tcBorders>
              <w:top w:val="single" w:sz="8" w:space="0" w:color="000000"/>
              <w:left w:val="single" w:sz="8" w:space="0" w:color="000000"/>
              <w:bottom w:val="single" w:sz="8" w:space="0" w:color="000000"/>
              <w:right w:val="single" w:sz="8" w:space="0" w:color="000000"/>
            </w:tcBorders>
            <w:shd w:val="clear" w:color="auto" w:fill="002060"/>
          </w:tcPr>
          <w:p w14:paraId="0BE14AEB" w14:textId="0392A0DD" w:rsidR="00B23A65" w:rsidRPr="005A54DB" w:rsidRDefault="00000000" w:rsidP="005A54DB">
            <w:pPr>
              <w:spacing w:after="0" w:line="240" w:lineRule="auto"/>
              <w:ind w:left="2" w:right="0" w:firstLine="0"/>
              <w:jc w:val="center"/>
              <w:rPr>
                <w:color w:val="FFFFFF" w:themeColor="background1"/>
              </w:rPr>
            </w:pPr>
            <w:r w:rsidRPr="005A54DB">
              <w:rPr>
                <w:color w:val="FFFFFF" w:themeColor="background1"/>
              </w:rPr>
              <w:t>Motivo</w:t>
            </w:r>
          </w:p>
        </w:tc>
        <w:tc>
          <w:tcPr>
            <w:tcW w:w="2221" w:type="dxa"/>
            <w:tcBorders>
              <w:top w:val="single" w:sz="8" w:space="0" w:color="000000"/>
              <w:left w:val="single" w:sz="8" w:space="0" w:color="000000"/>
              <w:bottom w:val="single" w:sz="8" w:space="0" w:color="000000"/>
              <w:right w:val="single" w:sz="8" w:space="0" w:color="000000"/>
            </w:tcBorders>
            <w:shd w:val="clear" w:color="auto" w:fill="002060"/>
          </w:tcPr>
          <w:p w14:paraId="5D03C0A2" w14:textId="2B31FC41" w:rsidR="00B23A65" w:rsidRPr="005A54DB" w:rsidRDefault="00000000" w:rsidP="005A54DB">
            <w:pPr>
              <w:spacing w:after="0" w:line="240" w:lineRule="auto"/>
              <w:ind w:left="2" w:right="0" w:firstLine="0"/>
              <w:jc w:val="center"/>
              <w:rPr>
                <w:color w:val="FFFFFF" w:themeColor="background1"/>
              </w:rPr>
            </w:pPr>
            <w:r w:rsidRPr="005A54DB">
              <w:rPr>
                <w:color w:val="FFFFFF" w:themeColor="background1"/>
              </w:rPr>
              <w:t>Firma</w:t>
            </w:r>
          </w:p>
        </w:tc>
      </w:tr>
      <w:tr w:rsidR="00B23A65" w:rsidRPr="0070574C" w14:paraId="0861DFA5" w14:textId="77777777">
        <w:trPr>
          <w:trHeight w:val="394"/>
        </w:trPr>
        <w:tc>
          <w:tcPr>
            <w:tcW w:w="886" w:type="dxa"/>
            <w:tcBorders>
              <w:top w:val="single" w:sz="8" w:space="0" w:color="000000"/>
              <w:left w:val="single" w:sz="8" w:space="0" w:color="000000"/>
              <w:bottom w:val="single" w:sz="8" w:space="0" w:color="000000"/>
              <w:right w:val="single" w:sz="8" w:space="0" w:color="000000"/>
            </w:tcBorders>
          </w:tcPr>
          <w:p w14:paraId="09D76844" w14:textId="77777777" w:rsidR="00B23A65" w:rsidRPr="0070574C" w:rsidRDefault="00000000" w:rsidP="009D09DC">
            <w:pPr>
              <w:spacing w:after="0" w:line="240" w:lineRule="auto"/>
              <w:ind w:left="2" w:right="0" w:firstLine="0"/>
              <w:jc w:val="left"/>
            </w:pPr>
            <w:r w:rsidRPr="0070574C">
              <w:t xml:space="preserve">01 </w:t>
            </w:r>
          </w:p>
        </w:tc>
        <w:tc>
          <w:tcPr>
            <w:tcW w:w="1337" w:type="dxa"/>
            <w:tcBorders>
              <w:top w:val="single" w:sz="8" w:space="0" w:color="000000"/>
              <w:left w:val="single" w:sz="8" w:space="0" w:color="000000"/>
              <w:bottom w:val="single" w:sz="8" w:space="0" w:color="000000"/>
              <w:right w:val="single" w:sz="8" w:space="0" w:color="000000"/>
            </w:tcBorders>
          </w:tcPr>
          <w:p w14:paraId="27C7A117" w14:textId="26A2C776" w:rsidR="00B23A65" w:rsidRPr="0070574C" w:rsidRDefault="00440F06" w:rsidP="009D09DC">
            <w:pPr>
              <w:spacing w:after="0" w:line="240" w:lineRule="auto"/>
              <w:ind w:left="2" w:right="0" w:firstLine="0"/>
              <w:jc w:val="left"/>
            </w:pPr>
            <w:r w:rsidRPr="0070574C">
              <w:t xml:space="preserve">06/12/2023 </w:t>
            </w:r>
          </w:p>
        </w:tc>
        <w:tc>
          <w:tcPr>
            <w:tcW w:w="2210" w:type="dxa"/>
            <w:tcBorders>
              <w:top w:val="single" w:sz="8" w:space="0" w:color="000000"/>
              <w:left w:val="single" w:sz="8" w:space="0" w:color="000000"/>
              <w:bottom w:val="single" w:sz="8" w:space="0" w:color="000000"/>
              <w:right w:val="single" w:sz="8" w:space="0" w:color="000000"/>
            </w:tcBorders>
          </w:tcPr>
          <w:p w14:paraId="307BC586" w14:textId="059CD234" w:rsidR="00B23A65" w:rsidRPr="0070574C" w:rsidRDefault="00440F06" w:rsidP="009D09DC">
            <w:pPr>
              <w:spacing w:after="0" w:line="240" w:lineRule="auto"/>
              <w:ind w:left="0" w:right="0" w:firstLine="0"/>
              <w:jc w:val="left"/>
            </w:pPr>
            <w:r w:rsidRPr="0070574C">
              <w:t xml:space="preserve">Subproceso de Gestión de la Continuidad del Servicio </w:t>
            </w:r>
          </w:p>
        </w:tc>
        <w:tc>
          <w:tcPr>
            <w:tcW w:w="2213" w:type="dxa"/>
            <w:tcBorders>
              <w:top w:val="single" w:sz="8" w:space="0" w:color="000000"/>
              <w:left w:val="single" w:sz="8" w:space="0" w:color="000000"/>
              <w:bottom w:val="single" w:sz="8" w:space="0" w:color="000000"/>
              <w:right w:val="single" w:sz="8" w:space="0" w:color="000000"/>
            </w:tcBorders>
          </w:tcPr>
          <w:p w14:paraId="17557B2D" w14:textId="2CF4856F" w:rsidR="00B23A65" w:rsidRPr="0070574C" w:rsidRDefault="00A92575" w:rsidP="009D09DC">
            <w:pPr>
              <w:spacing w:after="0" w:line="240" w:lineRule="auto"/>
              <w:ind w:left="2" w:right="0" w:firstLine="0"/>
              <w:jc w:val="left"/>
            </w:pPr>
            <w:r>
              <w:t>Final</w:t>
            </w:r>
          </w:p>
        </w:tc>
        <w:tc>
          <w:tcPr>
            <w:tcW w:w="2221" w:type="dxa"/>
            <w:tcBorders>
              <w:top w:val="single" w:sz="8" w:space="0" w:color="000000"/>
              <w:left w:val="single" w:sz="8" w:space="0" w:color="000000"/>
              <w:bottom w:val="single" w:sz="8" w:space="0" w:color="000000"/>
              <w:right w:val="single" w:sz="8" w:space="0" w:color="000000"/>
            </w:tcBorders>
          </w:tcPr>
          <w:p w14:paraId="45632A7D" w14:textId="77777777" w:rsidR="00B23A65" w:rsidRPr="0070574C" w:rsidRDefault="00000000" w:rsidP="009D09DC">
            <w:pPr>
              <w:spacing w:after="0" w:line="240" w:lineRule="auto"/>
              <w:ind w:left="2" w:right="0" w:firstLine="0"/>
              <w:jc w:val="left"/>
            </w:pPr>
            <w:r w:rsidRPr="0070574C">
              <w:t xml:space="preserve"> </w:t>
            </w:r>
          </w:p>
        </w:tc>
      </w:tr>
      <w:tr w:rsidR="00B23A65" w:rsidRPr="0070574C" w14:paraId="29991ECC" w14:textId="77777777">
        <w:trPr>
          <w:trHeight w:val="397"/>
        </w:trPr>
        <w:tc>
          <w:tcPr>
            <w:tcW w:w="886" w:type="dxa"/>
            <w:tcBorders>
              <w:top w:val="single" w:sz="8" w:space="0" w:color="000000"/>
              <w:left w:val="single" w:sz="8" w:space="0" w:color="000000"/>
              <w:bottom w:val="single" w:sz="8" w:space="0" w:color="000000"/>
              <w:right w:val="single" w:sz="8" w:space="0" w:color="000000"/>
            </w:tcBorders>
          </w:tcPr>
          <w:p w14:paraId="2DCD7570" w14:textId="3D3BFB98" w:rsidR="00B23A65" w:rsidRPr="0070574C" w:rsidRDefault="00B23A65" w:rsidP="009D09DC">
            <w:pPr>
              <w:spacing w:after="0" w:line="240" w:lineRule="auto"/>
              <w:ind w:left="2" w:right="0" w:firstLine="0"/>
              <w:jc w:val="left"/>
            </w:pPr>
          </w:p>
        </w:tc>
        <w:tc>
          <w:tcPr>
            <w:tcW w:w="1337" w:type="dxa"/>
            <w:tcBorders>
              <w:top w:val="single" w:sz="8" w:space="0" w:color="000000"/>
              <w:left w:val="single" w:sz="8" w:space="0" w:color="000000"/>
              <w:bottom w:val="single" w:sz="8" w:space="0" w:color="000000"/>
              <w:right w:val="single" w:sz="8" w:space="0" w:color="000000"/>
            </w:tcBorders>
          </w:tcPr>
          <w:p w14:paraId="3E1F21E1" w14:textId="54C8FA6D" w:rsidR="00B23A65" w:rsidRPr="0070574C" w:rsidRDefault="00B23A65" w:rsidP="009D09DC">
            <w:pPr>
              <w:spacing w:after="0" w:line="240" w:lineRule="auto"/>
              <w:ind w:left="2" w:right="0" w:firstLine="0"/>
              <w:jc w:val="left"/>
            </w:pPr>
          </w:p>
        </w:tc>
        <w:tc>
          <w:tcPr>
            <w:tcW w:w="2210" w:type="dxa"/>
            <w:tcBorders>
              <w:top w:val="single" w:sz="8" w:space="0" w:color="000000"/>
              <w:left w:val="single" w:sz="8" w:space="0" w:color="000000"/>
              <w:bottom w:val="single" w:sz="8" w:space="0" w:color="000000"/>
              <w:right w:val="single" w:sz="8" w:space="0" w:color="000000"/>
            </w:tcBorders>
          </w:tcPr>
          <w:p w14:paraId="4B63868F" w14:textId="3116DA7F" w:rsidR="00B23A65" w:rsidRPr="0070574C" w:rsidRDefault="00B23A65" w:rsidP="009D09DC">
            <w:pPr>
              <w:spacing w:after="0" w:line="240" w:lineRule="auto"/>
              <w:ind w:left="0" w:right="0" w:firstLine="0"/>
              <w:jc w:val="left"/>
            </w:pPr>
          </w:p>
        </w:tc>
        <w:tc>
          <w:tcPr>
            <w:tcW w:w="2213" w:type="dxa"/>
            <w:tcBorders>
              <w:top w:val="single" w:sz="8" w:space="0" w:color="000000"/>
              <w:left w:val="single" w:sz="8" w:space="0" w:color="000000"/>
              <w:bottom w:val="single" w:sz="8" w:space="0" w:color="000000"/>
              <w:right w:val="single" w:sz="8" w:space="0" w:color="000000"/>
            </w:tcBorders>
          </w:tcPr>
          <w:p w14:paraId="442E0347" w14:textId="67C95034" w:rsidR="00B23A65" w:rsidRPr="0070574C" w:rsidRDefault="00B23A65" w:rsidP="009D09DC">
            <w:pPr>
              <w:spacing w:after="0" w:line="240" w:lineRule="auto"/>
              <w:ind w:left="2" w:right="0" w:firstLine="0"/>
              <w:jc w:val="left"/>
            </w:pPr>
          </w:p>
        </w:tc>
        <w:tc>
          <w:tcPr>
            <w:tcW w:w="2221" w:type="dxa"/>
            <w:tcBorders>
              <w:top w:val="single" w:sz="8" w:space="0" w:color="000000"/>
              <w:left w:val="single" w:sz="8" w:space="0" w:color="000000"/>
              <w:bottom w:val="single" w:sz="8" w:space="0" w:color="000000"/>
              <w:right w:val="single" w:sz="8" w:space="0" w:color="000000"/>
            </w:tcBorders>
          </w:tcPr>
          <w:p w14:paraId="344080C7" w14:textId="77777777" w:rsidR="00B23A65" w:rsidRPr="0070574C" w:rsidRDefault="00000000" w:rsidP="009D09DC">
            <w:pPr>
              <w:spacing w:after="0" w:line="240" w:lineRule="auto"/>
              <w:ind w:left="2" w:right="0" w:firstLine="0"/>
              <w:jc w:val="left"/>
            </w:pPr>
            <w:r w:rsidRPr="0070574C">
              <w:t xml:space="preserve"> </w:t>
            </w:r>
          </w:p>
        </w:tc>
      </w:tr>
      <w:tr w:rsidR="00B23A65" w:rsidRPr="0070574C" w14:paraId="1275F60A" w14:textId="77777777">
        <w:trPr>
          <w:trHeight w:val="394"/>
        </w:trPr>
        <w:tc>
          <w:tcPr>
            <w:tcW w:w="886" w:type="dxa"/>
            <w:tcBorders>
              <w:top w:val="single" w:sz="8" w:space="0" w:color="000000"/>
              <w:left w:val="single" w:sz="8" w:space="0" w:color="000000"/>
              <w:bottom w:val="single" w:sz="8" w:space="0" w:color="000000"/>
              <w:right w:val="single" w:sz="8" w:space="0" w:color="000000"/>
            </w:tcBorders>
          </w:tcPr>
          <w:p w14:paraId="723F3D0A" w14:textId="23E3EC5B" w:rsidR="00B23A65" w:rsidRPr="0070574C" w:rsidRDefault="00B23A65" w:rsidP="009D09DC">
            <w:pPr>
              <w:spacing w:after="0" w:line="240" w:lineRule="auto"/>
              <w:ind w:left="2" w:right="0" w:firstLine="0"/>
              <w:jc w:val="left"/>
            </w:pPr>
          </w:p>
        </w:tc>
        <w:tc>
          <w:tcPr>
            <w:tcW w:w="1337" w:type="dxa"/>
            <w:tcBorders>
              <w:top w:val="single" w:sz="8" w:space="0" w:color="000000"/>
              <w:left w:val="single" w:sz="8" w:space="0" w:color="000000"/>
              <w:bottom w:val="single" w:sz="8" w:space="0" w:color="000000"/>
              <w:right w:val="single" w:sz="8" w:space="0" w:color="000000"/>
            </w:tcBorders>
          </w:tcPr>
          <w:p w14:paraId="7F15AD07" w14:textId="578852F9" w:rsidR="00B23A65" w:rsidRPr="0070574C" w:rsidRDefault="00B23A65" w:rsidP="009D09DC">
            <w:pPr>
              <w:spacing w:after="0" w:line="240" w:lineRule="auto"/>
              <w:ind w:left="2" w:right="0" w:firstLine="0"/>
              <w:jc w:val="left"/>
            </w:pPr>
          </w:p>
        </w:tc>
        <w:tc>
          <w:tcPr>
            <w:tcW w:w="2210" w:type="dxa"/>
            <w:tcBorders>
              <w:top w:val="single" w:sz="8" w:space="0" w:color="000000"/>
              <w:left w:val="single" w:sz="8" w:space="0" w:color="000000"/>
              <w:bottom w:val="single" w:sz="8" w:space="0" w:color="000000"/>
              <w:right w:val="single" w:sz="8" w:space="0" w:color="000000"/>
            </w:tcBorders>
          </w:tcPr>
          <w:p w14:paraId="7D9BE43E" w14:textId="601D1A57" w:rsidR="00B23A65" w:rsidRPr="0070574C" w:rsidRDefault="00B23A65" w:rsidP="009D09DC">
            <w:pPr>
              <w:spacing w:after="0" w:line="240" w:lineRule="auto"/>
              <w:ind w:left="0" w:right="0" w:firstLine="0"/>
              <w:jc w:val="left"/>
            </w:pPr>
          </w:p>
        </w:tc>
        <w:tc>
          <w:tcPr>
            <w:tcW w:w="2213" w:type="dxa"/>
            <w:tcBorders>
              <w:top w:val="single" w:sz="8" w:space="0" w:color="000000"/>
              <w:left w:val="single" w:sz="8" w:space="0" w:color="000000"/>
              <w:bottom w:val="single" w:sz="8" w:space="0" w:color="000000"/>
              <w:right w:val="single" w:sz="8" w:space="0" w:color="000000"/>
            </w:tcBorders>
          </w:tcPr>
          <w:p w14:paraId="609024B8" w14:textId="412FC172" w:rsidR="00B23A65" w:rsidRPr="0070574C" w:rsidRDefault="00B23A65" w:rsidP="009D09DC">
            <w:pPr>
              <w:spacing w:after="0" w:line="240" w:lineRule="auto"/>
              <w:ind w:left="2" w:right="0" w:firstLine="0"/>
              <w:jc w:val="left"/>
            </w:pPr>
          </w:p>
        </w:tc>
        <w:tc>
          <w:tcPr>
            <w:tcW w:w="2221" w:type="dxa"/>
            <w:tcBorders>
              <w:top w:val="single" w:sz="8" w:space="0" w:color="000000"/>
              <w:left w:val="single" w:sz="8" w:space="0" w:color="000000"/>
              <w:bottom w:val="single" w:sz="8" w:space="0" w:color="000000"/>
              <w:right w:val="single" w:sz="8" w:space="0" w:color="000000"/>
            </w:tcBorders>
          </w:tcPr>
          <w:p w14:paraId="14DD8CF9" w14:textId="77777777" w:rsidR="00B23A65" w:rsidRPr="0070574C" w:rsidRDefault="00000000" w:rsidP="009D09DC">
            <w:pPr>
              <w:spacing w:after="0" w:line="240" w:lineRule="auto"/>
              <w:ind w:left="2" w:right="0" w:firstLine="0"/>
              <w:jc w:val="left"/>
            </w:pPr>
            <w:r w:rsidRPr="0070574C">
              <w:t xml:space="preserve"> </w:t>
            </w:r>
          </w:p>
        </w:tc>
      </w:tr>
      <w:tr w:rsidR="00B23A65" w:rsidRPr="0070574C" w14:paraId="5F5C8426" w14:textId="77777777">
        <w:trPr>
          <w:trHeight w:val="394"/>
        </w:trPr>
        <w:tc>
          <w:tcPr>
            <w:tcW w:w="886" w:type="dxa"/>
            <w:tcBorders>
              <w:top w:val="single" w:sz="8" w:space="0" w:color="000000"/>
              <w:left w:val="single" w:sz="8" w:space="0" w:color="000000"/>
              <w:bottom w:val="single" w:sz="8" w:space="0" w:color="000000"/>
              <w:right w:val="single" w:sz="8" w:space="0" w:color="000000"/>
            </w:tcBorders>
          </w:tcPr>
          <w:p w14:paraId="526C9F58" w14:textId="35A30781" w:rsidR="00B23A65" w:rsidRPr="0070574C" w:rsidRDefault="00B23A65" w:rsidP="009D09DC">
            <w:pPr>
              <w:spacing w:after="0" w:line="240" w:lineRule="auto"/>
              <w:ind w:left="2" w:right="0" w:firstLine="0"/>
              <w:jc w:val="left"/>
            </w:pPr>
          </w:p>
        </w:tc>
        <w:tc>
          <w:tcPr>
            <w:tcW w:w="1337" w:type="dxa"/>
            <w:tcBorders>
              <w:top w:val="single" w:sz="8" w:space="0" w:color="000000"/>
              <w:left w:val="single" w:sz="8" w:space="0" w:color="000000"/>
              <w:bottom w:val="single" w:sz="8" w:space="0" w:color="000000"/>
              <w:right w:val="single" w:sz="8" w:space="0" w:color="000000"/>
            </w:tcBorders>
          </w:tcPr>
          <w:p w14:paraId="2C29D846" w14:textId="2D872BAB" w:rsidR="00B23A65" w:rsidRPr="0070574C" w:rsidRDefault="00B23A65" w:rsidP="009D09DC">
            <w:pPr>
              <w:spacing w:after="0" w:line="240" w:lineRule="auto"/>
              <w:ind w:left="2" w:right="0" w:firstLine="0"/>
              <w:jc w:val="left"/>
            </w:pPr>
          </w:p>
        </w:tc>
        <w:tc>
          <w:tcPr>
            <w:tcW w:w="2210" w:type="dxa"/>
            <w:tcBorders>
              <w:top w:val="single" w:sz="8" w:space="0" w:color="000000"/>
              <w:left w:val="single" w:sz="8" w:space="0" w:color="000000"/>
              <w:bottom w:val="single" w:sz="8" w:space="0" w:color="000000"/>
              <w:right w:val="single" w:sz="8" w:space="0" w:color="000000"/>
            </w:tcBorders>
          </w:tcPr>
          <w:p w14:paraId="5C5ABF15" w14:textId="66B7A022" w:rsidR="00B23A65" w:rsidRPr="0070574C" w:rsidRDefault="00B23A65" w:rsidP="009D09DC">
            <w:pPr>
              <w:spacing w:after="0" w:line="240" w:lineRule="auto"/>
              <w:ind w:left="0" w:right="0" w:firstLine="0"/>
              <w:jc w:val="left"/>
            </w:pPr>
          </w:p>
        </w:tc>
        <w:tc>
          <w:tcPr>
            <w:tcW w:w="2213" w:type="dxa"/>
            <w:tcBorders>
              <w:top w:val="single" w:sz="8" w:space="0" w:color="000000"/>
              <w:left w:val="single" w:sz="8" w:space="0" w:color="000000"/>
              <w:bottom w:val="single" w:sz="8" w:space="0" w:color="000000"/>
              <w:right w:val="single" w:sz="8" w:space="0" w:color="000000"/>
            </w:tcBorders>
          </w:tcPr>
          <w:p w14:paraId="206177AD" w14:textId="79EF26FD" w:rsidR="00B23A65" w:rsidRPr="0070574C" w:rsidRDefault="00B23A65" w:rsidP="009D09DC">
            <w:pPr>
              <w:spacing w:after="0" w:line="240" w:lineRule="auto"/>
              <w:ind w:left="2" w:right="0" w:firstLine="0"/>
              <w:jc w:val="left"/>
            </w:pPr>
          </w:p>
        </w:tc>
        <w:tc>
          <w:tcPr>
            <w:tcW w:w="2221" w:type="dxa"/>
            <w:tcBorders>
              <w:top w:val="single" w:sz="8" w:space="0" w:color="000000"/>
              <w:left w:val="single" w:sz="8" w:space="0" w:color="000000"/>
              <w:bottom w:val="single" w:sz="8" w:space="0" w:color="000000"/>
              <w:right w:val="single" w:sz="8" w:space="0" w:color="000000"/>
            </w:tcBorders>
          </w:tcPr>
          <w:p w14:paraId="5638E2AA" w14:textId="77777777" w:rsidR="00B23A65" w:rsidRPr="0070574C" w:rsidRDefault="00000000" w:rsidP="009D09DC">
            <w:pPr>
              <w:spacing w:after="0" w:line="240" w:lineRule="auto"/>
              <w:ind w:left="2" w:right="0" w:firstLine="0"/>
              <w:jc w:val="left"/>
            </w:pPr>
            <w:r w:rsidRPr="0070574C">
              <w:t xml:space="preserve"> </w:t>
            </w:r>
          </w:p>
        </w:tc>
      </w:tr>
    </w:tbl>
    <w:p w14:paraId="7B469153" w14:textId="77777777" w:rsidR="00B23A65" w:rsidRPr="0070574C" w:rsidRDefault="00000000" w:rsidP="009D09DC">
      <w:pPr>
        <w:spacing w:after="0" w:line="240" w:lineRule="auto"/>
        <w:ind w:left="0" w:right="0" w:firstLine="0"/>
        <w:jc w:val="left"/>
      </w:pPr>
      <w:r w:rsidRPr="0070574C">
        <w:t xml:space="preserve"> </w:t>
      </w:r>
    </w:p>
    <w:p w14:paraId="14A9ACA5" w14:textId="3707102B" w:rsidR="00B23A65" w:rsidRPr="00900DA4" w:rsidRDefault="00000000" w:rsidP="009D09DC">
      <w:pPr>
        <w:pStyle w:val="Ttulo1"/>
        <w:spacing w:after="0" w:line="240" w:lineRule="auto"/>
        <w:rPr>
          <w:b/>
          <w:bCs/>
          <w:color w:val="002060"/>
          <w:sz w:val="32"/>
          <w:szCs w:val="32"/>
        </w:rPr>
      </w:pPr>
      <w:bookmarkStart w:id="2" w:name="_Toc155778513"/>
      <w:r w:rsidRPr="00900DA4">
        <w:rPr>
          <w:b/>
          <w:bCs/>
          <w:color w:val="002060"/>
          <w:sz w:val="32"/>
          <w:szCs w:val="32"/>
        </w:rPr>
        <w:t>Control de Aprobación</w:t>
      </w:r>
      <w:bookmarkEnd w:id="2"/>
      <w:r w:rsidRPr="00900DA4">
        <w:rPr>
          <w:b/>
          <w:bCs/>
          <w:color w:val="002060"/>
          <w:sz w:val="32"/>
          <w:szCs w:val="32"/>
        </w:rPr>
        <w:t xml:space="preserve"> </w:t>
      </w:r>
    </w:p>
    <w:p w14:paraId="02EF9132" w14:textId="77777777" w:rsidR="009D7F46" w:rsidRPr="0070574C" w:rsidRDefault="009D7F46" w:rsidP="009D09DC">
      <w:pPr>
        <w:spacing w:after="0" w:line="240" w:lineRule="auto"/>
        <w:ind w:left="713" w:right="94" w:firstLine="0"/>
      </w:pPr>
    </w:p>
    <w:tbl>
      <w:tblPr>
        <w:tblStyle w:val="TableGrid"/>
        <w:tblW w:w="8841" w:type="dxa"/>
        <w:tblInd w:w="10" w:type="dxa"/>
        <w:tblCellMar>
          <w:top w:w="91" w:type="dxa"/>
          <w:left w:w="115" w:type="dxa"/>
          <w:right w:w="115" w:type="dxa"/>
        </w:tblCellMar>
        <w:tblLook w:val="04A0" w:firstRow="1" w:lastRow="0" w:firstColumn="1" w:lastColumn="0" w:noHBand="0" w:noVBand="1"/>
      </w:tblPr>
      <w:tblGrid>
        <w:gridCol w:w="2211"/>
        <w:gridCol w:w="2208"/>
        <w:gridCol w:w="2211"/>
        <w:gridCol w:w="2211"/>
      </w:tblGrid>
      <w:tr w:rsidR="00B23A65" w:rsidRPr="0070574C" w14:paraId="13F3970D" w14:textId="77777777" w:rsidTr="005A54DB">
        <w:trPr>
          <w:trHeight w:val="398"/>
        </w:trPr>
        <w:tc>
          <w:tcPr>
            <w:tcW w:w="2211" w:type="dxa"/>
            <w:tcBorders>
              <w:top w:val="single" w:sz="8" w:space="0" w:color="000000"/>
              <w:left w:val="single" w:sz="8" w:space="0" w:color="000000"/>
              <w:bottom w:val="single" w:sz="8" w:space="0" w:color="000000"/>
              <w:right w:val="single" w:sz="8" w:space="0" w:color="000000"/>
            </w:tcBorders>
            <w:shd w:val="clear" w:color="auto" w:fill="002060"/>
          </w:tcPr>
          <w:p w14:paraId="4C50EFB6" w14:textId="77777777" w:rsidR="00B23A65" w:rsidRPr="005A54DB" w:rsidRDefault="00000000" w:rsidP="009D09DC">
            <w:pPr>
              <w:spacing w:after="0" w:line="240" w:lineRule="auto"/>
              <w:ind w:left="0" w:right="3" w:firstLine="0"/>
              <w:jc w:val="center"/>
              <w:rPr>
                <w:color w:val="FFFFFF" w:themeColor="background1"/>
              </w:rPr>
            </w:pPr>
            <w:r w:rsidRPr="005A54DB">
              <w:rPr>
                <w:color w:val="FFFFFF" w:themeColor="background1"/>
              </w:rPr>
              <w:t xml:space="preserve">Sello </w:t>
            </w:r>
          </w:p>
        </w:tc>
        <w:tc>
          <w:tcPr>
            <w:tcW w:w="2208" w:type="dxa"/>
            <w:tcBorders>
              <w:top w:val="single" w:sz="8" w:space="0" w:color="000000"/>
              <w:left w:val="single" w:sz="8" w:space="0" w:color="000000"/>
              <w:bottom w:val="single" w:sz="8" w:space="0" w:color="000000"/>
              <w:right w:val="single" w:sz="8" w:space="0" w:color="000000"/>
            </w:tcBorders>
            <w:shd w:val="clear" w:color="auto" w:fill="002060"/>
          </w:tcPr>
          <w:p w14:paraId="5808F4AE" w14:textId="77777777" w:rsidR="00B23A65" w:rsidRPr="005A54DB" w:rsidRDefault="00000000" w:rsidP="009D09DC">
            <w:pPr>
              <w:spacing w:after="0" w:line="240" w:lineRule="auto"/>
              <w:ind w:left="0" w:right="5" w:firstLine="0"/>
              <w:jc w:val="center"/>
              <w:rPr>
                <w:color w:val="FFFFFF" w:themeColor="background1"/>
              </w:rPr>
            </w:pPr>
            <w:r w:rsidRPr="005A54DB">
              <w:rPr>
                <w:color w:val="FFFFFF" w:themeColor="background1"/>
              </w:rPr>
              <w:t xml:space="preserve">Elaboró </w:t>
            </w:r>
          </w:p>
        </w:tc>
        <w:tc>
          <w:tcPr>
            <w:tcW w:w="2211" w:type="dxa"/>
            <w:tcBorders>
              <w:top w:val="single" w:sz="8" w:space="0" w:color="000000"/>
              <w:left w:val="single" w:sz="8" w:space="0" w:color="000000"/>
              <w:bottom w:val="single" w:sz="8" w:space="0" w:color="000000"/>
              <w:right w:val="single" w:sz="8" w:space="0" w:color="000000"/>
            </w:tcBorders>
            <w:shd w:val="clear" w:color="auto" w:fill="002060"/>
          </w:tcPr>
          <w:p w14:paraId="6A9F8FB3" w14:textId="77777777" w:rsidR="00B23A65" w:rsidRPr="005A54DB" w:rsidRDefault="00000000" w:rsidP="009D09DC">
            <w:pPr>
              <w:spacing w:after="0" w:line="240" w:lineRule="auto"/>
              <w:ind w:left="0" w:right="2" w:firstLine="0"/>
              <w:jc w:val="center"/>
              <w:rPr>
                <w:color w:val="FFFFFF" w:themeColor="background1"/>
              </w:rPr>
            </w:pPr>
            <w:r w:rsidRPr="005A54DB">
              <w:rPr>
                <w:color w:val="FFFFFF" w:themeColor="background1"/>
              </w:rPr>
              <w:t xml:space="preserve">Revisó </w:t>
            </w:r>
          </w:p>
        </w:tc>
        <w:tc>
          <w:tcPr>
            <w:tcW w:w="2211" w:type="dxa"/>
            <w:tcBorders>
              <w:top w:val="single" w:sz="8" w:space="0" w:color="000000"/>
              <w:left w:val="single" w:sz="8" w:space="0" w:color="000000"/>
              <w:bottom w:val="single" w:sz="8" w:space="0" w:color="000000"/>
              <w:right w:val="single" w:sz="8" w:space="0" w:color="000000"/>
            </w:tcBorders>
            <w:shd w:val="clear" w:color="auto" w:fill="002060"/>
          </w:tcPr>
          <w:p w14:paraId="0658B3BA" w14:textId="77777777" w:rsidR="00B23A65" w:rsidRPr="005A54DB" w:rsidRDefault="00000000" w:rsidP="009D09DC">
            <w:pPr>
              <w:spacing w:after="0" w:line="240" w:lineRule="auto"/>
              <w:ind w:left="0" w:right="9" w:firstLine="0"/>
              <w:jc w:val="center"/>
              <w:rPr>
                <w:color w:val="FFFFFF" w:themeColor="background1"/>
              </w:rPr>
            </w:pPr>
            <w:r w:rsidRPr="005A54DB">
              <w:rPr>
                <w:color w:val="FFFFFF" w:themeColor="background1"/>
              </w:rPr>
              <w:t xml:space="preserve">Autorizó </w:t>
            </w:r>
          </w:p>
        </w:tc>
      </w:tr>
      <w:tr w:rsidR="00B23A65" w:rsidRPr="0070574C" w14:paraId="2EA26628" w14:textId="77777777">
        <w:trPr>
          <w:trHeight w:val="1018"/>
        </w:trPr>
        <w:tc>
          <w:tcPr>
            <w:tcW w:w="2211" w:type="dxa"/>
            <w:vMerge w:val="restart"/>
            <w:tcBorders>
              <w:top w:val="single" w:sz="8" w:space="0" w:color="000000"/>
              <w:left w:val="single" w:sz="8" w:space="0" w:color="000000"/>
              <w:bottom w:val="single" w:sz="8" w:space="0" w:color="000000"/>
              <w:right w:val="single" w:sz="8" w:space="0" w:color="000000"/>
            </w:tcBorders>
            <w:vAlign w:val="center"/>
          </w:tcPr>
          <w:p w14:paraId="02F69535" w14:textId="77777777" w:rsidR="00B23A65" w:rsidRPr="0070574C" w:rsidRDefault="00000000" w:rsidP="009D09DC">
            <w:pPr>
              <w:spacing w:after="0" w:line="240" w:lineRule="auto"/>
              <w:ind w:left="52" w:right="0" w:firstLine="0"/>
              <w:jc w:val="center"/>
            </w:pPr>
            <w:r w:rsidRPr="0070574C">
              <w:t xml:space="preserve"> </w:t>
            </w:r>
          </w:p>
        </w:tc>
        <w:tc>
          <w:tcPr>
            <w:tcW w:w="2208" w:type="dxa"/>
            <w:tcBorders>
              <w:top w:val="single" w:sz="8" w:space="0" w:color="000000"/>
              <w:left w:val="single" w:sz="8" w:space="0" w:color="000000"/>
              <w:bottom w:val="single" w:sz="8" w:space="0" w:color="000000"/>
              <w:right w:val="single" w:sz="8" w:space="0" w:color="000000"/>
            </w:tcBorders>
            <w:vAlign w:val="center"/>
          </w:tcPr>
          <w:p w14:paraId="48C6D0AB" w14:textId="107AA39B" w:rsidR="00B23A65" w:rsidRPr="0070574C" w:rsidRDefault="00440F06" w:rsidP="009D09DC">
            <w:pPr>
              <w:spacing w:after="0" w:line="240" w:lineRule="auto"/>
              <w:ind w:left="0" w:right="7" w:firstLine="0"/>
              <w:jc w:val="center"/>
            </w:pPr>
            <w:r w:rsidRPr="0070574C">
              <w:t>Subproceso de Gestión de la Continuidad del Servicio</w:t>
            </w:r>
          </w:p>
        </w:tc>
        <w:tc>
          <w:tcPr>
            <w:tcW w:w="2211" w:type="dxa"/>
            <w:tcBorders>
              <w:top w:val="single" w:sz="8" w:space="0" w:color="000000"/>
              <w:left w:val="single" w:sz="8" w:space="0" w:color="000000"/>
              <w:bottom w:val="single" w:sz="8" w:space="0" w:color="000000"/>
              <w:right w:val="single" w:sz="8" w:space="0" w:color="000000"/>
            </w:tcBorders>
            <w:vAlign w:val="center"/>
          </w:tcPr>
          <w:p w14:paraId="0E4015BB" w14:textId="064FEA38" w:rsidR="00B23A65" w:rsidRPr="0070574C" w:rsidRDefault="00440F06" w:rsidP="009D09DC">
            <w:pPr>
              <w:spacing w:after="0" w:line="240" w:lineRule="auto"/>
              <w:ind w:left="0" w:right="8" w:firstLine="0"/>
              <w:jc w:val="center"/>
            </w:pPr>
            <w:r w:rsidRPr="0070574C">
              <w:t>Dirección Ejecutiva</w:t>
            </w:r>
          </w:p>
        </w:tc>
        <w:tc>
          <w:tcPr>
            <w:tcW w:w="2211" w:type="dxa"/>
            <w:tcBorders>
              <w:top w:val="single" w:sz="8" w:space="0" w:color="000000"/>
              <w:left w:val="single" w:sz="8" w:space="0" w:color="000000"/>
              <w:bottom w:val="single" w:sz="8" w:space="0" w:color="000000"/>
              <w:right w:val="single" w:sz="8" w:space="0" w:color="000000"/>
            </w:tcBorders>
            <w:vAlign w:val="center"/>
          </w:tcPr>
          <w:p w14:paraId="4B8E56BD" w14:textId="710B74BB" w:rsidR="00B23A65" w:rsidRPr="0070574C" w:rsidRDefault="00440F06" w:rsidP="009D09DC">
            <w:pPr>
              <w:spacing w:after="0" w:line="240" w:lineRule="auto"/>
              <w:ind w:left="49" w:right="0" w:firstLine="0"/>
              <w:jc w:val="center"/>
            </w:pPr>
            <w:r w:rsidRPr="0070574C">
              <w:t xml:space="preserve">Comité Técnico de Continuidad del Servicio </w:t>
            </w:r>
          </w:p>
        </w:tc>
      </w:tr>
      <w:tr w:rsidR="00B23A65" w:rsidRPr="0070574C" w14:paraId="4BC364EE" w14:textId="77777777">
        <w:trPr>
          <w:trHeight w:val="398"/>
        </w:trPr>
        <w:tc>
          <w:tcPr>
            <w:tcW w:w="0" w:type="auto"/>
            <w:vMerge/>
            <w:tcBorders>
              <w:top w:val="nil"/>
              <w:left w:val="single" w:sz="8" w:space="0" w:color="000000"/>
              <w:bottom w:val="single" w:sz="8" w:space="0" w:color="000000"/>
              <w:right w:val="single" w:sz="8" w:space="0" w:color="000000"/>
            </w:tcBorders>
          </w:tcPr>
          <w:p w14:paraId="2735C9AD" w14:textId="77777777" w:rsidR="00B23A65" w:rsidRPr="0070574C" w:rsidRDefault="00B23A65" w:rsidP="009D09DC">
            <w:pPr>
              <w:spacing w:after="0" w:line="240" w:lineRule="auto"/>
              <w:ind w:left="0" w:right="0" w:firstLine="0"/>
              <w:jc w:val="left"/>
            </w:pPr>
          </w:p>
        </w:tc>
        <w:tc>
          <w:tcPr>
            <w:tcW w:w="2208" w:type="dxa"/>
            <w:tcBorders>
              <w:top w:val="single" w:sz="8" w:space="0" w:color="000000"/>
              <w:left w:val="single" w:sz="8" w:space="0" w:color="000000"/>
              <w:bottom w:val="single" w:sz="8" w:space="0" w:color="000000"/>
              <w:right w:val="single" w:sz="8" w:space="0" w:color="000000"/>
            </w:tcBorders>
          </w:tcPr>
          <w:p w14:paraId="5586ADB7" w14:textId="77777777" w:rsidR="00B23A65" w:rsidRPr="0070574C" w:rsidRDefault="00000000" w:rsidP="009D09DC">
            <w:pPr>
              <w:spacing w:after="0" w:line="240" w:lineRule="auto"/>
              <w:ind w:left="0" w:right="5" w:firstLine="0"/>
              <w:jc w:val="center"/>
            </w:pPr>
            <w:r w:rsidRPr="0070574C">
              <w:t xml:space="preserve">Firma </w:t>
            </w:r>
          </w:p>
        </w:tc>
        <w:tc>
          <w:tcPr>
            <w:tcW w:w="2211" w:type="dxa"/>
            <w:tcBorders>
              <w:top w:val="single" w:sz="8" w:space="0" w:color="000000"/>
              <w:left w:val="single" w:sz="8" w:space="0" w:color="000000"/>
              <w:bottom w:val="single" w:sz="8" w:space="0" w:color="000000"/>
              <w:right w:val="single" w:sz="8" w:space="0" w:color="000000"/>
            </w:tcBorders>
          </w:tcPr>
          <w:p w14:paraId="2AC32457" w14:textId="77777777" w:rsidR="00B23A65" w:rsidRPr="0070574C" w:rsidRDefault="00000000" w:rsidP="009D09DC">
            <w:pPr>
              <w:spacing w:after="0" w:line="240" w:lineRule="auto"/>
              <w:ind w:left="0" w:right="2" w:firstLine="0"/>
              <w:jc w:val="center"/>
            </w:pPr>
            <w:r w:rsidRPr="0070574C">
              <w:t xml:space="preserve">Firma </w:t>
            </w:r>
          </w:p>
        </w:tc>
        <w:tc>
          <w:tcPr>
            <w:tcW w:w="2211" w:type="dxa"/>
            <w:tcBorders>
              <w:top w:val="single" w:sz="8" w:space="0" w:color="000000"/>
              <w:left w:val="single" w:sz="8" w:space="0" w:color="000000"/>
              <w:bottom w:val="single" w:sz="8" w:space="0" w:color="000000"/>
              <w:right w:val="single" w:sz="8" w:space="0" w:color="000000"/>
            </w:tcBorders>
          </w:tcPr>
          <w:p w14:paraId="1B55F5CC" w14:textId="77777777" w:rsidR="00B23A65" w:rsidRPr="0070574C" w:rsidRDefault="00000000" w:rsidP="009D09DC">
            <w:pPr>
              <w:spacing w:after="0" w:line="240" w:lineRule="auto"/>
              <w:ind w:left="0" w:right="6" w:firstLine="0"/>
              <w:jc w:val="center"/>
            </w:pPr>
            <w:r w:rsidRPr="0070574C">
              <w:t xml:space="preserve">Firma </w:t>
            </w:r>
          </w:p>
        </w:tc>
      </w:tr>
    </w:tbl>
    <w:p w14:paraId="2203E5CA" w14:textId="77777777" w:rsidR="00B23A65" w:rsidRPr="0070574C" w:rsidRDefault="00000000" w:rsidP="009D09DC">
      <w:pPr>
        <w:spacing w:after="0" w:line="240" w:lineRule="auto"/>
        <w:ind w:left="0" w:right="0" w:firstLine="0"/>
        <w:jc w:val="left"/>
      </w:pPr>
      <w:r w:rsidRPr="0070574C">
        <w:t xml:space="preserve"> </w:t>
      </w:r>
    </w:p>
    <w:p w14:paraId="0A933C5F" w14:textId="77777777" w:rsidR="00B23A65" w:rsidRPr="0070574C" w:rsidRDefault="00000000" w:rsidP="009D09DC">
      <w:pPr>
        <w:spacing w:after="0" w:line="240" w:lineRule="auto"/>
        <w:ind w:left="0" w:right="0" w:firstLine="0"/>
        <w:jc w:val="left"/>
      </w:pPr>
      <w:r w:rsidRPr="0070574C">
        <w:t xml:space="preserve"> </w:t>
      </w:r>
    </w:p>
    <w:p w14:paraId="4D7FAEA6" w14:textId="77777777" w:rsidR="00B23A65" w:rsidRPr="0070574C" w:rsidRDefault="00000000" w:rsidP="009D09DC">
      <w:pPr>
        <w:spacing w:after="0" w:line="240" w:lineRule="auto"/>
        <w:ind w:left="0" w:right="0" w:firstLine="0"/>
        <w:jc w:val="left"/>
      </w:pPr>
      <w:r w:rsidRPr="0070574C">
        <w:t xml:space="preserve"> </w:t>
      </w:r>
    </w:p>
    <w:p w14:paraId="365C019A" w14:textId="77777777" w:rsidR="00B23A65" w:rsidRPr="0070574C" w:rsidRDefault="00000000" w:rsidP="009D09DC">
      <w:pPr>
        <w:spacing w:after="0" w:line="240" w:lineRule="auto"/>
        <w:ind w:left="0" w:right="0" w:firstLine="0"/>
        <w:jc w:val="left"/>
      </w:pPr>
      <w:r w:rsidRPr="0070574C">
        <w:t xml:space="preserve"> </w:t>
      </w:r>
    </w:p>
    <w:p w14:paraId="6489D391" w14:textId="67BCBF18" w:rsidR="00B23A65" w:rsidRPr="0070574C" w:rsidRDefault="00000000" w:rsidP="009D09DC">
      <w:pPr>
        <w:spacing w:after="0" w:line="240" w:lineRule="auto"/>
        <w:ind w:left="0" w:right="0" w:firstLine="0"/>
        <w:jc w:val="left"/>
      </w:pPr>
      <w:r w:rsidRPr="0070574C">
        <w:t xml:space="preserve"> </w:t>
      </w:r>
    </w:p>
    <w:p w14:paraId="07F45064" w14:textId="77777777" w:rsidR="00440F06" w:rsidRPr="0070574C" w:rsidRDefault="00440F06" w:rsidP="009D09DC">
      <w:pPr>
        <w:spacing w:after="0" w:line="240" w:lineRule="auto"/>
        <w:ind w:left="-5" w:right="94"/>
      </w:pPr>
    </w:p>
    <w:p w14:paraId="16865BE3" w14:textId="6A3845E8" w:rsidR="00B23A65" w:rsidRPr="0070574C" w:rsidRDefault="00000000" w:rsidP="009D09DC">
      <w:pPr>
        <w:spacing w:after="0" w:line="240" w:lineRule="auto"/>
        <w:ind w:left="-5" w:right="94"/>
      </w:pPr>
      <w:r w:rsidRPr="0070574C">
        <w:t xml:space="preserve">Este documento es propiedad intelectual del Poder Judicial de la República de Costa Rica; y contiene información confidencial únicamente para uso interno de la Institución. Si usted no tiene permiso para este documento, debe devolverlo a la Dirección Ejecutiva y además, se le notifica que cualquier divulgación, copia, distribución o realizar cualquier acción basada en este documento está estrictamente prohibido. </w:t>
      </w:r>
    </w:p>
    <w:p w14:paraId="0BDEC288" w14:textId="7BD9886F" w:rsidR="009D7F46" w:rsidRPr="0070574C" w:rsidRDefault="009D7F46" w:rsidP="009D09DC">
      <w:pPr>
        <w:spacing w:after="0" w:line="240" w:lineRule="auto"/>
        <w:ind w:left="-5" w:right="94"/>
      </w:pPr>
    </w:p>
    <w:p w14:paraId="635410E5" w14:textId="2B1903B9" w:rsidR="009D7F46" w:rsidRPr="0070574C" w:rsidRDefault="009D7F46" w:rsidP="009D09DC">
      <w:pPr>
        <w:spacing w:after="0" w:line="240" w:lineRule="auto"/>
        <w:ind w:left="0" w:right="0" w:firstLine="0"/>
        <w:jc w:val="left"/>
      </w:pPr>
      <w:r w:rsidRPr="0070574C">
        <w:br w:type="page"/>
      </w:r>
    </w:p>
    <w:sdt>
      <w:sdtPr>
        <w:rPr>
          <w:rFonts w:ascii="Arial" w:eastAsia="Arial" w:hAnsi="Arial" w:cs="Arial"/>
          <w:color w:val="000000"/>
          <w:sz w:val="22"/>
          <w:szCs w:val="22"/>
          <w:lang w:val="es-ES"/>
        </w:rPr>
        <w:id w:val="-1198310225"/>
        <w:docPartObj>
          <w:docPartGallery w:val="Table of Contents"/>
          <w:docPartUnique/>
        </w:docPartObj>
      </w:sdtPr>
      <w:sdtEndPr>
        <w:rPr>
          <w:b/>
          <w:bCs/>
        </w:rPr>
      </w:sdtEndPr>
      <w:sdtContent>
        <w:p w14:paraId="2842314C" w14:textId="5DD1E192" w:rsidR="00237B50" w:rsidRPr="00CF187A" w:rsidRDefault="00237B50" w:rsidP="009D09DC">
          <w:pPr>
            <w:pStyle w:val="TtuloTDC"/>
            <w:spacing w:before="0" w:line="240" w:lineRule="auto"/>
            <w:jc w:val="center"/>
            <w:rPr>
              <w:rFonts w:ascii="Arial" w:hAnsi="Arial" w:cs="Arial"/>
              <w:b/>
              <w:bCs/>
              <w:color w:val="002060"/>
              <w:lang w:val="es-ES"/>
            </w:rPr>
          </w:pPr>
          <w:r w:rsidRPr="00CF187A">
            <w:rPr>
              <w:rFonts w:ascii="Arial" w:hAnsi="Arial" w:cs="Arial"/>
              <w:b/>
              <w:bCs/>
              <w:color w:val="002060"/>
              <w:lang w:val="es-ES"/>
            </w:rPr>
            <w:t>Contenido</w:t>
          </w:r>
        </w:p>
        <w:p w14:paraId="57C77614" w14:textId="77777777" w:rsidR="0070574C" w:rsidRPr="00CF187A" w:rsidRDefault="0070574C" w:rsidP="009D09DC">
          <w:pPr>
            <w:spacing w:after="0" w:line="240" w:lineRule="auto"/>
            <w:rPr>
              <w:lang w:val="es-ES"/>
            </w:rPr>
          </w:pPr>
        </w:p>
        <w:p w14:paraId="62F3FCCF" w14:textId="044CC8DA" w:rsidR="005124E2" w:rsidRDefault="00237B50">
          <w:pPr>
            <w:pStyle w:val="TDC1"/>
            <w:rPr>
              <w:rFonts w:cstheme="minorBidi"/>
              <w:noProof/>
            </w:rPr>
          </w:pPr>
          <w:r w:rsidRPr="00CF187A">
            <w:rPr>
              <w:rFonts w:ascii="Arial" w:hAnsi="Arial" w:cs="Arial"/>
            </w:rPr>
            <w:fldChar w:fldCharType="begin"/>
          </w:r>
          <w:r w:rsidRPr="00CF187A">
            <w:rPr>
              <w:rFonts w:ascii="Arial" w:hAnsi="Arial" w:cs="Arial"/>
            </w:rPr>
            <w:instrText xml:space="preserve"> TOC \o "1-3" \h \z \u </w:instrText>
          </w:r>
          <w:r w:rsidRPr="00CF187A">
            <w:rPr>
              <w:rFonts w:ascii="Arial" w:hAnsi="Arial" w:cs="Arial"/>
            </w:rPr>
            <w:fldChar w:fldCharType="separate"/>
          </w:r>
          <w:hyperlink w:anchor="_Toc155778512" w:history="1">
            <w:r w:rsidR="005124E2" w:rsidRPr="0097458C">
              <w:rPr>
                <w:rStyle w:val="Hipervnculo"/>
                <w:b/>
                <w:bCs/>
                <w:noProof/>
              </w:rPr>
              <w:t>Control de Cambios</w:t>
            </w:r>
            <w:r w:rsidR="005124E2">
              <w:rPr>
                <w:noProof/>
                <w:webHidden/>
              </w:rPr>
              <w:tab/>
            </w:r>
            <w:r w:rsidR="005124E2">
              <w:rPr>
                <w:noProof/>
                <w:webHidden/>
              </w:rPr>
              <w:fldChar w:fldCharType="begin"/>
            </w:r>
            <w:r w:rsidR="005124E2">
              <w:rPr>
                <w:noProof/>
                <w:webHidden/>
              </w:rPr>
              <w:instrText xml:space="preserve"> PAGEREF _Toc155778512 \h </w:instrText>
            </w:r>
            <w:r w:rsidR="005124E2">
              <w:rPr>
                <w:noProof/>
                <w:webHidden/>
              </w:rPr>
            </w:r>
            <w:r w:rsidR="005124E2">
              <w:rPr>
                <w:noProof/>
                <w:webHidden/>
              </w:rPr>
              <w:fldChar w:fldCharType="separate"/>
            </w:r>
            <w:r w:rsidR="00172B3B">
              <w:rPr>
                <w:noProof/>
                <w:webHidden/>
              </w:rPr>
              <w:t>2</w:t>
            </w:r>
            <w:r w:rsidR="005124E2">
              <w:rPr>
                <w:noProof/>
                <w:webHidden/>
              </w:rPr>
              <w:fldChar w:fldCharType="end"/>
            </w:r>
          </w:hyperlink>
        </w:p>
        <w:p w14:paraId="453669C4" w14:textId="318DA954" w:rsidR="005124E2" w:rsidRDefault="00000000">
          <w:pPr>
            <w:pStyle w:val="TDC1"/>
            <w:rPr>
              <w:rFonts w:cstheme="minorBidi"/>
              <w:noProof/>
            </w:rPr>
          </w:pPr>
          <w:hyperlink w:anchor="_Toc155778513" w:history="1">
            <w:r w:rsidR="005124E2" w:rsidRPr="0097458C">
              <w:rPr>
                <w:rStyle w:val="Hipervnculo"/>
                <w:b/>
                <w:bCs/>
                <w:noProof/>
              </w:rPr>
              <w:t>Control de Aprobación</w:t>
            </w:r>
            <w:r w:rsidR="005124E2">
              <w:rPr>
                <w:noProof/>
                <w:webHidden/>
              </w:rPr>
              <w:tab/>
            </w:r>
            <w:r w:rsidR="005124E2">
              <w:rPr>
                <w:noProof/>
                <w:webHidden/>
              </w:rPr>
              <w:fldChar w:fldCharType="begin"/>
            </w:r>
            <w:r w:rsidR="005124E2">
              <w:rPr>
                <w:noProof/>
                <w:webHidden/>
              </w:rPr>
              <w:instrText xml:space="preserve"> PAGEREF _Toc155778513 \h </w:instrText>
            </w:r>
            <w:r w:rsidR="005124E2">
              <w:rPr>
                <w:noProof/>
                <w:webHidden/>
              </w:rPr>
            </w:r>
            <w:r w:rsidR="005124E2">
              <w:rPr>
                <w:noProof/>
                <w:webHidden/>
              </w:rPr>
              <w:fldChar w:fldCharType="separate"/>
            </w:r>
            <w:r w:rsidR="00172B3B">
              <w:rPr>
                <w:noProof/>
                <w:webHidden/>
              </w:rPr>
              <w:t>2</w:t>
            </w:r>
            <w:r w:rsidR="005124E2">
              <w:rPr>
                <w:noProof/>
                <w:webHidden/>
              </w:rPr>
              <w:fldChar w:fldCharType="end"/>
            </w:r>
          </w:hyperlink>
        </w:p>
        <w:p w14:paraId="53845281" w14:textId="4E10E013" w:rsidR="005124E2" w:rsidRDefault="00000000">
          <w:pPr>
            <w:pStyle w:val="TDC1"/>
            <w:tabs>
              <w:tab w:val="left" w:pos="660"/>
            </w:tabs>
            <w:rPr>
              <w:rFonts w:cstheme="minorBidi"/>
              <w:noProof/>
            </w:rPr>
          </w:pPr>
          <w:hyperlink w:anchor="_Toc155778514" w:history="1">
            <w:r w:rsidR="005124E2" w:rsidRPr="0097458C">
              <w:rPr>
                <w:rStyle w:val="Hipervnculo"/>
                <w:b/>
                <w:bCs/>
                <w:noProof/>
              </w:rPr>
              <w:t xml:space="preserve">1. </w:t>
            </w:r>
            <w:r w:rsidR="005124E2">
              <w:rPr>
                <w:rFonts w:cstheme="minorBidi"/>
                <w:noProof/>
              </w:rPr>
              <w:tab/>
            </w:r>
            <w:r w:rsidR="005124E2" w:rsidRPr="0097458C">
              <w:rPr>
                <w:rStyle w:val="Hipervnculo"/>
                <w:b/>
                <w:bCs/>
                <w:noProof/>
              </w:rPr>
              <w:t>Introducción</w:t>
            </w:r>
            <w:r w:rsidR="005124E2">
              <w:rPr>
                <w:noProof/>
                <w:webHidden/>
              </w:rPr>
              <w:tab/>
            </w:r>
            <w:r w:rsidR="005124E2">
              <w:rPr>
                <w:noProof/>
                <w:webHidden/>
              </w:rPr>
              <w:fldChar w:fldCharType="begin"/>
            </w:r>
            <w:r w:rsidR="005124E2">
              <w:rPr>
                <w:noProof/>
                <w:webHidden/>
              </w:rPr>
              <w:instrText xml:space="preserve"> PAGEREF _Toc155778514 \h </w:instrText>
            </w:r>
            <w:r w:rsidR="005124E2">
              <w:rPr>
                <w:noProof/>
                <w:webHidden/>
              </w:rPr>
            </w:r>
            <w:r w:rsidR="005124E2">
              <w:rPr>
                <w:noProof/>
                <w:webHidden/>
              </w:rPr>
              <w:fldChar w:fldCharType="separate"/>
            </w:r>
            <w:r w:rsidR="00172B3B">
              <w:rPr>
                <w:noProof/>
                <w:webHidden/>
              </w:rPr>
              <w:t>5</w:t>
            </w:r>
            <w:r w:rsidR="005124E2">
              <w:rPr>
                <w:noProof/>
                <w:webHidden/>
              </w:rPr>
              <w:fldChar w:fldCharType="end"/>
            </w:r>
          </w:hyperlink>
        </w:p>
        <w:p w14:paraId="165DF196" w14:textId="28416E28" w:rsidR="005124E2" w:rsidRDefault="00000000">
          <w:pPr>
            <w:pStyle w:val="TDC1"/>
            <w:tabs>
              <w:tab w:val="left" w:pos="440"/>
            </w:tabs>
            <w:rPr>
              <w:rFonts w:cstheme="minorBidi"/>
              <w:noProof/>
            </w:rPr>
          </w:pPr>
          <w:hyperlink w:anchor="_Toc155778515" w:history="1">
            <w:r w:rsidR="005124E2" w:rsidRPr="0097458C">
              <w:rPr>
                <w:rStyle w:val="Hipervnculo"/>
                <w:b/>
                <w:bCs/>
                <w:noProof/>
              </w:rPr>
              <w:t>2.</w:t>
            </w:r>
            <w:r w:rsidR="005124E2">
              <w:rPr>
                <w:rFonts w:cstheme="minorBidi"/>
                <w:noProof/>
              </w:rPr>
              <w:tab/>
            </w:r>
            <w:r w:rsidR="005124E2" w:rsidRPr="0097458C">
              <w:rPr>
                <w:rStyle w:val="Hipervnculo"/>
                <w:b/>
                <w:bCs/>
                <w:noProof/>
              </w:rPr>
              <w:t>Objetivo y Alcance del Documento</w:t>
            </w:r>
            <w:r w:rsidR="005124E2">
              <w:rPr>
                <w:noProof/>
                <w:webHidden/>
              </w:rPr>
              <w:tab/>
            </w:r>
            <w:r w:rsidR="005124E2">
              <w:rPr>
                <w:noProof/>
                <w:webHidden/>
              </w:rPr>
              <w:fldChar w:fldCharType="begin"/>
            </w:r>
            <w:r w:rsidR="005124E2">
              <w:rPr>
                <w:noProof/>
                <w:webHidden/>
              </w:rPr>
              <w:instrText xml:space="preserve"> PAGEREF _Toc155778515 \h </w:instrText>
            </w:r>
            <w:r w:rsidR="005124E2">
              <w:rPr>
                <w:noProof/>
                <w:webHidden/>
              </w:rPr>
            </w:r>
            <w:r w:rsidR="005124E2">
              <w:rPr>
                <w:noProof/>
                <w:webHidden/>
              </w:rPr>
              <w:fldChar w:fldCharType="separate"/>
            </w:r>
            <w:r w:rsidR="00172B3B">
              <w:rPr>
                <w:noProof/>
                <w:webHidden/>
              </w:rPr>
              <w:t>6</w:t>
            </w:r>
            <w:r w:rsidR="005124E2">
              <w:rPr>
                <w:noProof/>
                <w:webHidden/>
              </w:rPr>
              <w:fldChar w:fldCharType="end"/>
            </w:r>
          </w:hyperlink>
        </w:p>
        <w:p w14:paraId="2D09CF5A" w14:textId="387665BC" w:rsidR="005124E2" w:rsidRDefault="00000000">
          <w:pPr>
            <w:pStyle w:val="TDC1"/>
            <w:tabs>
              <w:tab w:val="left" w:pos="440"/>
            </w:tabs>
            <w:rPr>
              <w:rFonts w:cstheme="minorBidi"/>
              <w:noProof/>
            </w:rPr>
          </w:pPr>
          <w:hyperlink w:anchor="_Toc155778516" w:history="1">
            <w:r w:rsidR="005124E2" w:rsidRPr="0097458C">
              <w:rPr>
                <w:rStyle w:val="Hipervnculo"/>
                <w:b/>
                <w:bCs/>
                <w:noProof/>
              </w:rPr>
              <w:t>3.</w:t>
            </w:r>
            <w:r w:rsidR="005124E2">
              <w:rPr>
                <w:rFonts w:cstheme="minorBidi"/>
                <w:noProof/>
              </w:rPr>
              <w:tab/>
            </w:r>
            <w:r w:rsidR="005124E2" w:rsidRPr="0097458C">
              <w:rPr>
                <w:rStyle w:val="Hipervnculo"/>
                <w:b/>
                <w:bCs/>
                <w:noProof/>
              </w:rPr>
              <w:t>Antecedentes</w:t>
            </w:r>
            <w:r w:rsidR="005124E2">
              <w:rPr>
                <w:noProof/>
                <w:webHidden/>
              </w:rPr>
              <w:tab/>
            </w:r>
            <w:r w:rsidR="005124E2">
              <w:rPr>
                <w:noProof/>
                <w:webHidden/>
              </w:rPr>
              <w:fldChar w:fldCharType="begin"/>
            </w:r>
            <w:r w:rsidR="005124E2">
              <w:rPr>
                <w:noProof/>
                <w:webHidden/>
              </w:rPr>
              <w:instrText xml:space="preserve"> PAGEREF _Toc155778516 \h </w:instrText>
            </w:r>
            <w:r w:rsidR="005124E2">
              <w:rPr>
                <w:noProof/>
                <w:webHidden/>
              </w:rPr>
            </w:r>
            <w:r w:rsidR="005124E2">
              <w:rPr>
                <w:noProof/>
                <w:webHidden/>
              </w:rPr>
              <w:fldChar w:fldCharType="separate"/>
            </w:r>
            <w:r w:rsidR="00172B3B">
              <w:rPr>
                <w:noProof/>
                <w:webHidden/>
              </w:rPr>
              <w:t>7</w:t>
            </w:r>
            <w:r w:rsidR="005124E2">
              <w:rPr>
                <w:noProof/>
                <w:webHidden/>
              </w:rPr>
              <w:fldChar w:fldCharType="end"/>
            </w:r>
          </w:hyperlink>
        </w:p>
        <w:p w14:paraId="6C646A96" w14:textId="2A0178C4" w:rsidR="005124E2" w:rsidRDefault="00000000">
          <w:pPr>
            <w:pStyle w:val="TDC1"/>
            <w:tabs>
              <w:tab w:val="left" w:pos="660"/>
            </w:tabs>
            <w:rPr>
              <w:rFonts w:cstheme="minorBidi"/>
              <w:noProof/>
            </w:rPr>
          </w:pPr>
          <w:hyperlink w:anchor="_Toc155778517" w:history="1">
            <w:r w:rsidR="005124E2" w:rsidRPr="0097458C">
              <w:rPr>
                <w:rStyle w:val="Hipervnculo"/>
                <w:b/>
                <w:bCs/>
                <w:noProof/>
              </w:rPr>
              <w:t xml:space="preserve">4. </w:t>
            </w:r>
            <w:r w:rsidR="005124E2">
              <w:rPr>
                <w:rFonts w:cstheme="minorBidi"/>
                <w:noProof/>
              </w:rPr>
              <w:tab/>
            </w:r>
            <w:r w:rsidR="005124E2" w:rsidRPr="0097458C">
              <w:rPr>
                <w:rStyle w:val="Hipervnculo"/>
                <w:b/>
                <w:bCs/>
                <w:noProof/>
              </w:rPr>
              <w:t>Documentación de referencia</w:t>
            </w:r>
            <w:r w:rsidR="005124E2">
              <w:rPr>
                <w:noProof/>
                <w:webHidden/>
              </w:rPr>
              <w:tab/>
            </w:r>
            <w:r w:rsidR="005124E2">
              <w:rPr>
                <w:noProof/>
                <w:webHidden/>
              </w:rPr>
              <w:fldChar w:fldCharType="begin"/>
            </w:r>
            <w:r w:rsidR="005124E2">
              <w:rPr>
                <w:noProof/>
                <w:webHidden/>
              </w:rPr>
              <w:instrText xml:space="preserve"> PAGEREF _Toc155778517 \h </w:instrText>
            </w:r>
            <w:r w:rsidR="005124E2">
              <w:rPr>
                <w:noProof/>
                <w:webHidden/>
              </w:rPr>
            </w:r>
            <w:r w:rsidR="005124E2">
              <w:rPr>
                <w:noProof/>
                <w:webHidden/>
              </w:rPr>
              <w:fldChar w:fldCharType="separate"/>
            </w:r>
            <w:r w:rsidR="00172B3B">
              <w:rPr>
                <w:noProof/>
                <w:webHidden/>
              </w:rPr>
              <w:t>8</w:t>
            </w:r>
            <w:r w:rsidR="005124E2">
              <w:rPr>
                <w:noProof/>
                <w:webHidden/>
              </w:rPr>
              <w:fldChar w:fldCharType="end"/>
            </w:r>
          </w:hyperlink>
        </w:p>
        <w:p w14:paraId="6359F3DA" w14:textId="53D7447B" w:rsidR="005124E2" w:rsidRDefault="00000000">
          <w:pPr>
            <w:pStyle w:val="TDC1"/>
            <w:tabs>
              <w:tab w:val="left" w:pos="660"/>
            </w:tabs>
            <w:rPr>
              <w:rFonts w:cstheme="minorBidi"/>
              <w:noProof/>
            </w:rPr>
          </w:pPr>
          <w:hyperlink w:anchor="_Toc155778518" w:history="1">
            <w:r w:rsidR="005124E2" w:rsidRPr="0097458C">
              <w:rPr>
                <w:rStyle w:val="Hipervnculo"/>
                <w:b/>
                <w:bCs/>
                <w:noProof/>
              </w:rPr>
              <w:t xml:space="preserve">5. </w:t>
            </w:r>
            <w:r w:rsidR="005124E2">
              <w:rPr>
                <w:rFonts w:cstheme="minorBidi"/>
                <w:noProof/>
              </w:rPr>
              <w:tab/>
            </w:r>
            <w:r w:rsidR="005124E2" w:rsidRPr="0097458C">
              <w:rPr>
                <w:rStyle w:val="Hipervnculo"/>
                <w:b/>
                <w:bCs/>
                <w:noProof/>
              </w:rPr>
              <w:t>Definiciones</w:t>
            </w:r>
            <w:r w:rsidR="005124E2">
              <w:rPr>
                <w:noProof/>
                <w:webHidden/>
              </w:rPr>
              <w:tab/>
            </w:r>
            <w:r w:rsidR="005124E2">
              <w:rPr>
                <w:noProof/>
                <w:webHidden/>
              </w:rPr>
              <w:fldChar w:fldCharType="begin"/>
            </w:r>
            <w:r w:rsidR="005124E2">
              <w:rPr>
                <w:noProof/>
                <w:webHidden/>
              </w:rPr>
              <w:instrText xml:space="preserve"> PAGEREF _Toc155778518 \h </w:instrText>
            </w:r>
            <w:r w:rsidR="005124E2">
              <w:rPr>
                <w:noProof/>
                <w:webHidden/>
              </w:rPr>
            </w:r>
            <w:r w:rsidR="005124E2">
              <w:rPr>
                <w:noProof/>
                <w:webHidden/>
              </w:rPr>
              <w:fldChar w:fldCharType="separate"/>
            </w:r>
            <w:r w:rsidR="00172B3B">
              <w:rPr>
                <w:noProof/>
                <w:webHidden/>
              </w:rPr>
              <w:t>8</w:t>
            </w:r>
            <w:r w:rsidR="005124E2">
              <w:rPr>
                <w:noProof/>
                <w:webHidden/>
              </w:rPr>
              <w:fldChar w:fldCharType="end"/>
            </w:r>
          </w:hyperlink>
        </w:p>
        <w:p w14:paraId="0CECD9AD" w14:textId="19C7D6F0" w:rsidR="005124E2" w:rsidRDefault="00000000">
          <w:pPr>
            <w:pStyle w:val="TDC1"/>
            <w:tabs>
              <w:tab w:val="left" w:pos="440"/>
            </w:tabs>
            <w:rPr>
              <w:rFonts w:cstheme="minorBidi"/>
              <w:noProof/>
            </w:rPr>
          </w:pPr>
          <w:hyperlink w:anchor="_Toc155778519" w:history="1">
            <w:r w:rsidR="005124E2" w:rsidRPr="0097458C">
              <w:rPr>
                <w:rStyle w:val="Hipervnculo"/>
                <w:b/>
                <w:bCs/>
                <w:noProof/>
              </w:rPr>
              <w:t>6.</w:t>
            </w:r>
            <w:r w:rsidR="005124E2">
              <w:rPr>
                <w:rFonts w:cstheme="minorBidi"/>
                <w:noProof/>
              </w:rPr>
              <w:tab/>
            </w:r>
            <w:r w:rsidR="005124E2" w:rsidRPr="0097458C">
              <w:rPr>
                <w:rStyle w:val="Hipervnculo"/>
                <w:b/>
                <w:bCs/>
                <w:noProof/>
              </w:rPr>
              <w:t>Metodología</w:t>
            </w:r>
            <w:r w:rsidR="005124E2">
              <w:rPr>
                <w:noProof/>
                <w:webHidden/>
              </w:rPr>
              <w:tab/>
            </w:r>
            <w:r w:rsidR="005124E2">
              <w:rPr>
                <w:noProof/>
                <w:webHidden/>
              </w:rPr>
              <w:fldChar w:fldCharType="begin"/>
            </w:r>
            <w:r w:rsidR="005124E2">
              <w:rPr>
                <w:noProof/>
                <w:webHidden/>
              </w:rPr>
              <w:instrText xml:space="preserve"> PAGEREF _Toc155778519 \h </w:instrText>
            </w:r>
            <w:r w:rsidR="005124E2">
              <w:rPr>
                <w:noProof/>
                <w:webHidden/>
              </w:rPr>
            </w:r>
            <w:r w:rsidR="005124E2">
              <w:rPr>
                <w:noProof/>
                <w:webHidden/>
              </w:rPr>
              <w:fldChar w:fldCharType="separate"/>
            </w:r>
            <w:r w:rsidR="00172B3B">
              <w:rPr>
                <w:noProof/>
                <w:webHidden/>
              </w:rPr>
              <w:t>11</w:t>
            </w:r>
            <w:r w:rsidR="005124E2">
              <w:rPr>
                <w:noProof/>
                <w:webHidden/>
              </w:rPr>
              <w:fldChar w:fldCharType="end"/>
            </w:r>
          </w:hyperlink>
        </w:p>
        <w:p w14:paraId="75676F67" w14:textId="27314535" w:rsidR="005124E2" w:rsidRDefault="00000000">
          <w:pPr>
            <w:pStyle w:val="TDC2"/>
            <w:tabs>
              <w:tab w:val="right" w:leader="dot" w:pos="9394"/>
            </w:tabs>
            <w:rPr>
              <w:rFonts w:cstheme="minorBidi"/>
              <w:noProof/>
            </w:rPr>
          </w:pPr>
          <w:hyperlink w:anchor="_Toc155778520" w:history="1">
            <w:r w:rsidR="005124E2" w:rsidRPr="0097458C">
              <w:rPr>
                <w:rStyle w:val="Hipervnculo"/>
                <w:noProof/>
              </w:rPr>
              <w:t>Tabla 1: Porcentaje asociada a la probabilidad de ocurrencia del riesgo.</w:t>
            </w:r>
            <w:r w:rsidR="005124E2">
              <w:rPr>
                <w:noProof/>
                <w:webHidden/>
              </w:rPr>
              <w:tab/>
            </w:r>
            <w:r w:rsidR="005124E2">
              <w:rPr>
                <w:noProof/>
                <w:webHidden/>
              </w:rPr>
              <w:fldChar w:fldCharType="begin"/>
            </w:r>
            <w:r w:rsidR="005124E2">
              <w:rPr>
                <w:noProof/>
                <w:webHidden/>
              </w:rPr>
              <w:instrText xml:space="preserve"> PAGEREF _Toc155778520 \h </w:instrText>
            </w:r>
            <w:r w:rsidR="005124E2">
              <w:rPr>
                <w:noProof/>
                <w:webHidden/>
              </w:rPr>
            </w:r>
            <w:r w:rsidR="005124E2">
              <w:rPr>
                <w:noProof/>
                <w:webHidden/>
              </w:rPr>
              <w:fldChar w:fldCharType="separate"/>
            </w:r>
            <w:r w:rsidR="00172B3B">
              <w:rPr>
                <w:noProof/>
                <w:webHidden/>
              </w:rPr>
              <w:t>12</w:t>
            </w:r>
            <w:r w:rsidR="005124E2">
              <w:rPr>
                <w:noProof/>
                <w:webHidden/>
              </w:rPr>
              <w:fldChar w:fldCharType="end"/>
            </w:r>
          </w:hyperlink>
        </w:p>
        <w:p w14:paraId="1C29AD0B" w14:textId="239D8D3A" w:rsidR="005124E2" w:rsidRDefault="00000000">
          <w:pPr>
            <w:pStyle w:val="TDC2"/>
            <w:tabs>
              <w:tab w:val="right" w:leader="dot" w:pos="9394"/>
            </w:tabs>
            <w:rPr>
              <w:rFonts w:cstheme="minorBidi"/>
              <w:noProof/>
            </w:rPr>
          </w:pPr>
          <w:hyperlink w:anchor="_Toc155778521" w:history="1">
            <w:r w:rsidR="005124E2" w:rsidRPr="0097458C">
              <w:rPr>
                <w:rStyle w:val="Hipervnculo"/>
                <w:noProof/>
              </w:rPr>
              <w:t>Tabla 2: Puntaje asociada al impacto del riesgo.</w:t>
            </w:r>
            <w:r w:rsidR="005124E2">
              <w:rPr>
                <w:noProof/>
                <w:webHidden/>
              </w:rPr>
              <w:tab/>
            </w:r>
            <w:r w:rsidR="005124E2">
              <w:rPr>
                <w:noProof/>
                <w:webHidden/>
              </w:rPr>
              <w:fldChar w:fldCharType="begin"/>
            </w:r>
            <w:r w:rsidR="005124E2">
              <w:rPr>
                <w:noProof/>
                <w:webHidden/>
              </w:rPr>
              <w:instrText xml:space="preserve"> PAGEREF _Toc155778521 \h </w:instrText>
            </w:r>
            <w:r w:rsidR="005124E2">
              <w:rPr>
                <w:noProof/>
                <w:webHidden/>
              </w:rPr>
            </w:r>
            <w:r w:rsidR="005124E2">
              <w:rPr>
                <w:noProof/>
                <w:webHidden/>
              </w:rPr>
              <w:fldChar w:fldCharType="separate"/>
            </w:r>
            <w:r w:rsidR="00172B3B">
              <w:rPr>
                <w:noProof/>
                <w:webHidden/>
              </w:rPr>
              <w:t>12</w:t>
            </w:r>
            <w:r w:rsidR="005124E2">
              <w:rPr>
                <w:noProof/>
                <w:webHidden/>
              </w:rPr>
              <w:fldChar w:fldCharType="end"/>
            </w:r>
          </w:hyperlink>
        </w:p>
        <w:p w14:paraId="05E044C2" w14:textId="1C9F7219" w:rsidR="005124E2" w:rsidRDefault="00000000">
          <w:pPr>
            <w:pStyle w:val="TDC2"/>
            <w:tabs>
              <w:tab w:val="right" w:leader="dot" w:pos="9394"/>
            </w:tabs>
            <w:rPr>
              <w:rFonts w:cstheme="minorBidi"/>
              <w:noProof/>
            </w:rPr>
          </w:pPr>
          <w:hyperlink w:anchor="_Toc155778522" w:history="1">
            <w:r w:rsidR="005124E2" w:rsidRPr="0097458C">
              <w:rPr>
                <w:rStyle w:val="Hipervnculo"/>
                <w:noProof/>
              </w:rPr>
              <w:t>Tabla 3: Estimación nivel de riesgo inherente.</w:t>
            </w:r>
            <w:r w:rsidR="005124E2">
              <w:rPr>
                <w:noProof/>
                <w:webHidden/>
              </w:rPr>
              <w:tab/>
            </w:r>
            <w:r w:rsidR="005124E2">
              <w:rPr>
                <w:noProof/>
                <w:webHidden/>
              </w:rPr>
              <w:fldChar w:fldCharType="begin"/>
            </w:r>
            <w:r w:rsidR="005124E2">
              <w:rPr>
                <w:noProof/>
                <w:webHidden/>
              </w:rPr>
              <w:instrText xml:space="preserve"> PAGEREF _Toc155778522 \h </w:instrText>
            </w:r>
            <w:r w:rsidR="005124E2">
              <w:rPr>
                <w:noProof/>
                <w:webHidden/>
              </w:rPr>
            </w:r>
            <w:r w:rsidR="005124E2">
              <w:rPr>
                <w:noProof/>
                <w:webHidden/>
              </w:rPr>
              <w:fldChar w:fldCharType="separate"/>
            </w:r>
            <w:r w:rsidR="00172B3B">
              <w:rPr>
                <w:noProof/>
                <w:webHidden/>
              </w:rPr>
              <w:t>13</w:t>
            </w:r>
            <w:r w:rsidR="005124E2">
              <w:rPr>
                <w:noProof/>
                <w:webHidden/>
              </w:rPr>
              <w:fldChar w:fldCharType="end"/>
            </w:r>
          </w:hyperlink>
        </w:p>
        <w:p w14:paraId="07BA7E14" w14:textId="229286E5" w:rsidR="005124E2" w:rsidRDefault="00000000">
          <w:pPr>
            <w:pStyle w:val="TDC2"/>
            <w:tabs>
              <w:tab w:val="right" w:leader="dot" w:pos="9394"/>
            </w:tabs>
            <w:rPr>
              <w:rFonts w:cstheme="minorBidi"/>
              <w:noProof/>
            </w:rPr>
          </w:pPr>
          <w:hyperlink w:anchor="_Toc155778523" w:history="1">
            <w:r w:rsidR="005124E2" w:rsidRPr="0097458C">
              <w:rPr>
                <w:rStyle w:val="Hipervnculo"/>
                <w:noProof/>
              </w:rPr>
              <w:t>Tabla 4: Declaración del apetito de riesgo en el Poder Judicial.</w:t>
            </w:r>
            <w:r w:rsidR="005124E2">
              <w:rPr>
                <w:noProof/>
                <w:webHidden/>
              </w:rPr>
              <w:tab/>
            </w:r>
            <w:r w:rsidR="005124E2">
              <w:rPr>
                <w:noProof/>
                <w:webHidden/>
              </w:rPr>
              <w:fldChar w:fldCharType="begin"/>
            </w:r>
            <w:r w:rsidR="005124E2">
              <w:rPr>
                <w:noProof/>
                <w:webHidden/>
              </w:rPr>
              <w:instrText xml:space="preserve"> PAGEREF _Toc155778523 \h </w:instrText>
            </w:r>
            <w:r w:rsidR="005124E2">
              <w:rPr>
                <w:noProof/>
                <w:webHidden/>
              </w:rPr>
            </w:r>
            <w:r w:rsidR="005124E2">
              <w:rPr>
                <w:noProof/>
                <w:webHidden/>
              </w:rPr>
              <w:fldChar w:fldCharType="separate"/>
            </w:r>
            <w:r w:rsidR="00172B3B">
              <w:rPr>
                <w:noProof/>
                <w:webHidden/>
              </w:rPr>
              <w:t>13</w:t>
            </w:r>
            <w:r w:rsidR="005124E2">
              <w:rPr>
                <w:noProof/>
                <w:webHidden/>
              </w:rPr>
              <w:fldChar w:fldCharType="end"/>
            </w:r>
          </w:hyperlink>
        </w:p>
        <w:p w14:paraId="18837034" w14:textId="448F3BFB" w:rsidR="005124E2" w:rsidRDefault="00000000">
          <w:pPr>
            <w:pStyle w:val="TDC2"/>
            <w:tabs>
              <w:tab w:val="right" w:leader="dot" w:pos="9394"/>
            </w:tabs>
            <w:rPr>
              <w:rFonts w:cstheme="minorBidi"/>
              <w:noProof/>
            </w:rPr>
          </w:pPr>
          <w:hyperlink w:anchor="_Toc155778524" w:history="1">
            <w:r w:rsidR="005124E2" w:rsidRPr="0097458C">
              <w:rPr>
                <w:rStyle w:val="Hipervnculo"/>
                <w:noProof/>
              </w:rPr>
              <w:t>Tabla 5: Intervalo de categorización para el nivel de riesgo inherente.</w:t>
            </w:r>
            <w:r w:rsidR="005124E2">
              <w:rPr>
                <w:noProof/>
                <w:webHidden/>
              </w:rPr>
              <w:tab/>
            </w:r>
            <w:r w:rsidR="005124E2">
              <w:rPr>
                <w:noProof/>
                <w:webHidden/>
              </w:rPr>
              <w:fldChar w:fldCharType="begin"/>
            </w:r>
            <w:r w:rsidR="005124E2">
              <w:rPr>
                <w:noProof/>
                <w:webHidden/>
              </w:rPr>
              <w:instrText xml:space="preserve"> PAGEREF _Toc155778524 \h </w:instrText>
            </w:r>
            <w:r w:rsidR="005124E2">
              <w:rPr>
                <w:noProof/>
                <w:webHidden/>
              </w:rPr>
            </w:r>
            <w:r w:rsidR="005124E2">
              <w:rPr>
                <w:noProof/>
                <w:webHidden/>
              </w:rPr>
              <w:fldChar w:fldCharType="separate"/>
            </w:r>
            <w:r w:rsidR="00172B3B">
              <w:rPr>
                <w:noProof/>
                <w:webHidden/>
              </w:rPr>
              <w:t>14</w:t>
            </w:r>
            <w:r w:rsidR="005124E2">
              <w:rPr>
                <w:noProof/>
                <w:webHidden/>
              </w:rPr>
              <w:fldChar w:fldCharType="end"/>
            </w:r>
          </w:hyperlink>
        </w:p>
        <w:p w14:paraId="05743171" w14:textId="0F8D62D3" w:rsidR="005124E2" w:rsidRDefault="00000000">
          <w:pPr>
            <w:pStyle w:val="TDC1"/>
            <w:tabs>
              <w:tab w:val="left" w:pos="660"/>
            </w:tabs>
            <w:rPr>
              <w:rFonts w:cstheme="minorBidi"/>
              <w:noProof/>
            </w:rPr>
          </w:pPr>
          <w:hyperlink w:anchor="_Toc155778525" w:history="1">
            <w:r w:rsidR="005124E2" w:rsidRPr="0097458C">
              <w:rPr>
                <w:rStyle w:val="Hipervnculo"/>
                <w:b/>
                <w:bCs/>
                <w:noProof/>
              </w:rPr>
              <w:t xml:space="preserve">7. </w:t>
            </w:r>
            <w:r w:rsidR="005124E2">
              <w:rPr>
                <w:rFonts w:cstheme="minorBidi"/>
                <w:noProof/>
              </w:rPr>
              <w:tab/>
            </w:r>
            <w:r w:rsidR="005124E2" w:rsidRPr="0097458C">
              <w:rPr>
                <w:rStyle w:val="Hipervnculo"/>
                <w:b/>
                <w:bCs/>
                <w:noProof/>
              </w:rPr>
              <w:t>Identificación y análisis de riesgos</w:t>
            </w:r>
            <w:r w:rsidR="005124E2">
              <w:rPr>
                <w:noProof/>
                <w:webHidden/>
              </w:rPr>
              <w:tab/>
            </w:r>
            <w:r w:rsidR="005124E2">
              <w:rPr>
                <w:noProof/>
                <w:webHidden/>
              </w:rPr>
              <w:fldChar w:fldCharType="begin"/>
            </w:r>
            <w:r w:rsidR="005124E2">
              <w:rPr>
                <w:noProof/>
                <w:webHidden/>
              </w:rPr>
              <w:instrText xml:space="preserve"> PAGEREF _Toc155778525 \h </w:instrText>
            </w:r>
            <w:r w:rsidR="005124E2">
              <w:rPr>
                <w:noProof/>
                <w:webHidden/>
              </w:rPr>
            </w:r>
            <w:r w:rsidR="005124E2">
              <w:rPr>
                <w:noProof/>
                <w:webHidden/>
              </w:rPr>
              <w:fldChar w:fldCharType="separate"/>
            </w:r>
            <w:r w:rsidR="00172B3B">
              <w:rPr>
                <w:noProof/>
                <w:webHidden/>
              </w:rPr>
              <w:t>14</w:t>
            </w:r>
            <w:r w:rsidR="005124E2">
              <w:rPr>
                <w:noProof/>
                <w:webHidden/>
              </w:rPr>
              <w:fldChar w:fldCharType="end"/>
            </w:r>
          </w:hyperlink>
        </w:p>
        <w:p w14:paraId="55997884" w14:textId="43FE3C4C" w:rsidR="005124E2" w:rsidRDefault="00000000">
          <w:pPr>
            <w:pStyle w:val="TDC2"/>
            <w:tabs>
              <w:tab w:val="right" w:leader="dot" w:pos="9394"/>
            </w:tabs>
            <w:rPr>
              <w:rFonts w:cstheme="minorBidi"/>
              <w:noProof/>
            </w:rPr>
          </w:pPr>
          <w:hyperlink w:anchor="_Toc155778526" w:history="1">
            <w:r w:rsidR="005124E2" w:rsidRPr="0097458C">
              <w:rPr>
                <w:rStyle w:val="Hipervnculo"/>
                <w:noProof/>
              </w:rPr>
              <w:t>Tabla 6. Identificación de riesgos de continuidad en el Poder Judicial.</w:t>
            </w:r>
            <w:r w:rsidR="005124E2">
              <w:rPr>
                <w:noProof/>
                <w:webHidden/>
              </w:rPr>
              <w:tab/>
            </w:r>
            <w:r w:rsidR="005124E2">
              <w:rPr>
                <w:noProof/>
                <w:webHidden/>
              </w:rPr>
              <w:fldChar w:fldCharType="begin"/>
            </w:r>
            <w:r w:rsidR="005124E2">
              <w:rPr>
                <w:noProof/>
                <w:webHidden/>
              </w:rPr>
              <w:instrText xml:space="preserve"> PAGEREF _Toc155778526 \h </w:instrText>
            </w:r>
            <w:r w:rsidR="005124E2">
              <w:rPr>
                <w:noProof/>
                <w:webHidden/>
              </w:rPr>
            </w:r>
            <w:r w:rsidR="005124E2">
              <w:rPr>
                <w:noProof/>
                <w:webHidden/>
              </w:rPr>
              <w:fldChar w:fldCharType="separate"/>
            </w:r>
            <w:r w:rsidR="00172B3B">
              <w:rPr>
                <w:noProof/>
                <w:webHidden/>
              </w:rPr>
              <w:t>15</w:t>
            </w:r>
            <w:r w:rsidR="005124E2">
              <w:rPr>
                <w:noProof/>
                <w:webHidden/>
              </w:rPr>
              <w:fldChar w:fldCharType="end"/>
            </w:r>
          </w:hyperlink>
        </w:p>
        <w:p w14:paraId="7BB15031" w14:textId="6602C584" w:rsidR="005124E2" w:rsidRDefault="00000000">
          <w:pPr>
            <w:pStyle w:val="TDC2"/>
            <w:tabs>
              <w:tab w:val="right" w:leader="dot" w:pos="9394"/>
            </w:tabs>
            <w:rPr>
              <w:rFonts w:cstheme="minorBidi"/>
              <w:noProof/>
            </w:rPr>
          </w:pPr>
          <w:hyperlink w:anchor="_Toc155778527" w:history="1">
            <w:r w:rsidR="005124E2" w:rsidRPr="0097458C">
              <w:rPr>
                <w:rStyle w:val="Hipervnculo"/>
                <w:noProof/>
              </w:rPr>
              <w:t>Gráfico 1. Mapa gráfico de identificación de riesgos de continuidad en el Poder Judicial.</w:t>
            </w:r>
            <w:r w:rsidR="005124E2">
              <w:rPr>
                <w:noProof/>
                <w:webHidden/>
              </w:rPr>
              <w:tab/>
            </w:r>
            <w:r w:rsidR="005124E2">
              <w:rPr>
                <w:noProof/>
                <w:webHidden/>
              </w:rPr>
              <w:fldChar w:fldCharType="begin"/>
            </w:r>
            <w:r w:rsidR="005124E2">
              <w:rPr>
                <w:noProof/>
                <w:webHidden/>
              </w:rPr>
              <w:instrText xml:space="preserve"> PAGEREF _Toc155778527 \h </w:instrText>
            </w:r>
            <w:r w:rsidR="005124E2">
              <w:rPr>
                <w:noProof/>
                <w:webHidden/>
              </w:rPr>
            </w:r>
            <w:r w:rsidR="005124E2">
              <w:rPr>
                <w:noProof/>
                <w:webHidden/>
              </w:rPr>
              <w:fldChar w:fldCharType="separate"/>
            </w:r>
            <w:r w:rsidR="00172B3B">
              <w:rPr>
                <w:noProof/>
                <w:webHidden/>
              </w:rPr>
              <w:t>17</w:t>
            </w:r>
            <w:r w:rsidR="005124E2">
              <w:rPr>
                <w:noProof/>
                <w:webHidden/>
              </w:rPr>
              <w:fldChar w:fldCharType="end"/>
            </w:r>
          </w:hyperlink>
        </w:p>
        <w:p w14:paraId="5C5E6BC0" w14:textId="6DF3971F" w:rsidR="005124E2" w:rsidRDefault="00000000">
          <w:pPr>
            <w:pStyle w:val="TDC2"/>
            <w:tabs>
              <w:tab w:val="right" w:leader="dot" w:pos="9394"/>
            </w:tabs>
            <w:rPr>
              <w:rFonts w:cstheme="minorBidi"/>
              <w:noProof/>
            </w:rPr>
          </w:pPr>
          <w:hyperlink w:anchor="_Toc155778528" w:history="1">
            <w:r w:rsidR="005124E2" w:rsidRPr="0097458C">
              <w:rPr>
                <w:rStyle w:val="Hipervnculo"/>
                <w:noProof/>
              </w:rPr>
              <w:t>7.1 Indisponibilidad tecnológica</w:t>
            </w:r>
            <w:r w:rsidR="005124E2">
              <w:rPr>
                <w:noProof/>
                <w:webHidden/>
              </w:rPr>
              <w:tab/>
            </w:r>
            <w:r w:rsidR="005124E2">
              <w:rPr>
                <w:noProof/>
                <w:webHidden/>
              </w:rPr>
              <w:fldChar w:fldCharType="begin"/>
            </w:r>
            <w:r w:rsidR="005124E2">
              <w:rPr>
                <w:noProof/>
                <w:webHidden/>
              </w:rPr>
              <w:instrText xml:space="preserve"> PAGEREF _Toc155778528 \h </w:instrText>
            </w:r>
            <w:r w:rsidR="005124E2">
              <w:rPr>
                <w:noProof/>
                <w:webHidden/>
              </w:rPr>
            </w:r>
            <w:r w:rsidR="005124E2">
              <w:rPr>
                <w:noProof/>
                <w:webHidden/>
              </w:rPr>
              <w:fldChar w:fldCharType="separate"/>
            </w:r>
            <w:r w:rsidR="00172B3B">
              <w:rPr>
                <w:noProof/>
                <w:webHidden/>
              </w:rPr>
              <w:t>17</w:t>
            </w:r>
            <w:r w:rsidR="005124E2">
              <w:rPr>
                <w:noProof/>
                <w:webHidden/>
              </w:rPr>
              <w:fldChar w:fldCharType="end"/>
            </w:r>
          </w:hyperlink>
        </w:p>
        <w:p w14:paraId="2D5879A5" w14:textId="5F9D4B30" w:rsidR="005124E2" w:rsidRDefault="00000000">
          <w:pPr>
            <w:pStyle w:val="TDC2"/>
            <w:tabs>
              <w:tab w:val="right" w:leader="dot" w:pos="9394"/>
            </w:tabs>
            <w:rPr>
              <w:rFonts w:cstheme="minorBidi"/>
              <w:noProof/>
            </w:rPr>
          </w:pPr>
          <w:hyperlink w:anchor="_Toc155778529" w:history="1">
            <w:r w:rsidR="005124E2" w:rsidRPr="0097458C">
              <w:rPr>
                <w:rStyle w:val="Hipervnculo"/>
                <w:noProof/>
              </w:rPr>
              <w:t xml:space="preserve">Tabla 7. Nivel de riesgo inherente para el escenario disruptivo de </w:t>
            </w:r>
            <w:r w:rsidR="005124E2" w:rsidRPr="0097458C">
              <w:rPr>
                <w:rStyle w:val="Hipervnculo"/>
                <w:rFonts w:eastAsia="Times New Roman"/>
                <w:noProof/>
              </w:rPr>
              <w:t>Indisponibilidad tecnológica.</w:t>
            </w:r>
            <w:r w:rsidR="005124E2">
              <w:rPr>
                <w:noProof/>
                <w:webHidden/>
              </w:rPr>
              <w:tab/>
            </w:r>
            <w:r w:rsidR="005124E2">
              <w:rPr>
                <w:noProof/>
                <w:webHidden/>
              </w:rPr>
              <w:fldChar w:fldCharType="begin"/>
            </w:r>
            <w:r w:rsidR="005124E2">
              <w:rPr>
                <w:noProof/>
                <w:webHidden/>
              </w:rPr>
              <w:instrText xml:space="preserve"> PAGEREF _Toc155778529 \h </w:instrText>
            </w:r>
            <w:r w:rsidR="005124E2">
              <w:rPr>
                <w:noProof/>
                <w:webHidden/>
              </w:rPr>
            </w:r>
            <w:r w:rsidR="005124E2">
              <w:rPr>
                <w:noProof/>
                <w:webHidden/>
              </w:rPr>
              <w:fldChar w:fldCharType="separate"/>
            </w:r>
            <w:r w:rsidR="00172B3B">
              <w:rPr>
                <w:noProof/>
                <w:webHidden/>
              </w:rPr>
              <w:t>18</w:t>
            </w:r>
            <w:r w:rsidR="005124E2">
              <w:rPr>
                <w:noProof/>
                <w:webHidden/>
              </w:rPr>
              <w:fldChar w:fldCharType="end"/>
            </w:r>
          </w:hyperlink>
        </w:p>
        <w:p w14:paraId="363F8110" w14:textId="144D670B" w:rsidR="005124E2" w:rsidRDefault="00000000">
          <w:pPr>
            <w:pStyle w:val="TDC2"/>
            <w:tabs>
              <w:tab w:val="right" w:leader="dot" w:pos="9394"/>
            </w:tabs>
            <w:rPr>
              <w:rFonts w:cstheme="minorBidi"/>
              <w:noProof/>
            </w:rPr>
          </w:pPr>
          <w:hyperlink w:anchor="_Toc155778530" w:history="1">
            <w:r w:rsidR="005124E2" w:rsidRPr="0097458C">
              <w:rPr>
                <w:rStyle w:val="Hipervnculo"/>
                <w:noProof/>
              </w:rPr>
              <w:t>7.2 Indisponibilidad del recurso humano</w:t>
            </w:r>
            <w:r w:rsidR="005124E2">
              <w:rPr>
                <w:noProof/>
                <w:webHidden/>
              </w:rPr>
              <w:tab/>
            </w:r>
            <w:r w:rsidR="005124E2">
              <w:rPr>
                <w:noProof/>
                <w:webHidden/>
              </w:rPr>
              <w:fldChar w:fldCharType="begin"/>
            </w:r>
            <w:r w:rsidR="005124E2">
              <w:rPr>
                <w:noProof/>
                <w:webHidden/>
              </w:rPr>
              <w:instrText xml:space="preserve"> PAGEREF _Toc155778530 \h </w:instrText>
            </w:r>
            <w:r w:rsidR="005124E2">
              <w:rPr>
                <w:noProof/>
                <w:webHidden/>
              </w:rPr>
            </w:r>
            <w:r w:rsidR="005124E2">
              <w:rPr>
                <w:noProof/>
                <w:webHidden/>
              </w:rPr>
              <w:fldChar w:fldCharType="separate"/>
            </w:r>
            <w:r w:rsidR="00172B3B">
              <w:rPr>
                <w:noProof/>
                <w:webHidden/>
              </w:rPr>
              <w:t>19</w:t>
            </w:r>
            <w:r w:rsidR="005124E2">
              <w:rPr>
                <w:noProof/>
                <w:webHidden/>
              </w:rPr>
              <w:fldChar w:fldCharType="end"/>
            </w:r>
          </w:hyperlink>
        </w:p>
        <w:p w14:paraId="3D471FA6" w14:textId="0158F0BE" w:rsidR="005124E2" w:rsidRDefault="00000000">
          <w:pPr>
            <w:pStyle w:val="TDC2"/>
            <w:tabs>
              <w:tab w:val="right" w:leader="dot" w:pos="9394"/>
            </w:tabs>
            <w:rPr>
              <w:rFonts w:cstheme="minorBidi"/>
              <w:noProof/>
            </w:rPr>
          </w:pPr>
          <w:hyperlink w:anchor="_Toc155778531" w:history="1">
            <w:r w:rsidR="005124E2" w:rsidRPr="0097458C">
              <w:rPr>
                <w:rStyle w:val="Hipervnculo"/>
                <w:noProof/>
              </w:rPr>
              <w:t xml:space="preserve">Tabla 8. Nivel de riesgo inherente para el escenario disruptivo de </w:t>
            </w:r>
            <w:r w:rsidR="005124E2" w:rsidRPr="0097458C">
              <w:rPr>
                <w:rStyle w:val="Hipervnculo"/>
                <w:rFonts w:eastAsia="Times New Roman"/>
                <w:noProof/>
              </w:rPr>
              <w:t>Indisponibilidad del recurso humano.</w:t>
            </w:r>
            <w:r w:rsidR="005124E2">
              <w:rPr>
                <w:noProof/>
                <w:webHidden/>
              </w:rPr>
              <w:tab/>
            </w:r>
            <w:r w:rsidR="005124E2">
              <w:rPr>
                <w:noProof/>
                <w:webHidden/>
              </w:rPr>
              <w:fldChar w:fldCharType="begin"/>
            </w:r>
            <w:r w:rsidR="005124E2">
              <w:rPr>
                <w:noProof/>
                <w:webHidden/>
              </w:rPr>
              <w:instrText xml:space="preserve"> PAGEREF _Toc155778531 \h </w:instrText>
            </w:r>
            <w:r w:rsidR="005124E2">
              <w:rPr>
                <w:noProof/>
                <w:webHidden/>
              </w:rPr>
            </w:r>
            <w:r w:rsidR="005124E2">
              <w:rPr>
                <w:noProof/>
                <w:webHidden/>
              </w:rPr>
              <w:fldChar w:fldCharType="separate"/>
            </w:r>
            <w:r w:rsidR="00172B3B">
              <w:rPr>
                <w:noProof/>
                <w:webHidden/>
              </w:rPr>
              <w:t>20</w:t>
            </w:r>
            <w:r w:rsidR="005124E2">
              <w:rPr>
                <w:noProof/>
                <w:webHidden/>
              </w:rPr>
              <w:fldChar w:fldCharType="end"/>
            </w:r>
          </w:hyperlink>
        </w:p>
        <w:p w14:paraId="6C95FF2A" w14:textId="5D7EEDB9" w:rsidR="005124E2" w:rsidRDefault="00000000">
          <w:pPr>
            <w:pStyle w:val="TDC2"/>
            <w:tabs>
              <w:tab w:val="right" w:leader="dot" w:pos="9394"/>
            </w:tabs>
            <w:rPr>
              <w:rFonts w:cstheme="minorBidi"/>
              <w:noProof/>
            </w:rPr>
          </w:pPr>
          <w:hyperlink w:anchor="_Toc155778532" w:history="1">
            <w:r w:rsidR="005124E2" w:rsidRPr="0097458C">
              <w:rPr>
                <w:rStyle w:val="Hipervnculo"/>
                <w:noProof/>
              </w:rPr>
              <w:t>7.3 Indisponibilidad de la infraestructura física</w:t>
            </w:r>
            <w:r w:rsidR="005124E2">
              <w:rPr>
                <w:noProof/>
                <w:webHidden/>
              </w:rPr>
              <w:tab/>
            </w:r>
            <w:r w:rsidR="005124E2">
              <w:rPr>
                <w:noProof/>
                <w:webHidden/>
              </w:rPr>
              <w:fldChar w:fldCharType="begin"/>
            </w:r>
            <w:r w:rsidR="005124E2">
              <w:rPr>
                <w:noProof/>
                <w:webHidden/>
              </w:rPr>
              <w:instrText xml:space="preserve"> PAGEREF _Toc155778532 \h </w:instrText>
            </w:r>
            <w:r w:rsidR="005124E2">
              <w:rPr>
                <w:noProof/>
                <w:webHidden/>
              </w:rPr>
            </w:r>
            <w:r w:rsidR="005124E2">
              <w:rPr>
                <w:noProof/>
                <w:webHidden/>
              </w:rPr>
              <w:fldChar w:fldCharType="separate"/>
            </w:r>
            <w:r w:rsidR="00172B3B">
              <w:rPr>
                <w:noProof/>
                <w:webHidden/>
              </w:rPr>
              <w:t>20</w:t>
            </w:r>
            <w:r w:rsidR="005124E2">
              <w:rPr>
                <w:noProof/>
                <w:webHidden/>
              </w:rPr>
              <w:fldChar w:fldCharType="end"/>
            </w:r>
          </w:hyperlink>
        </w:p>
        <w:p w14:paraId="516AE29F" w14:textId="728F13E1" w:rsidR="005124E2" w:rsidRDefault="00000000">
          <w:pPr>
            <w:pStyle w:val="TDC2"/>
            <w:tabs>
              <w:tab w:val="right" w:leader="dot" w:pos="9394"/>
            </w:tabs>
            <w:rPr>
              <w:rFonts w:cstheme="minorBidi"/>
              <w:noProof/>
            </w:rPr>
          </w:pPr>
          <w:hyperlink w:anchor="_Toc155778533" w:history="1">
            <w:r w:rsidR="005124E2" w:rsidRPr="0097458C">
              <w:rPr>
                <w:rStyle w:val="Hipervnculo"/>
                <w:noProof/>
              </w:rPr>
              <w:t xml:space="preserve">Tabla 9. Nivel de riesgo inherente para el escenario disruptivo de </w:t>
            </w:r>
            <w:r w:rsidR="005124E2" w:rsidRPr="0097458C">
              <w:rPr>
                <w:rStyle w:val="Hipervnculo"/>
                <w:rFonts w:eastAsia="Times New Roman"/>
                <w:noProof/>
              </w:rPr>
              <w:t>Indisponibilidad de la infraestructura física.</w:t>
            </w:r>
            <w:r w:rsidR="005124E2">
              <w:rPr>
                <w:noProof/>
                <w:webHidden/>
              </w:rPr>
              <w:tab/>
            </w:r>
            <w:r w:rsidR="005124E2">
              <w:rPr>
                <w:noProof/>
                <w:webHidden/>
              </w:rPr>
              <w:fldChar w:fldCharType="begin"/>
            </w:r>
            <w:r w:rsidR="005124E2">
              <w:rPr>
                <w:noProof/>
                <w:webHidden/>
              </w:rPr>
              <w:instrText xml:space="preserve"> PAGEREF _Toc155778533 \h </w:instrText>
            </w:r>
            <w:r w:rsidR="005124E2">
              <w:rPr>
                <w:noProof/>
                <w:webHidden/>
              </w:rPr>
            </w:r>
            <w:r w:rsidR="005124E2">
              <w:rPr>
                <w:noProof/>
                <w:webHidden/>
              </w:rPr>
              <w:fldChar w:fldCharType="separate"/>
            </w:r>
            <w:r w:rsidR="00172B3B">
              <w:rPr>
                <w:noProof/>
                <w:webHidden/>
              </w:rPr>
              <w:t>21</w:t>
            </w:r>
            <w:r w:rsidR="005124E2">
              <w:rPr>
                <w:noProof/>
                <w:webHidden/>
              </w:rPr>
              <w:fldChar w:fldCharType="end"/>
            </w:r>
          </w:hyperlink>
        </w:p>
        <w:p w14:paraId="0C84CB0D" w14:textId="26A863A7" w:rsidR="005124E2" w:rsidRDefault="00000000">
          <w:pPr>
            <w:pStyle w:val="TDC2"/>
            <w:tabs>
              <w:tab w:val="right" w:leader="dot" w:pos="9394"/>
            </w:tabs>
            <w:rPr>
              <w:rFonts w:cstheme="minorBidi"/>
              <w:noProof/>
            </w:rPr>
          </w:pPr>
          <w:hyperlink w:anchor="_Toc155778534" w:history="1">
            <w:r w:rsidR="005124E2" w:rsidRPr="0097458C">
              <w:rPr>
                <w:rStyle w:val="Hipervnculo"/>
                <w:noProof/>
              </w:rPr>
              <w:t>7.4 Dependencia de proveedores externos</w:t>
            </w:r>
            <w:r w:rsidR="005124E2">
              <w:rPr>
                <w:noProof/>
                <w:webHidden/>
              </w:rPr>
              <w:tab/>
            </w:r>
            <w:r w:rsidR="005124E2">
              <w:rPr>
                <w:noProof/>
                <w:webHidden/>
              </w:rPr>
              <w:fldChar w:fldCharType="begin"/>
            </w:r>
            <w:r w:rsidR="005124E2">
              <w:rPr>
                <w:noProof/>
                <w:webHidden/>
              </w:rPr>
              <w:instrText xml:space="preserve"> PAGEREF _Toc155778534 \h </w:instrText>
            </w:r>
            <w:r w:rsidR="005124E2">
              <w:rPr>
                <w:noProof/>
                <w:webHidden/>
              </w:rPr>
            </w:r>
            <w:r w:rsidR="005124E2">
              <w:rPr>
                <w:noProof/>
                <w:webHidden/>
              </w:rPr>
              <w:fldChar w:fldCharType="separate"/>
            </w:r>
            <w:r w:rsidR="00172B3B">
              <w:rPr>
                <w:noProof/>
                <w:webHidden/>
              </w:rPr>
              <w:t>21</w:t>
            </w:r>
            <w:r w:rsidR="005124E2">
              <w:rPr>
                <w:noProof/>
                <w:webHidden/>
              </w:rPr>
              <w:fldChar w:fldCharType="end"/>
            </w:r>
          </w:hyperlink>
        </w:p>
        <w:p w14:paraId="5D6E6AAB" w14:textId="1CE00563" w:rsidR="005124E2" w:rsidRDefault="00000000">
          <w:pPr>
            <w:pStyle w:val="TDC2"/>
            <w:tabs>
              <w:tab w:val="right" w:leader="dot" w:pos="9394"/>
            </w:tabs>
            <w:rPr>
              <w:rFonts w:cstheme="minorBidi"/>
              <w:noProof/>
            </w:rPr>
          </w:pPr>
          <w:hyperlink w:anchor="_Toc155778535" w:history="1">
            <w:r w:rsidR="005124E2" w:rsidRPr="0097458C">
              <w:rPr>
                <w:rStyle w:val="Hipervnculo"/>
                <w:noProof/>
              </w:rPr>
              <w:t xml:space="preserve">Tabla 10. Nivel de riesgo inherente para el escenario disruptivo de </w:t>
            </w:r>
            <w:r w:rsidR="005124E2" w:rsidRPr="0097458C">
              <w:rPr>
                <w:rStyle w:val="Hipervnculo"/>
                <w:rFonts w:eastAsia="Times New Roman"/>
                <w:noProof/>
              </w:rPr>
              <w:t>Dependencia de proveedores externos.</w:t>
            </w:r>
            <w:r w:rsidR="005124E2">
              <w:rPr>
                <w:noProof/>
                <w:webHidden/>
              </w:rPr>
              <w:tab/>
            </w:r>
            <w:r w:rsidR="005124E2">
              <w:rPr>
                <w:noProof/>
                <w:webHidden/>
              </w:rPr>
              <w:fldChar w:fldCharType="begin"/>
            </w:r>
            <w:r w:rsidR="005124E2">
              <w:rPr>
                <w:noProof/>
                <w:webHidden/>
              </w:rPr>
              <w:instrText xml:space="preserve"> PAGEREF _Toc155778535 \h </w:instrText>
            </w:r>
            <w:r w:rsidR="005124E2">
              <w:rPr>
                <w:noProof/>
                <w:webHidden/>
              </w:rPr>
            </w:r>
            <w:r w:rsidR="005124E2">
              <w:rPr>
                <w:noProof/>
                <w:webHidden/>
              </w:rPr>
              <w:fldChar w:fldCharType="separate"/>
            </w:r>
            <w:r w:rsidR="00172B3B">
              <w:rPr>
                <w:noProof/>
                <w:webHidden/>
              </w:rPr>
              <w:t>22</w:t>
            </w:r>
            <w:r w:rsidR="005124E2">
              <w:rPr>
                <w:noProof/>
                <w:webHidden/>
              </w:rPr>
              <w:fldChar w:fldCharType="end"/>
            </w:r>
          </w:hyperlink>
        </w:p>
        <w:p w14:paraId="6FFEFDC1" w14:textId="57CC92E8" w:rsidR="005124E2" w:rsidRDefault="00000000">
          <w:pPr>
            <w:pStyle w:val="TDC2"/>
            <w:tabs>
              <w:tab w:val="right" w:leader="dot" w:pos="9394"/>
            </w:tabs>
            <w:rPr>
              <w:rFonts w:cstheme="minorBidi"/>
              <w:noProof/>
            </w:rPr>
          </w:pPr>
          <w:hyperlink w:anchor="_Toc155778536" w:history="1">
            <w:r w:rsidR="005124E2" w:rsidRPr="0097458C">
              <w:rPr>
                <w:rStyle w:val="Hipervnculo"/>
                <w:noProof/>
              </w:rPr>
              <w:t>7.5 Carencia de insumos para la prestación del servicio</w:t>
            </w:r>
            <w:r w:rsidR="005124E2">
              <w:rPr>
                <w:noProof/>
                <w:webHidden/>
              </w:rPr>
              <w:tab/>
            </w:r>
            <w:r w:rsidR="005124E2">
              <w:rPr>
                <w:noProof/>
                <w:webHidden/>
              </w:rPr>
              <w:fldChar w:fldCharType="begin"/>
            </w:r>
            <w:r w:rsidR="005124E2">
              <w:rPr>
                <w:noProof/>
                <w:webHidden/>
              </w:rPr>
              <w:instrText xml:space="preserve"> PAGEREF _Toc155778536 \h </w:instrText>
            </w:r>
            <w:r w:rsidR="005124E2">
              <w:rPr>
                <w:noProof/>
                <w:webHidden/>
              </w:rPr>
            </w:r>
            <w:r w:rsidR="005124E2">
              <w:rPr>
                <w:noProof/>
                <w:webHidden/>
              </w:rPr>
              <w:fldChar w:fldCharType="separate"/>
            </w:r>
            <w:r w:rsidR="00172B3B">
              <w:rPr>
                <w:noProof/>
                <w:webHidden/>
              </w:rPr>
              <w:t>23</w:t>
            </w:r>
            <w:r w:rsidR="005124E2">
              <w:rPr>
                <w:noProof/>
                <w:webHidden/>
              </w:rPr>
              <w:fldChar w:fldCharType="end"/>
            </w:r>
          </w:hyperlink>
        </w:p>
        <w:p w14:paraId="2459DAF0" w14:textId="757659AF" w:rsidR="005124E2" w:rsidRDefault="00000000">
          <w:pPr>
            <w:pStyle w:val="TDC2"/>
            <w:tabs>
              <w:tab w:val="right" w:leader="dot" w:pos="9394"/>
            </w:tabs>
            <w:rPr>
              <w:rFonts w:cstheme="minorBidi"/>
              <w:noProof/>
            </w:rPr>
          </w:pPr>
          <w:hyperlink w:anchor="_Toc155778537" w:history="1">
            <w:r w:rsidR="005124E2" w:rsidRPr="0097458C">
              <w:rPr>
                <w:rStyle w:val="Hipervnculo"/>
                <w:noProof/>
              </w:rPr>
              <w:t xml:space="preserve">Tabla 11. Nivel de riesgo inherente para el escenario disruptivo de </w:t>
            </w:r>
            <w:r w:rsidR="005124E2" w:rsidRPr="0097458C">
              <w:rPr>
                <w:rStyle w:val="Hipervnculo"/>
                <w:rFonts w:eastAsia="Times New Roman"/>
                <w:noProof/>
              </w:rPr>
              <w:t>Carencia de insumos.</w:t>
            </w:r>
            <w:r w:rsidR="005124E2">
              <w:rPr>
                <w:noProof/>
                <w:webHidden/>
              </w:rPr>
              <w:tab/>
            </w:r>
            <w:r w:rsidR="005124E2">
              <w:rPr>
                <w:noProof/>
                <w:webHidden/>
              </w:rPr>
              <w:fldChar w:fldCharType="begin"/>
            </w:r>
            <w:r w:rsidR="005124E2">
              <w:rPr>
                <w:noProof/>
                <w:webHidden/>
              </w:rPr>
              <w:instrText xml:space="preserve"> PAGEREF _Toc155778537 \h </w:instrText>
            </w:r>
            <w:r w:rsidR="005124E2">
              <w:rPr>
                <w:noProof/>
                <w:webHidden/>
              </w:rPr>
            </w:r>
            <w:r w:rsidR="005124E2">
              <w:rPr>
                <w:noProof/>
                <w:webHidden/>
              </w:rPr>
              <w:fldChar w:fldCharType="separate"/>
            </w:r>
            <w:r w:rsidR="00172B3B">
              <w:rPr>
                <w:noProof/>
                <w:webHidden/>
              </w:rPr>
              <w:t>23</w:t>
            </w:r>
            <w:r w:rsidR="005124E2">
              <w:rPr>
                <w:noProof/>
                <w:webHidden/>
              </w:rPr>
              <w:fldChar w:fldCharType="end"/>
            </w:r>
          </w:hyperlink>
        </w:p>
        <w:p w14:paraId="2630EC8D" w14:textId="4BCBF6AD" w:rsidR="005124E2" w:rsidRDefault="00000000">
          <w:pPr>
            <w:pStyle w:val="TDC2"/>
            <w:tabs>
              <w:tab w:val="right" w:leader="dot" w:pos="9394"/>
            </w:tabs>
            <w:rPr>
              <w:rFonts w:cstheme="minorBidi"/>
              <w:noProof/>
            </w:rPr>
          </w:pPr>
          <w:hyperlink w:anchor="_Toc155778538" w:history="1">
            <w:r w:rsidR="005124E2" w:rsidRPr="0097458C">
              <w:rPr>
                <w:rStyle w:val="Hipervnculo"/>
                <w:noProof/>
              </w:rPr>
              <w:t>Tabla 12. Mapa de calor de SEVRI para los escenarios de riesgo global de disrupción a la continuidad del servicio en el Poder Judicial</w:t>
            </w:r>
            <w:r w:rsidR="005124E2" w:rsidRPr="0097458C">
              <w:rPr>
                <w:rStyle w:val="Hipervnculo"/>
                <w:rFonts w:eastAsia="Times New Roman"/>
                <w:noProof/>
              </w:rPr>
              <w:t>.</w:t>
            </w:r>
            <w:r w:rsidR="005124E2">
              <w:rPr>
                <w:noProof/>
                <w:webHidden/>
              </w:rPr>
              <w:tab/>
            </w:r>
            <w:r w:rsidR="005124E2">
              <w:rPr>
                <w:noProof/>
                <w:webHidden/>
              </w:rPr>
              <w:fldChar w:fldCharType="begin"/>
            </w:r>
            <w:r w:rsidR="005124E2">
              <w:rPr>
                <w:noProof/>
                <w:webHidden/>
              </w:rPr>
              <w:instrText xml:space="preserve"> PAGEREF _Toc155778538 \h </w:instrText>
            </w:r>
            <w:r w:rsidR="005124E2">
              <w:rPr>
                <w:noProof/>
                <w:webHidden/>
              </w:rPr>
            </w:r>
            <w:r w:rsidR="005124E2">
              <w:rPr>
                <w:noProof/>
                <w:webHidden/>
              </w:rPr>
              <w:fldChar w:fldCharType="separate"/>
            </w:r>
            <w:r w:rsidR="00172B3B">
              <w:rPr>
                <w:noProof/>
                <w:webHidden/>
              </w:rPr>
              <w:t>24</w:t>
            </w:r>
            <w:r w:rsidR="005124E2">
              <w:rPr>
                <w:noProof/>
                <w:webHidden/>
              </w:rPr>
              <w:fldChar w:fldCharType="end"/>
            </w:r>
          </w:hyperlink>
        </w:p>
        <w:p w14:paraId="3DEF9C03" w14:textId="5D8E0CA6" w:rsidR="005124E2" w:rsidRDefault="00000000">
          <w:pPr>
            <w:pStyle w:val="TDC1"/>
            <w:tabs>
              <w:tab w:val="left" w:pos="440"/>
            </w:tabs>
            <w:rPr>
              <w:rFonts w:cstheme="minorBidi"/>
              <w:noProof/>
            </w:rPr>
          </w:pPr>
          <w:hyperlink w:anchor="_Toc155778539" w:history="1">
            <w:r w:rsidR="005124E2" w:rsidRPr="0097458C">
              <w:rPr>
                <w:rStyle w:val="Hipervnculo"/>
                <w:b/>
                <w:bCs/>
                <w:noProof/>
              </w:rPr>
              <w:t>8.</w:t>
            </w:r>
            <w:r w:rsidR="005124E2">
              <w:rPr>
                <w:rFonts w:cstheme="minorBidi"/>
                <w:noProof/>
              </w:rPr>
              <w:tab/>
            </w:r>
            <w:r w:rsidR="005124E2" w:rsidRPr="0097458C">
              <w:rPr>
                <w:rStyle w:val="Hipervnculo"/>
                <w:b/>
                <w:bCs/>
                <w:noProof/>
              </w:rPr>
              <w:t>Análisis de riesgos y gestión de la continuidad</w:t>
            </w:r>
            <w:r w:rsidR="005124E2">
              <w:rPr>
                <w:noProof/>
                <w:webHidden/>
              </w:rPr>
              <w:tab/>
            </w:r>
            <w:r w:rsidR="005124E2">
              <w:rPr>
                <w:noProof/>
                <w:webHidden/>
              </w:rPr>
              <w:fldChar w:fldCharType="begin"/>
            </w:r>
            <w:r w:rsidR="005124E2">
              <w:rPr>
                <w:noProof/>
                <w:webHidden/>
              </w:rPr>
              <w:instrText xml:space="preserve"> PAGEREF _Toc155778539 \h </w:instrText>
            </w:r>
            <w:r w:rsidR="005124E2">
              <w:rPr>
                <w:noProof/>
                <w:webHidden/>
              </w:rPr>
            </w:r>
            <w:r w:rsidR="005124E2">
              <w:rPr>
                <w:noProof/>
                <w:webHidden/>
              </w:rPr>
              <w:fldChar w:fldCharType="separate"/>
            </w:r>
            <w:r w:rsidR="00172B3B">
              <w:rPr>
                <w:noProof/>
                <w:webHidden/>
              </w:rPr>
              <w:t>25</w:t>
            </w:r>
            <w:r w:rsidR="005124E2">
              <w:rPr>
                <w:noProof/>
                <w:webHidden/>
              </w:rPr>
              <w:fldChar w:fldCharType="end"/>
            </w:r>
          </w:hyperlink>
        </w:p>
        <w:p w14:paraId="2C41012C" w14:textId="5A3EEA2C" w:rsidR="005124E2" w:rsidRDefault="00000000">
          <w:pPr>
            <w:pStyle w:val="TDC3"/>
            <w:tabs>
              <w:tab w:val="right" w:leader="dot" w:pos="9394"/>
            </w:tabs>
            <w:rPr>
              <w:rFonts w:cstheme="minorBidi"/>
              <w:noProof/>
            </w:rPr>
          </w:pPr>
          <w:hyperlink w:anchor="_Toc155778540" w:history="1">
            <w:r w:rsidR="005124E2" w:rsidRPr="0097458C">
              <w:rPr>
                <w:rStyle w:val="Hipervnculo"/>
                <w:noProof/>
              </w:rPr>
              <w:t>Gráfico 2. Tendencia del impacto de riesgos de continuidad ante medidas de administración.</w:t>
            </w:r>
            <w:r w:rsidR="005124E2">
              <w:rPr>
                <w:noProof/>
                <w:webHidden/>
              </w:rPr>
              <w:tab/>
            </w:r>
            <w:r w:rsidR="005124E2">
              <w:rPr>
                <w:noProof/>
                <w:webHidden/>
              </w:rPr>
              <w:fldChar w:fldCharType="begin"/>
            </w:r>
            <w:r w:rsidR="005124E2">
              <w:rPr>
                <w:noProof/>
                <w:webHidden/>
              </w:rPr>
              <w:instrText xml:space="preserve"> PAGEREF _Toc155778540 \h </w:instrText>
            </w:r>
            <w:r w:rsidR="005124E2">
              <w:rPr>
                <w:noProof/>
                <w:webHidden/>
              </w:rPr>
            </w:r>
            <w:r w:rsidR="005124E2">
              <w:rPr>
                <w:noProof/>
                <w:webHidden/>
              </w:rPr>
              <w:fldChar w:fldCharType="separate"/>
            </w:r>
            <w:r w:rsidR="00172B3B">
              <w:rPr>
                <w:noProof/>
                <w:webHidden/>
              </w:rPr>
              <w:t>27</w:t>
            </w:r>
            <w:r w:rsidR="005124E2">
              <w:rPr>
                <w:noProof/>
                <w:webHidden/>
              </w:rPr>
              <w:fldChar w:fldCharType="end"/>
            </w:r>
          </w:hyperlink>
        </w:p>
        <w:p w14:paraId="54D6C5E8" w14:textId="37AE9CE3" w:rsidR="005124E2" w:rsidRDefault="00000000">
          <w:pPr>
            <w:pStyle w:val="TDC3"/>
            <w:tabs>
              <w:tab w:val="right" w:leader="dot" w:pos="9394"/>
            </w:tabs>
            <w:rPr>
              <w:rFonts w:cstheme="minorBidi"/>
              <w:noProof/>
            </w:rPr>
          </w:pPr>
          <w:hyperlink w:anchor="_Toc155778541" w:history="1">
            <w:r w:rsidR="005124E2" w:rsidRPr="0097458C">
              <w:rPr>
                <w:rStyle w:val="Hipervnculo"/>
                <w:noProof/>
              </w:rPr>
              <w:t>Gráfico 3. Relación de modelos de gestión con la continuidad del servicio institucional.</w:t>
            </w:r>
            <w:r w:rsidR="005124E2">
              <w:rPr>
                <w:noProof/>
                <w:webHidden/>
              </w:rPr>
              <w:tab/>
            </w:r>
            <w:r w:rsidR="005124E2">
              <w:rPr>
                <w:noProof/>
                <w:webHidden/>
              </w:rPr>
              <w:fldChar w:fldCharType="begin"/>
            </w:r>
            <w:r w:rsidR="005124E2">
              <w:rPr>
                <w:noProof/>
                <w:webHidden/>
              </w:rPr>
              <w:instrText xml:space="preserve"> PAGEREF _Toc155778541 \h </w:instrText>
            </w:r>
            <w:r w:rsidR="005124E2">
              <w:rPr>
                <w:noProof/>
                <w:webHidden/>
              </w:rPr>
            </w:r>
            <w:r w:rsidR="005124E2">
              <w:rPr>
                <w:noProof/>
                <w:webHidden/>
              </w:rPr>
              <w:fldChar w:fldCharType="separate"/>
            </w:r>
            <w:r w:rsidR="00172B3B">
              <w:rPr>
                <w:noProof/>
                <w:webHidden/>
              </w:rPr>
              <w:t>28</w:t>
            </w:r>
            <w:r w:rsidR="005124E2">
              <w:rPr>
                <w:noProof/>
                <w:webHidden/>
              </w:rPr>
              <w:fldChar w:fldCharType="end"/>
            </w:r>
          </w:hyperlink>
        </w:p>
        <w:p w14:paraId="4E7335B7" w14:textId="7315DE00" w:rsidR="005124E2" w:rsidRDefault="00000000">
          <w:pPr>
            <w:pStyle w:val="TDC1"/>
            <w:tabs>
              <w:tab w:val="left" w:pos="440"/>
            </w:tabs>
            <w:rPr>
              <w:rFonts w:cstheme="minorBidi"/>
              <w:noProof/>
            </w:rPr>
          </w:pPr>
          <w:hyperlink w:anchor="_Toc155778542" w:history="1">
            <w:r w:rsidR="005124E2" w:rsidRPr="0097458C">
              <w:rPr>
                <w:rStyle w:val="Hipervnculo"/>
                <w:b/>
                <w:bCs/>
                <w:noProof/>
              </w:rPr>
              <w:t>9.</w:t>
            </w:r>
            <w:r w:rsidR="005124E2">
              <w:rPr>
                <w:rFonts w:cstheme="minorBidi"/>
                <w:noProof/>
              </w:rPr>
              <w:tab/>
            </w:r>
            <w:r w:rsidR="005124E2" w:rsidRPr="0097458C">
              <w:rPr>
                <w:rStyle w:val="Hipervnculo"/>
                <w:b/>
                <w:bCs/>
                <w:noProof/>
              </w:rPr>
              <w:t xml:space="preserve"> Tratamiento de riesgos de disrupción</w:t>
            </w:r>
            <w:r w:rsidR="005124E2">
              <w:rPr>
                <w:noProof/>
                <w:webHidden/>
              </w:rPr>
              <w:tab/>
            </w:r>
            <w:r w:rsidR="005124E2">
              <w:rPr>
                <w:noProof/>
                <w:webHidden/>
              </w:rPr>
              <w:fldChar w:fldCharType="begin"/>
            </w:r>
            <w:r w:rsidR="005124E2">
              <w:rPr>
                <w:noProof/>
                <w:webHidden/>
              </w:rPr>
              <w:instrText xml:space="preserve"> PAGEREF _Toc155778542 \h </w:instrText>
            </w:r>
            <w:r w:rsidR="005124E2">
              <w:rPr>
                <w:noProof/>
                <w:webHidden/>
              </w:rPr>
            </w:r>
            <w:r w:rsidR="005124E2">
              <w:rPr>
                <w:noProof/>
                <w:webHidden/>
              </w:rPr>
              <w:fldChar w:fldCharType="separate"/>
            </w:r>
            <w:r w:rsidR="00172B3B">
              <w:rPr>
                <w:noProof/>
                <w:webHidden/>
              </w:rPr>
              <w:t>29</w:t>
            </w:r>
            <w:r w:rsidR="005124E2">
              <w:rPr>
                <w:noProof/>
                <w:webHidden/>
              </w:rPr>
              <w:fldChar w:fldCharType="end"/>
            </w:r>
          </w:hyperlink>
        </w:p>
        <w:p w14:paraId="34E07E8E" w14:textId="7D74E65D" w:rsidR="005124E2" w:rsidRDefault="00000000">
          <w:pPr>
            <w:pStyle w:val="TDC2"/>
            <w:tabs>
              <w:tab w:val="right" w:leader="dot" w:pos="9394"/>
            </w:tabs>
            <w:rPr>
              <w:rFonts w:cstheme="minorBidi"/>
              <w:noProof/>
            </w:rPr>
          </w:pPr>
          <w:hyperlink w:anchor="_Toc155778543" w:history="1">
            <w:r w:rsidR="005124E2" w:rsidRPr="0097458C">
              <w:rPr>
                <w:rStyle w:val="Hipervnculo"/>
                <w:noProof/>
              </w:rPr>
              <w:t>Tabla 13. Ejemplo: Matriz de respuesta a riesgos de continuidad.</w:t>
            </w:r>
            <w:r w:rsidR="005124E2">
              <w:rPr>
                <w:noProof/>
                <w:webHidden/>
              </w:rPr>
              <w:tab/>
            </w:r>
            <w:r w:rsidR="005124E2">
              <w:rPr>
                <w:noProof/>
                <w:webHidden/>
              </w:rPr>
              <w:fldChar w:fldCharType="begin"/>
            </w:r>
            <w:r w:rsidR="005124E2">
              <w:rPr>
                <w:noProof/>
                <w:webHidden/>
              </w:rPr>
              <w:instrText xml:space="preserve"> PAGEREF _Toc155778543 \h </w:instrText>
            </w:r>
            <w:r w:rsidR="005124E2">
              <w:rPr>
                <w:noProof/>
                <w:webHidden/>
              </w:rPr>
            </w:r>
            <w:r w:rsidR="005124E2">
              <w:rPr>
                <w:noProof/>
                <w:webHidden/>
              </w:rPr>
              <w:fldChar w:fldCharType="separate"/>
            </w:r>
            <w:r w:rsidR="00172B3B">
              <w:rPr>
                <w:noProof/>
                <w:webHidden/>
              </w:rPr>
              <w:t>29</w:t>
            </w:r>
            <w:r w:rsidR="005124E2">
              <w:rPr>
                <w:noProof/>
                <w:webHidden/>
              </w:rPr>
              <w:fldChar w:fldCharType="end"/>
            </w:r>
          </w:hyperlink>
        </w:p>
        <w:p w14:paraId="2363D598" w14:textId="5C87BF2B" w:rsidR="005124E2" w:rsidRDefault="00000000">
          <w:pPr>
            <w:pStyle w:val="TDC1"/>
            <w:tabs>
              <w:tab w:val="left" w:pos="660"/>
            </w:tabs>
            <w:rPr>
              <w:rFonts w:cstheme="minorBidi"/>
              <w:noProof/>
            </w:rPr>
          </w:pPr>
          <w:hyperlink w:anchor="_Toc155778544" w:history="1">
            <w:r w:rsidR="005124E2" w:rsidRPr="0097458C">
              <w:rPr>
                <w:rStyle w:val="Hipervnculo"/>
                <w:b/>
                <w:bCs/>
                <w:noProof/>
              </w:rPr>
              <w:t>10.</w:t>
            </w:r>
            <w:r w:rsidR="005124E2">
              <w:rPr>
                <w:rFonts w:cstheme="minorBidi"/>
                <w:noProof/>
              </w:rPr>
              <w:tab/>
            </w:r>
            <w:r w:rsidR="005124E2" w:rsidRPr="0097458C">
              <w:rPr>
                <w:rStyle w:val="Hipervnculo"/>
                <w:b/>
                <w:bCs/>
                <w:noProof/>
              </w:rPr>
              <w:t xml:space="preserve"> Conclusiones</w:t>
            </w:r>
            <w:r w:rsidR="005124E2">
              <w:rPr>
                <w:noProof/>
                <w:webHidden/>
              </w:rPr>
              <w:tab/>
            </w:r>
            <w:r w:rsidR="005124E2">
              <w:rPr>
                <w:noProof/>
                <w:webHidden/>
              </w:rPr>
              <w:fldChar w:fldCharType="begin"/>
            </w:r>
            <w:r w:rsidR="005124E2">
              <w:rPr>
                <w:noProof/>
                <w:webHidden/>
              </w:rPr>
              <w:instrText xml:space="preserve"> PAGEREF _Toc155778544 \h </w:instrText>
            </w:r>
            <w:r w:rsidR="005124E2">
              <w:rPr>
                <w:noProof/>
                <w:webHidden/>
              </w:rPr>
            </w:r>
            <w:r w:rsidR="005124E2">
              <w:rPr>
                <w:noProof/>
                <w:webHidden/>
              </w:rPr>
              <w:fldChar w:fldCharType="separate"/>
            </w:r>
            <w:r w:rsidR="00172B3B">
              <w:rPr>
                <w:noProof/>
                <w:webHidden/>
              </w:rPr>
              <w:t>34</w:t>
            </w:r>
            <w:r w:rsidR="005124E2">
              <w:rPr>
                <w:noProof/>
                <w:webHidden/>
              </w:rPr>
              <w:fldChar w:fldCharType="end"/>
            </w:r>
          </w:hyperlink>
        </w:p>
        <w:p w14:paraId="4805F10D" w14:textId="3210A60B" w:rsidR="005124E2" w:rsidRDefault="00000000">
          <w:pPr>
            <w:pStyle w:val="TDC1"/>
            <w:tabs>
              <w:tab w:val="left" w:pos="660"/>
            </w:tabs>
            <w:rPr>
              <w:rFonts w:cstheme="minorBidi"/>
              <w:noProof/>
            </w:rPr>
          </w:pPr>
          <w:hyperlink w:anchor="_Toc155778545" w:history="1">
            <w:r w:rsidR="005124E2" w:rsidRPr="0097458C">
              <w:rPr>
                <w:rStyle w:val="Hipervnculo"/>
                <w:b/>
                <w:bCs/>
                <w:noProof/>
              </w:rPr>
              <w:t>11.</w:t>
            </w:r>
            <w:r w:rsidR="005124E2">
              <w:rPr>
                <w:rFonts w:cstheme="minorBidi"/>
                <w:noProof/>
              </w:rPr>
              <w:tab/>
            </w:r>
            <w:r w:rsidR="005124E2" w:rsidRPr="0097458C">
              <w:rPr>
                <w:rStyle w:val="Hipervnculo"/>
                <w:b/>
                <w:bCs/>
                <w:noProof/>
              </w:rPr>
              <w:t xml:space="preserve"> Recomendaciones</w:t>
            </w:r>
            <w:r w:rsidR="005124E2">
              <w:rPr>
                <w:noProof/>
                <w:webHidden/>
              </w:rPr>
              <w:tab/>
            </w:r>
            <w:r w:rsidR="005124E2">
              <w:rPr>
                <w:noProof/>
                <w:webHidden/>
              </w:rPr>
              <w:fldChar w:fldCharType="begin"/>
            </w:r>
            <w:r w:rsidR="005124E2">
              <w:rPr>
                <w:noProof/>
                <w:webHidden/>
              </w:rPr>
              <w:instrText xml:space="preserve"> PAGEREF _Toc155778545 \h </w:instrText>
            </w:r>
            <w:r w:rsidR="005124E2">
              <w:rPr>
                <w:noProof/>
                <w:webHidden/>
              </w:rPr>
            </w:r>
            <w:r w:rsidR="005124E2">
              <w:rPr>
                <w:noProof/>
                <w:webHidden/>
              </w:rPr>
              <w:fldChar w:fldCharType="separate"/>
            </w:r>
            <w:r w:rsidR="00172B3B">
              <w:rPr>
                <w:noProof/>
                <w:webHidden/>
              </w:rPr>
              <w:t>37</w:t>
            </w:r>
            <w:r w:rsidR="005124E2">
              <w:rPr>
                <w:noProof/>
                <w:webHidden/>
              </w:rPr>
              <w:fldChar w:fldCharType="end"/>
            </w:r>
          </w:hyperlink>
        </w:p>
        <w:p w14:paraId="0E6A0BF3" w14:textId="26FD487B" w:rsidR="00237B50" w:rsidRPr="0070574C" w:rsidRDefault="00237B50" w:rsidP="009D09DC">
          <w:pPr>
            <w:spacing w:after="0" w:line="240" w:lineRule="auto"/>
          </w:pPr>
          <w:r w:rsidRPr="00CF187A">
            <w:rPr>
              <w:b/>
              <w:bCs/>
              <w:lang w:val="es-ES"/>
            </w:rPr>
            <w:fldChar w:fldCharType="end"/>
          </w:r>
        </w:p>
      </w:sdtContent>
    </w:sdt>
    <w:p w14:paraId="1053D007" w14:textId="77777777" w:rsidR="009D7F46" w:rsidRPr="0070574C" w:rsidRDefault="009D7F46" w:rsidP="009D09DC">
      <w:pPr>
        <w:spacing w:after="0" w:line="240" w:lineRule="auto"/>
        <w:ind w:left="0" w:right="0" w:firstLine="0"/>
        <w:jc w:val="left"/>
      </w:pPr>
      <w:r w:rsidRPr="0070574C">
        <w:br w:type="page"/>
      </w:r>
    </w:p>
    <w:p w14:paraId="5E8FEA88" w14:textId="3885458A" w:rsidR="00FD79AD" w:rsidRPr="005A54DB" w:rsidRDefault="00000000" w:rsidP="005A54DB">
      <w:pPr>
        <w:pStyle w:val="Ttulo1"/>
        <w:rPr>
          <w:b/>
          <w:bCs/>
          <w:color w:val="002060"/>
          <w:sz w:val="32"/>
          <w:szCs w:val="32"/>
        </w:rPr>
      </w:pPr>
      <w:r w:rsidRPr="005A54DB">
        <w:rPr>
          <w:b/>
          <w:bCs/>
          <w:color w:val="002060"/>
          <w:sz w:val="32"/>
          <w:szCs w:val="32"/>
        </w:rPr>
        <w:lastRenderedPageBreak/>
        <w:t xml:space="preserve"> </w:t>
      </w:r>
      <w:bookmarkStart w:id="3" w:name="_Toc155778514"/>
      <w:r w:rsidR="003B32D7" w:rsidRPr="005A54DB">
        <w:rPr>
          <w:b/>
          <w:bCs/>
          <w:color w:val="002060"/>
          <w:sz w:val="32"/>
          <w:szCs w:val="32"/>
        </w:rPr>
        <w:t xml:space="preserve">1. </w:t>
      </w:r>
      <w:r w:rsidR="003B32D7" w:rsidRPr="005A54DB">
        <w:rPr>
          <w:b/>
          <w:bCs/>
          <w:color w:val="002060"/>
          <w:sz w:val="32"/>
          <w:szCs w:val="32"/>
        </w:rPr>
        <w:tab/>
        <w:t>Introducción</w:t>
      </w:r>
      <w:bookmarkEnd w:id="3"/>
    </w:p>
    <w:p w14:paraId="799D0C34" w14:textId="113D5A44" w:rsidR="00FD79AD" w:rsidRDefault="00FD79AD" w:rsidP="009D09DC">
      <w:pPr>
        <w:pStyle w:val="Ttulo1"/>
        <w:spacing w:after="0" w:line="240" w:lineRule="auto"/>
        <w:rPr>
          <w:sz w:val="22"/>
        </w:rPr>
      </w:pPr>
    </w:p>
    <w:p w14:paraId="6BD696E4" w14:textId="7157EBE4" w:rsidR="000E408E" w:rsidRPr="0070574C" w:rsidRDefault="000E408E" w:rsidP="009D09DC">
      <w:pPr>
        <w:autoSpaceDE w:val="0"/>
        <w:autoSpaceDN w:val="0"/>
        <w:adjustRightInd w:val="0"/>
        <w:spacing w:after="0" w:line="240" w:lineRule="auto"/>
      </w:pPr>
      <w:r w:rsidRPr="0070574C">
        <w:t xml:space="preserve">Según la norma ISO 22301 </w:t>
      </w:r>
      <w:r w:rsidRPr="0070574C">
        <w:rPr>
          <w:i/>
          <w:iCs/>
        </w:rPr>
        <w:t>“Sistemas de gestión de la continuidad del negocio”</w:t>
      </w:r>
      <w:r w:rsidRPr="0070574C">
        <w:t xml:space="preserve">, la Continuidad del Servicio es un término utilizado para referirse a </w:t>
      </w:r>
      <w:r w:rsidR="007911FD" w:rsidRPr="007911FD">
        <w:t>las estrategias y planificación mediante las cuales la</w:t>
      </w:r>
      <w:r w:rsidR="007911FD">
        <w:t>s</w:t>
      </w:r>
      <w:r w:rsidR="007911FD" w:rsidRPr="007911FD">
        <w:t xml:space="preserve"> organizaci</w:t>
      </w:r>
      <w:r w:rsidR="007911FD">
        <w:t>ones</w:t>
      </w:r>
      <w:r w:rsidR="007911FD" w:rsidRPr="007911FD">
        <w:t xml:space="preserve"> se prepara</w:t>
      </w:r>
      <w:r w:rsidR="007911FD">
        <w:t>n</w:t>
      </w:r>
      <w:r w:rsidR="007911FD" w:rsidRPr="007911FD">
        <w:t xml:space="preserve"> para continuar con la entrega de sus productos y servicios, dentro de plazos aceptables a una capacidad predefinida, durante un evento disruptivo generado por eventos catastróficos tales como incendios, inundaciones, ataques cibernéticos, accidentes, errores humanos, entre otros</w:t>
      </w:r>
      <w:r w:rsidRPr="0070574C">
        <w:t xml:space="preserve">. En la misma línea, un Sistema de Gestión de Continuidad del Servicio (SGCS) ayuda a las organizaciones a prepararse para enfrentar esas emergencias, a gestionar las crisis y mejorar su capacidad de recuperación operacional, asegurar la continuidad de la gestión de las funciones dentro de la organización, contar con planes de trabajo a fin de evitar, prevenir o disminuir la afectación en la prestación de los servicios organizacionales catalogadas como críticos o esenciales; de manera que los esfuerzos se dirigen a mantener la continuidad de esos servicios ante eventos disruptivos, en beneficio de las personas usuarias. </w:t>
      </w:r>
    </w:p>
    <w:p w14:paraId="025E0446" w14:textId="5AF8A992" w:rsidR="000E408E" w:rsidRPr="0070574C" w:rsidRDefault="000E408E" w:rsidP="009D09DC">
      <w:pPr>
        <w:spacing w:after="0" w:line="240" w:lineRule="auto"/>
      </w:pPr>
    </w:p>
    <w:p w14:paraId="7AA20E35" w14:textId="134A7452" w:rsidR="00A67316" w:rsidRPr="0070574C" w:rsidRDefault="00A67316" w:rsidP="009D09DC">
      <w:pPr>
        <w:spacing w:after="0" w:line="240" w:lineRule="auto"/>
        <w:ind w:right="12"/>
        <w:rPr>
          <w:rFonts w:eastAsiaTheme="minorHAnsi"/>
          <w:color w:val="auto"/>
        </w:rPr>
      </w:pPr>
      <w:r w:rsidRPr="0070574C">
        <w:t xml:space="preserve">En el caso del Poder Judicial de Costa Rica, en sesión del Consejo Superior número 48-2022, celebrada el 7 de junio de 2022, artículo LXXV (acuerdo confidencial), entre otros puntos, se avaló </w:t>
      </w:r>
      <w:r w:rsidRPr="0070574C">
        <w:rPr>
          <w:i/>
          <w:iCs/>
          <w:u w:val="single"/>
        </w:rPr>
        <w:t>la conformación del “Proceso de Gestión de Continuidad del Servicio”, como un nuevo proceso institucional, de naturaleza crítica y estratégica dentro del Poder Judicial</w:t>
      </w:r>
      <w:r w:rsidRPr="0070574C">
        <w:t xml:space="preserve">. Esto implica que a nivel de toda la organización, la continuidad del servicio se aborda con un tema de sumo interés; lo cual es concordante con la Ley General de Administración Pública, que en su artículo 4 establece la obligación de que todos los servicios públicos deben cumplir con principios y entre ellos está la continuidad del servicio; así como y el artículo 14 de la Ley General de Control Interno que establece el </w:t>
      </w:r>
      <w:r w:rsidRPr="0070574C">
        <w:rPr>
          <w:b/>
          <w:bCs/>
        </w:rPr>
        <w:t>deber</w:t>
      </w:r>
      <w:r w:rsidRPr="0070574C">
        <w:t xml:space="preserve"> del jerarca y de los titulares subordinados de analizar y valorar los riesgos y adoptar las medidas necesarias para disminuir el nivel de riesgo, en este caso </w:t>
      </w:r>
      <w:r w:rsidR="00013206">
        <w:t xml:space="preserve">sobre la interrupción </w:t>
      </w:r>
      <w:r w:rsidRPr="0070574C">
        <w:t xml:space="preserve">del servicio público que presta el Poder Judicial. </w:t>
      </w:r>
    </w:p>
    <w:p w14:paraId="63DEE565" w14:textId="77777777" w:rsidR="004010A9" w:rsidRPr="0070574C" w:rsidRDefault="004010A9" w:rsidP="009D09DC">
      <w:pPr>
        <w:spacing w:after="0" w:line="240" w:lineRule="auto"/>
        <w:ind w:left="0" w:firstLine="0"/>
      </w:pPr>
    </w:p>
    <w:p w14:paraId="0A39F759" w14:textId="5AF4293D" w:rsidR="000E408E" w:rsidRPr="0070574C" w:rsidRDefault="000E408E" w:rsidP="009D09DC">
      <w:pPr>
        <w:spacing w:after="0" w:line="240" w:lineRule="auto"/>
        <w:ind w:left="0" w:firstLine="0"/>
      </w:pPr>
      <w:r w:rsidRPr="0070574C">
        <w:t>La Guía de Implementación de la norma ISO 22301:2019 indica que:</w:t>
      </w:r>
    </w:p>
    <w:p w14:paraId="6CD2DA62" w14:textId="77777777" w:rsidR="000E408E" w:rsidRPr="0070574C" w:rsidRDefault="000E408E" w:rsidP="009D09DC">
      <w:pPr>
        <w:spacing w:after="0" w:line="240" w:lineRule="auto"/>
        <w:ind w:left="360"/>
      </w:pPr>
    </w:p>
    <w:p w14:paraId="7010E59F" w14:textId="77777777" w:rsidR="000E408E" w:rsidRPr="0070574C" w:rsidRDefault="000E408E" w:rsidP="009D09DC">
      <w:pPr>
        <w:spacing w:after="0" w:line="240" w:lineRule="auto"/>
        <w:ind w:left="567"/>
      </w:pPr>
      <w:r w:rsidRPr="0070574C">
        <w:rPr>
          <w:i/>
          <w:iCs/>
        </w:rPr>
        <w:t>“El propósito de la norma no es necesariamente lograr la mitigación total del impacto de la interrupción, sino de ayudar a una organización a comprender la magnitud y el tipo de impacto que está dispuesta a aceptar después de una interrupción</w:t>
      </w:r>
      <w:r w:rsidRPr="0070574C">
        <w:rPr>
          <w:i/>
          <w:iCs/>
          <w:u w:val="single"/>
        </w:rPr>
        <w:t xml:space="preserve"> para lo cual la organización desarrolla un sistema de continuidad del negocio dimensionado correctamente para sus necesidades</w:t>
      </w:r>
      <w:r w:rsidRPr="0070574C">
        <w:rPr>
          <w:i/>
          <w:iCs/>
        </w:rPr>
        <w:t xml:space="preserve">”. </w:t>
      </w:r>
      <w:r w:rsidRPr="0070574C">
        <w:t>(El subrayado ha sido agregado).</w:t>
      </w:r>
    </w:p>
    <w:p w14:paraId="7339045F" w14:textId="77777777" w:rsidR="004010A9" w:rsidRPr="0070574C" w:rsidRDefault="004010A9" w:rsidP="009D09DC">
      <w:pPr>
        <w:spacing w:after="0" w:line="240" w:lineRule="auto"/>
      </w:pPr>
    </w:p>
    <w:p w14:paraId="53AB76C7" w14:textId="79134488" w:rsidR="000E408E" w:rsidRPr="0070574C" w:rsidRDefault="000E408E" w:rsidP="009D09DC">
      <w:pPr>
        <w:spacing w:after="0" w:line="240" w:lineRule="auto"/>
      </w:pPr>
      <w:r w:rsidRPr="0070574C">
        <w:t>Un Sistema de Gestión de Continuidad del Servicio (SGCS) es una agrupación de métodos, procedimientos y normas interrelacionados para salvaguardar la continuidad de los procesos y servicios críticos o esenciales. La norma orienta a que el establecimiento del sistema da la capacidad a la organización para controlar, evaluar y continuar mejorando la continuidad del servicio.</w:t>
      </w:r>
    </w:p>
    <w:p w14:paraId="2CC5985F" w14:textId="404C362A" w:rsidR="00FD79AD" w:rsidRPr="0070574C" w:rsidRDefault="00FD79AD" w:rsidP="009D09DC">
      <w:pPr>
        <w:spacing w:after="0" w:line="240" w:lineRule="auto"/>
      </w:pPr>
    </w:p>
    <w:p w14:paraId="46C6AFFD" w14:textId="6B4B0E31" w:rsidR="000E408E" w:rsidRPr="0070574C" w:rsidRDefault="004010A9" w:rsidP="009D09DC">
      <w:pPr>
        <w:spacing w:after="0" w:line="240" w:lineRule="auto"/>
      </w:pPr>
      <w:r w:rsidRPr="0070574C">
        <w:t xml:space="preserve">La gestión de los riesgos de continuidad es parte del sistema. Por ello, la norma INTE G130:2022/Cor 1:2023 </w:t>
      </w:r>
      <w:r w:rsidRPr="00013206">
        <w:rPr>
          <w:i/>
          <w:iCs/>
        </w:rPr>
        <w:t>“Sistemas de Gestión de Continuidad de Servicios para organizaciones públicas y sin fines de lucro- Requisitos y orientación para su uso”</w:t>
      </w:r>
      <w:r w:rsidRPr="0070574C">
        <w:t xml:space="preserve"> determina que la organización debe realizar la evaluación de riesgos a intervalos planificados y cuando haya cambios significativos dentro de la organización o el contexto en que opera.</w:t>
      </w:r>
    </w:p>
    <w:p w14:paraId="72B85ED6" w14:textId="75ED9159" w:rsidR="000E408E" w:rsidRPr="0070574C" w:rsidRDefault="000E408E" w:rsidP="009D09DC">
      <w:pPr>
        <w:spacing w:after="0" w:line="240" w:lineRule="auto"/>
      </w:pPr>
    </w:p>
    <w:p w14:paraId="35EDF825" w14:textId="40CB7B18" w:rsidR="00982C84" w:rsidRPr="0070574C" w:rsidRDefault="00982C84" w:rsidP="009D09DC">
      <w:pPr>
        <w:spacing w:after="0" w:line="240" w:lineRule="auto"/>
      </w:pPr>
      <w:r w:rsidRPr="0070574C">
        <w:t xml:space="preserve">Particularmente esta norma indica: </w:t>
      </w:r>
    </w:p>
    <w:p w14:paraId="4A1D85EC" w14:textId="77777777" w:rsidR="00982C84" w:rsidRPr="0070574C" w:rsidRDefault="00982C84" w:rsidP="009D09DC">
      <w:pPr>
        <w:spacing w:after="0" w:line="240" w:lineRule="auto"/>
      </w:pPr>
    </w:p>
    <w:p w14:paraId="6E416F69" w14:textId="232C7DD6" w:rsidR="004010A9" w:rsidRPr="0070574C" w:rsidRDefault="00982C84" w:rsidP="009D09DC">
      <w:pPr>
        <w:spacing w:after="0" w:line="240" w:lineRule="auto"/>
        <w:ind w:left="851" w:firstLine="0"/>
        <w:rPr>
          <w:i/>
          <w:iCs/>
        </w:rPr>
      </w:pPr>
      <w:r w:rsidRPr="0070574C">
        <w:rPr>
          <w:i/>
          <w:iCs/>
        </w:rPr>
        <w:t>“</w:t>
      </w:r>
      <w:r w:rsidR="004010A9" w:rsidRPr="0070574C">
        <w:rPr>
          <w:i/>
          <w:iCs/>
        </w:rPr>
        <w:t>8.2.3 Evaluación de riesgos</w:t>
      </w:r>
    </w:p>
    <w:p w14:paraId="5F5C0A8D" w14:textId="77777777" w:rsidR="004010A9" w:rsidRPr="0070574C" w:rsidRDefault="004010A9" w:rsidP="009D09DC">
      <w:pPr>
        <w:spacing w:after="0" w:line="240" w:lineRule="auto"/>
        <w:ind w:left="851" w:firstLine="0"/>
        <w:rPr>
          <w:i/>
          <w:iCs/>
        </w:rPr>
      </w:pPr>
      <w:r w:rsidRPr="0070574C">
        <w:rPr>
          <w:i/>
          <w:iCs/>
        </w:rPr>
        <w:t>La organización debe implementar y mantener un proceso de evaluación de riesgos.</w:t>
      </w:r>
    </w:p>
    <w:p w14:paraId="4B40B59F" w14:textId="77777777" w:rsidR="004010A9" w:rsidRPr="00990439" w:rsidRDefault="004010A9" w:rsidP="009D09DC">
      <w:pPr>
        <w:spacing w:after="0" w:line="240" w:lineRule="auto"/>
        <w:ind w:left="851" w:firstLine="0"/>
        <w:rPr>
          <w:i/>
          <w:iCs/>
          <w:color w:val="auto"/>
        </w:rPr>
      </w:pPr>
      <w:r w:rsidRPr="00990439">
        <w:rPr>
          <w:i/>
          <w:iCs/>
          <w:color w:val="auto"/>
        </w:rPr>
        <w:t>La organización pública y sin fines de lucro debe:</w:t>
      </w:r>
    </w:p>
    <w:p w14:paraId="0C846D41" w14:textId="77777777" w:rsidR="004010A9" w:rsidRPr="00990439" w:rsidRDefault="004010A9" w:rsidP="009D09DC">
      <w:pPr>
        <w:spacing w:after="0" w:line="240" w:lineRule="auto"/>
        <w:ind w:left="851" w:firstLine="0"/>
        <w:rPr>
          <w:i/>
          <w:iCs/>
          <w:color w:val="auto"/>
        </w:rPr>
      </w:pPr>
      <w:r w:rsidRPr="00990439">
        <w:rPr>
          <w:i/>
          <w:iCs/>
          <w:color w:val="auto"/>
        </w:rPr>
        <w:t>a) identificar los riesgos de disrupción para las actividades priorizadas de la organización y de los recursos requeridos;</w:t>
      </w:r>
    </w:p>
    <w:p w14:paraId="4F601DF2" w14:textId="77777777" w:rsidR="004010A9" w:rsidRPr="0070574C" w:rsidRDefault="004010A9" w:rsidP="009D09DC">
      <w:pPr>
        <w:spacing w:after="0" w:line="240" w:lineRule="auto"/>
        <w:ind w:left="851" w:firstLine="0"/>
        <w:rPr>
          <w:i/>
          <w:iCs/>
        </w:rPr>
      </w:pPr>
      <w:r w:rsidRPr="0070574C">
        <w:rPr>
          <w:i/>
          <w:iCs/>
        </w:rPr>
        <w:t>b) analizar y evaluar los riesgos identificados;</w:t>
      </w:r>
    </w:p>
    <w:p w14:paraId="2E9035D5" w14:textId="6C61B951" w:rsidR="004010A9" w:rsidRPr="0070574C" w:rsidRDefault="004010A9" w:rsidP="009D09DC">
      <w:pPr>
        <w:spacing w:after="0" w:line="240" w:lineRule="auto"/>
        <w:ind w:left="851" w:firstLine="0"/>
        <w:rPr>
          <w:i/>
          <w:iCs/>
        </w:rPr>
      </w:pPr>
      <w:r w:rsidRPr="0070574C">
        <w:rPr>
          <w:i/>
          <w:iCs/>
        </w:rPr>
        <w:t>c) determinar cuáles riesgos requieren tratamiento</w:t>
      </w:r>
      <w:r w:rsidR="00982C84" w:rsidRPr="0070574C">
        <w:rPr>
          <w:i/>
          <w:iCs/>
        </w:rPr>
        <w:t>”</w:t>
      </w:r>
      <w:r w:rsidRPr="0070574C">
        <w:rPr>
          <w:i/>
          <w:iCs/>
        </w:rPr>
        <w:t>.</w:t>
      </w:r>
    </w:p>
    <w:p w14:paraId="3EC26229" w14:textId="142268D5" w:rsidR="004010A9" w:rsidRPr="0070574C" w:rsidRDefault="004010A9" w:rsidP="009D09DC">
      <w:pPr>
        <w:spacing w:after="0" w:line="240" w:lineRule="auto"/>
      </w:pPr>
    </w:p>
    <w:p w14:paraId="027E6AEF" w14:textId="7D22F7C2" w:rsidR="00982C84" w:rsidRPr="0070574C" w:rsidRDefault="00656C9E" w:rsidP="009D09DC">
      <w:pPr>
        <w:spacing w:after="0" w:line="240" w:lineRule="auto"/>
      </w:pPr>
      <w:r w:rsidRPr="0070574C">
        <w:t xml:space="preserve">La identificación </w:t>
      </w:r>
      <w:r w:rsidR="00982C84" w:rsidRPr="0070574C">
        <w:t>y análisis de los riesgos</w:t>
      </w:r>
      <w:r w:rsidRPr="0070574C">
        <w:t xml:space="preserve"> de continuidad que </w:t>
      </w:r>
      <w:r w:rsidR="00982C84" w:rsidRPr="0070574C">
        <w:t>enfrenta la institución</w:t>
      </w:r>
      <w:r w:rsidRPr="0070574C">
        <w:t xml:space="preserve"> debe contemplar </w:t>
      </w:r>
      <w:r w:rsidR="00982C84" w:rsidRPr="0070574C">
        <w:t xml:space="preserve">tanto </w:t>
      </w:r>
      <w:r w:rsidRPr="0070574C">
        <w:t>las</w:t>
      </w:r>
      <w:r w:rsidR="00982C84" w:rsidRPr="0070574C">
        <w:t xml:space="preserve"> fuentes internas como externas pertinentes para la consecución de los objetivos</w:t>
      </w:r>
      <w:r w:rsidRPr="0070574C">
        <w:t xml:space="preserve"> vinculados a la continuidad del servicio. </w:t>
      </w:r>
    </w:p>
    <w:p w14:paraId="32BB9C32" w14:textId="4852DF3C" w:rsidR="00656C9E" w:rsidRPr="0070574C" w:rsidRDefault="00656C9E" w:rsidP="009D09DC">
      <w:pPr>
        <w:spacing w:after="0" w:line="240" w:lineRule="auto"/>
      </w:pPr>
    </w:p>
    <w:p w14:paraId="0466088C" w14:textId="7AAA876D" w:rsidR="00B06940" w:rsidRPr="00990439" w:rsidRDefault="00B06940" w:rsidP="009D09DC">
      <w:pPr>
        <w:spacing w:after="0" w:line="240" w:lineRule="auto"/>
        <w:ind w:left="-5" w:right="94"/>
        <w:rPr>
          <w:color w:val="auto"/>
        </w:rPr>
      </w:pPr>
      <w:r w:rsidRPr="0070574C">
        <w:t xml:space="preserve">Los terremotos, tormentas, huelgas, pandemias, entre otros, son solo algunas de las amenazas a las que ha estado expuesto el Poder Judicial en los últimos años. </w:t>
      </w:r>
      <w:r w:rsidRPr="00990439">
        <w:rPr>
          <w:color w:val="auto"/>
        </w:rPr>
        <w:t xml:space="preserve">Cuando ocurren, todas estas situaciones pueden causar la interrupción de las operaciones o servicios de la institución en diferentes áreas y niveles de impacto; </w:t>
      </w:r>
      <w:r w:rsidR="00013206">
        <w:rPr>
          <w:color w:val="auto"/>
        </w:rPr>
        <w:t>y son</w:t>
      </w:r>
      <w:r w:rsidRPr="00990439">
        <w:rPr>
          <w:color w:val="auto"/>
        </w:rPr>
        <w:t xml:space="preserve"> las experiencias vividas las que han evidenciado estos riesgos y las consecuencias reales de su materialización. </w:t>
      </w:r>
    </w:p>
    <w:p w14:paraId="59629F1A" w14:textId="77777777" w:rsidR="00B06940" w:rsidRPr="00990439" w:rsidRDefault="00B06940" w:rsidP="009D09DC">
      <w:pPr>
        <w:spacing w:after="0" w:line="240" w:lineRule="auto"/>
        <w:ind w:left="-5" w:right="94"/>
        <w:rPr>
          <w:color w:val="auto"/>
        </w:rPr>
      </w:pPr>
    </w:p>
    <w:p w14:paraId="377E83C9" w14:textId="066B0229" w:rsidR="00B06940" w:rsidRPr="00990439" w:rsidRDefault="00B06940" w:rsidP="009D09DC">
      <w:pPr>
        <w:spacing w:after="0" w:line="240" w:lineRule="auto"/>
        <w:ind w:left="-5" w:right="94"/>
        <w:rPr>
          <w:color w:val="auto"/>
        </w:rPr>
      </w:pPr>
      <w:r w:rsidRPr="00990439">
        <w:rPr>
          <w:color w:val="auto"/>
        </w:rPr>
        <w:t xml:space="preserve">Como parte del Plan General de Continuidad del Servicio, en 2016 el Poder Judicial desarrolló un análisis de riesgos de continuidad a nivel institucional, el cual ofreció una primera percepción de los riesgos potenciales que podrían ocasionar una interrupción de su operación. </w:t>
      </w:r>
      <w:r w:rsidR="00990439" w:rsidRPr="00990439">
        <w:rPr>
          <w:color w:val="auto"/>
        </w:rPr>
        <w:t xml:space="preserve">Posteriormente, en el año 2020 el Consejo Superior aprobó el </w:t>
      </w:r>
      <w:r w:rsidR="00265CCD" w:rsidRPr="00265CCD">
        <w:rPr>
          <w:i/>
          <w:iCs/>
          <w:color w:val="auto"/>
        </w:rPr>
        <w:t>“</w:t>
      </w:r>
      <w:r w:rsidR="00990439" w:rsidRPr="00265CCD">
        <w:rPr>
          <w:i/>
          <w:iCs/>
          <w:color w:val="auto"/>
        </w:rPr>
        <w:t>Informe de Análisis de Riesgos de Continuidad del Servicio del Poder Judicial</w:t>
      </w:r>
      <w:r w:rsidR="00265CCD" w:rsidRPr="00265CCD">
        <w:rPr>
          <w:i/>
          <w:iCs/>
          <w:color w:val="auto"/>
        </w:rPr>
        <w:t>”</w:t>
      </w:r>
      <w:r w:rsidR="00990439" w:rsidRPr="00990439">
        <w:rPr>
          <w:color w:val="auto"/>
        </w:rPr>
        <w:t>; sin em</w:t>
      </w:r>
      <w:r w:rsidRPr="00990439">
        <w:rPr>
          <w:color w:val="auto"/>
        </w:rPr>
        <w:t xml:space="preserve">bargo, desde entonces el contexto interno de la </w:t>
      </w:r>
      <w:r w:rsidR="007B781C">
        <w:rPr>
          <w:color w:val="auto"/>
        </w:rPr>
        <w:t>organización</w:t>
      </w:r>
      <w:r w:rsidRPr="00990439">
        <w:rPr>
          <w:color w:val="auto"/>
        </w:rPr>
        <w:t xml:space="preserve"> (por ejemplo, las personas, los procesos y la tecnología), así como su entorno externo (por ejemplo, el ambiental, político, social y económico) han cambiado, de forma que los riesgos identificados en su momento deben ser revisados a la luz de dichos cambios. </w:t>
      </w:r>
    </w:p>
    <w:p w14:paraId="2E4ACEB9" w14:textId="06E96574" w:rsidR="00B06940" w:rsidRPr="00990439" w:rsidRDefault="00B06940" w:rsidP="009D09DC">
      <w:pPr>
        <w:spacing w:after="0" w:line="240" w:lineRule="auto"/>
        <w:rPr>
          <w:color w:val="auto"/>
        </w:rPr>
      </w:pPr>
    </w:p>
    <w:p w14:paraId="309E9BAF" w14:textId="13E8266A" w:rsidR="00656C9E" w:rsidRDefault="00656C9E" w:rsidP="009D09DC">
      <w:pPr>
        <w:spacing w:after="0" w:line="240" w:lineRule="auto"/>
        <w:rPr>
          <w:color w:val="auto"/>
        </w:rPr>
      </w:pPr>
      <w:r w:rsidRPr="00990439">
        <w:rPr>
          <w:color w:val="auto"/>
        </w:rPr>
        <w:t>Por tanto, en este informe se aborda a identificación de riesgos, a la luz de los eventos disruptivos materializados o que</w:t>
      </w:r>
      <w:r w:rsidR="004907BE">
        <w:rPr>
          <w:color w:val="auto"/>
        </w:rPr>
        <w:t xml:space="preserve"> pueden</w:t>
      </w:r>
      <w:r w:rsidRPr="00990439">
        <w:rPr>
          <w:color w:val="auto"/>
        </w:rPr>
        <w:t xml:space="preserve"> presentar mayor </w:t>
      </w:r>
      <w:r w:rsidR="00B57736" w:rsidRPr="00990439">
        <w:rPr>
          <w:color w:val="auto"/>
        </w:rPr>
        <w:t xml:space="preserve">probabilidad de ocurrencia dentro del Poder Judicial. </w:t>
      </w:r>
    </w:p>
    <w:p w14:paraId="225FF082" w14:textId="77777777" w:rsidR="00D569CB" w:rsidRPr="00990439" w:rsidRDefault="00D569CB" w:rsidP="009D09DC">
      <w:pPr>
        <w:spacing w:after="0" w:line="240" w:lineRule="auto"/>
        <w:rPr>
          <w:color w:val="auto"/>
        </w:rPr>
      </w:pPr>
    </w:p>
    <w:p w14:paraId="249BA7BB" w14:textId="77777777" w:rsidR="00982C84" w:rsidRPr="0070574C" w:rsidRDefault="00982C84" w:rsidP="009D09DC">
      <w:pPr>
        <w:spacing w:after="0" w:line="240" w:lineRule="auto"/>
      </w:pPr>
    </w:p>
    <w:p w14:paraId="0BFB9AA5" w14:textId="66144329" w:rsidR="001B2C93" w:rsidRPr="00900DA4" w:rsidRDefault="003B32D7" w:rsidP="009D09DC">
      <w:pPr>
        <w:pStyle w:val="Ttulo1"/>
        <w:spacing w:after="0" w:line="240" w:lineRule="auto"/>
        <w:rPr>
          <w:b/>
          <w:bCs/>
          <w:color w:val="002060"/>
          <w:sz w:val="22"/>
        </w:rPr>
      </w:pPr>
      <w:bookmarkStart w:id="4" w:name="_Toc155778515"/>
      <w:r w:rsidRPr="00900DA4">
        <w:rPr>
          <w:b/>
          <w:bCs/>
          <w:color w:val="002060"/>
          <w:sz w:val="32"/>
          <w:szCs w:val="32"/>
        </w:rPr>
        <w:t>2.</w:t>
      </w:r>
      <w:r w:rsidR="00FD79AD" w:rsidRPr="00900DA4">
        <w:rPr>
          <w:b/>
          <w:bCs/>
          <w:color w:val="002060"/>
          <w:sz w:val="32"/>
          <w:szCs w:val="32"/>
        </w:rPr>
        <w:tab/>
      </w:r>
      <w:r w:rsidR="001B2C93" w:rsidRPr="00900DA4">
        <w:rPr>
          <w:b/>
          <w:bCs/>
          <w:color w:val="002060"/>
          <w:sz w:val="32"/>
          <w:szCs w:val="32"/>
        </w:rPr>
        <w:t>Objetivo y Alcance del Documento</w:t>
      </w:r>
      <w:bookmarkEnd w:id="4"/>
      <w:r w:rsidR="001B2C93" w:rsidRPr="00900DA4">
        <w:rPr>
          <w:b/>
          <w:bCs/>
          <w:color w:val="002060"/>
          <w:sz w:val="22"/>
        </w:rPr>
        <w:t xml:space="preserve"> </w:t>
      </w:r>
    </w:p>
    <w:p w14:paraId="4E68657C" w14:textId="77777777" w:rsidR="001B2C93" w:rsidRPr="0070574C" w:rsidRDefault="001B2C93" w:rsidP="009D09DC">
      <w:pPr>
        <w:spacing w:after="0" w:line="240" w:lineRule="auto"/>
        <w:ind w:left="-5" w:right="94"/>
        <w:rPr>
          <w:highlight w:val="green"/>
        </w:rPr>
      </w:pPr>
    </w:p>
    <w:p w14:paraId="160A3312" w14:textId="77777777" w:rsidR="001B2C93" w:rsidRPr="0070574C" w:rsidRDefault="001B2C93" w:rsidP="009D09DC">
      <w:pPr>
        <w:spacing w:after="0" w:line="240" w:lineRule="auto"/>
      </w:pPr>
      <w:r w:rsidRPr="0070574C">
        <w:t xml:space="preserve">El </w:t>
      </w:r>
      <w:r w:rsidRPr="00994004">
        <w:rPr>
          <w:b/>
          <w:bCs/>
        </w:rPr>
        <w:t>objetivo general</w:t>
      </w:r>
      <w:r w:rsidRPr="0070574C">
        <w:t xml:space="preserve"> abordado en este documento es: </w:t>
      </w:r>
    </w:p>
    <w:p w14:paraId="2055F808" w14:textId="77777777" w:rsidR="001B2C93" w:rsidRPr="0070574C" w:rsidRDefault="001B2C93" w:rsidP="009D09DC">
      <w:pPr>
        <w:spacing w:after="0" w:line="240" w:lineRule="auto"/>
        <w:rPr>
          <w:b/>
          <w:bCs/>
        </w:rPr>
      </w:pPr>
    </w:p>
    <w:p w14:paraId="1D19111E" w14:textId="77777777" w:rsidR="001B2C93" w:rsidRPr="0070574C" w:rsidRDefault="001B2C93" w:rsidP="009D09DC">
      <w:pPr>
        <w:spacing w:after="0" w:line="240" w:lineRule="auto"/>
      </w:pPr>
      <w:r w:rsidRPr="00D73BD3">
        <w:t>Ponderar</w:t>
      </w:r>
      <w:r w:rsidRPr="0070574C">
        <w:t xml:space="preserve"> los riesgos de disrupción para las actividades priorizadas del Poder Judicial, de acuerdo con los recientes cambios en la organización y en el contexto.</w:t>
      </w:r>
    </w:p>
    <w:p w14:paraId="65B266F1" w14:textId="77777777" w:rsidR="001B2C93" w:rsidRPr="0070574C" w:rsidRDefault="001B2C93" w:rsidP="009D09DC">
      <w:pPr>
        <w:spacing w:after="0" w:line="240" w:lineRule="auto"/>
      </w:pPr>
    </w:p>
    <w:p w14:paraId="08240A7D" w14:textId="410468B9" w:rsidR="001B2C93" w:rsidRDefault="001B2C93" w:rsidP="009D09DC">
      <w:pPr>
        <w:spacing w:after="0" w:line="240" w:lineRule="auto"/>
        <w:rPr>
          <w:b/>
          <w:bCs/>
        </w:rPr>
      </w:pPr>
      <w:r w:rsidRPr="00994004">
        <w:rPr>
          <w:b/>
          <w:bCs/>
        </w:rPr>
        <w:t xml:space="preserve">Objetivos específicos: </w:t>
      </w:r>
    </w:p>
    <w:p w14:paraId="61324EE8" w14:textId="77777777" w:rsidR="00387C0D" w:rsidRPr="00994004" w:rsidRDefault="00387C0D" w:rsidP="009D09DC">
      <w:pPr>
        <w:spacing w:after="0" w:line="240" w:lineRule="auto"/>
        <w:rPr>
          <w:b/>
          <w:bCs/>
        </w:rPr>
      </w:pPr>
    </w:p>
    <w:p w14:paraId="69B31634" w14:textId="77777777" w:rsidR="001B2C93" w:rsidRPr="0070574C" w:rsidRDefault="001B2C93" w:rsidP="00226479">
      <w:pPr>
        <w:pStyle w:val="Prrafodelista"/>
        <w:numPr>
          <w:ilvl w:val="0"/>
          <w:numId w:val="2"/>
        </w:numPr>
        <w:spacing w:after="0" w:line="240" w:lineRule="auto"/>
      </w:pPr>
      <w:r w:rsidRPr="0070574C">
        <w:t xml:space="preserve">Identificar los riesgos de continuidad vinculados a los procesos y servicios institucionales, que resultan críticos o esenciales para el Poder Judicial. </w:t>
      </w:r>
    </w:p>
    <w:p w14:paraId="1667BCF5" w14:textId="77777777" w:rsidR="001B2C93" w:rsidRPr="0070574C" w:rsidRDefault="001B2C93" w:rsidP="009D09DC">
      <w:pPr>
        <w:pStyle w:val="Prrafodelista"/>
        <w:spacing w:after="0" w:line="240" w:lineRule="auto"/>
        <w:ind w:firstLine="0"/>
      </w:pPr>
    </w:p>
    <w:p w14:paraId="24C8C458" w14:textId="77777777" w:rsidR="001B2C93" w:rsidRPr="0070574C" w:rsidRDefault="001B2C93" w:rsidP="00226479">
      <w:pPr>
        <w:pStyle w:val="Prrafodelista"/>
        <w:numPr>
          <w:ilvl w:val="0"/>
          <w:numId w:val="2"/>
        </w:numPr>
        <w:spacing w:after="0" w:line="240" w:lineRule="auto"/>
      </w:pPr>
      <w:r w:rsidRPr="0070574C">
        <w:lastRenderedPageBreak/>
        <w:t>Categorizar los distintos tipos de riesgos de continuidad, según escenarios de disrupción que podrían afectar al Poder Judicial.</w:t>
      </w:r>
    </w:p>
    <w:p w14:paraId="49F0C0CC" w14:textId="77777777" w:rsidR="008B18C2" w:rsidRPr="0070574C" w:rsidRDefault="008B18C2" w:rsidP="009D09DC">
      <w:pPr>
        <w:pStyle w:val="Prrafodelista"/>
        <w:spacing w:after="0" w:line="240" w:lineRule="auto"/>
        <w:ind w:right="94" w:firstLine="0"/>
        <w:rPr>
          <w:highlight w:val="yellow"/>
        </w:rPr>
      </w:pPr>
    </w:p>
    <w:p w14:paraId="48B86961" w14:textId="1EE57813" w:rsidR="001B2C93" w:rsidRPr="0070574C" w:rsidRDefault="001B2C93" w:rsidP="009D09DC">
      <w:pPr>
        <w:spacing w:after="0" w:line="240" w:lineRule="auto"/>
        <w:rPr>
          <w:color w:val="auto"/>
        </w:rPr>
      </w:pPr>
      <w:r w:rsidRPr="0070574C">
        <w:rPr>
          <w:b/>
          <w:bCs/>
        </w:rPr>
        <w:t>El alcance</w:t>
      </w:r>
      <w:r w:rsidRPr="0070574C">
        <w:t xml:space="preserve"> contempla la identificación y análisis de los riesgos de continuidad que enfrenta la institución </w:t>
      </w:r>
      <w:r w:rsidR="000F3951" w:rsidRPr="0070574C">
        <w:t>y</w:t>
      </w:r>
      <w:r w:rsidR="00973F53" w:rsidRPr="0070574C">
        <w:t xml:space="preserve"> que</w:t>
      </w:r>
      <w:r w:rsidR="000F3951" w:rsidRPr="0070574C">
        <w:t xml:space="preserve"> </w:t>
      </w:r>
      <w:r w:rsidRPr="0070574C">
        <w:t xml:space="preserve">debe examinar tanto </w:t>
      </w:r>
      <w:r w:rsidR="00973F53" w:rsidRPr="0070574C">
        <w:t xml:space="preserve">de </w:t>
      </w:r>
      <w:r w:rsidRPr="0070574C">
        <w:t>las fuentes internas como externas pertinentes</w:t>
      </w:r>
      <w:r w:rsidR="00973F53" w:rsidRPr="0070574C">
        <w:t>,</w:t>
      </w:r>
      <w:r w:rsidRPr="0070574C">
        <w:t xml:space="preserve"> para la consecución de los objetivos vinculados a la continuidad del servicio. </w:t>
      </w:r>
      <w:r w:rsidRPr="0070574C">
        <w:rPr>
          <w:color w:val="auto"/>
        </w:rPr>
        <w:t xml:space="preserve">De manera que el enfoque de este informe aborda la identificación de riesgos, a la luz de los eventos disruptivos materializados o que presentan mayor probabilidad de ocurrencia dentro del Poder Judicial; considerando la categorización de los riesgos para su posterior tratamiento. </w:t>
      </w:r>
    </w:p>
    <w:p w14:paraId="65AF9291" w14:textId="77777777" w:rsidR="001B2C93" w:rsidRPr="0070574C" w:rsidRDefault="001B2C93" w:rsidP="009D09DC">
      <w:pPr>
        <w:spacing w:after="0" w:line="240" w:lineRule="auto"/>
        <w:ind w:left="-5" w:right="94"/>
        <w:rPr>
          <w:color w:val="auto"/>
        </w:rPr>
      </w:pPr>
    </w:p>
    <w:p w14:paraId="1B96A6D6" w14:textId="77777777" w:rsidR="001B2C93" w:rsidRPr="0070574C" w:rsidRDefault="001B2C93" w:rsidP="009D09DC">
      <w:pPr>
        <w:spacing w:after="0" w:line="240" w:lineRule="auto"/>
        <w:ind w:left="-5" w:right="94"/>
        <w:rPr>
          <w:color w:val="auto"/>
        </w:rPr>
      </w:pPr>
      <w:r w:rsidRPr="0070574C">
        <w:rPr>
          <w:color w:val="auto"/>
        </w:rPr>
        <w:t xml:space="preserve">Los resultados de esta evaluación ayudarán al Poder Judicial a determinar las opciones de gestión de riesgo adecuadas, así como priorizar las medidas de protección y mitigación que formarán parte de la estrategia de continuidad del servicio institucional. </w:t>
      </w:r>
    </w:p>
    <w:p w14:paraId="7D8B1144" w14:textId="77777777" w:rsidR="001B2C93" w:rsidRPr="0070574C" w:rsidRDefault="001B2C93" w:rsidP="009D09DC">
      <w:pPr>
        <w:spacing w:after="0" w:line="240" w:lineRule="auto"/>
        <w:ind w:left="-5" w:right="94"/>
      </w:pPr>
    </w:p>
    <w:p w14:paraId="5B226060" w14:textId="30A4C436" w:rsidR="001B2C93" w:rsidRPr="0070574C" w:rsidRDefault="001B2C93" w:rsidP="009D09DC">
      <w:pPr>
        <w:spacing w:after="0" w:line="240" w:lineRule="auto"/>
        <w:ind w:left="-5" w:right="94"/>
      </w:pPr>
      <w:r w:rsidRPr="0070574C">
        <w:t xml:space="preserve">Se excluye del presente análisis la selección y descripción </w:t>
      </w:r>
      <w:r w:rsidR="0024592B">
        <w:t xml:space="preserve">detallada </w:t>
      </w:r>
      <w:r w:rsidRPr="0070574C">
        <w:t>de las medidas de tratamiento de los riesgos que superan el apetito de la institución</w:t>
      </w:r>
      <w:r w:rsidR="0024592B">
        <w:t xml:space="preserve"> para cada proceso o servicio crítico o esencial</w:t>
      </w:r>
      <w:r w:rsidRPr="0070574C">
        <w:t>. Estas acciones de mitigación estarán detalladas en la estrategia de continuidad del servicio</w:t>
      </w:r>
      <w:r w:rsidR="0024592B">
        <w:t>, que corresponde a otra etapa del Sistema de Gestión de Continuidad del Servicio</w:t>
      </w:r>
      <w:r w:rsidRPr="0070574C">
        <w:t xml:space="preserve">.  </w:t>
      </w:r>
    </w:p>
    <w:p w14:paraId="50D83AAF" w14:textId="77777777" w:rsidR="001B2C93" w:rsidRPr="0070574C" w:rsidRDefault="001B2C93" w:rsidP="009D09DC">
      <w:pPr>
        <w:spacing w:after="0" w:line="240" w:lineRule="auto"/>
        <w:ind w:left="-5" w:right="94"/>
      </w:pPr>
    </w:p>
    <w:p w14:paraId="2A44A7D3" w14:textId="77777777" w:rsidR="001B2C93" w:rsidRPr="0070574C" w:rsidRDefault="001B2C93" w:rsidP="009D09DC">
      <w:pPr>
        <w:spacing w:after="0" w:line="240" w:lineRule="auto"/>
        <w:ind w:left="-5" w:right="94"/>
        <w:rPr>
          <w:highlight w:val="green"/>
        </w:rPr>
      </w:pPr>
    </w:p>
    <w:p w14:paraId="1BAA61BA" w14:textId="6B5AF313" w:rsidR="00FD79AD" w:rsidRPr="00900DA4" w:rsidRDefault="003B32D7" w:rsidP="009D09DC">
      <w:pPr>
        <w:pStyle w:val="Ttulo1"/>
        <w:spacing w:after="0" w:line="240" w:lineRule="auto"/>
        <w:rPr>
          <w:b/>
          <w:bCs/>
          <w:color w:val="002060"/>
          <w:sz w:val="32"/>
          <w:szCs w:val="32"/>
        </w:rPr>
      </w:pPr>
      <w:bookmarkStart w:id="5" w:name="_Toc155778516"/>
      <w:r w:rsidRPr="00900DA4">
        <w:rPr>
          <w:b/>
          <w:bCs/>
          <w:color w:val="002060"/>
          <w:sz w:val="32"/>
          <w:szCs w:val="32"/>
        </w:rPr>
        <w:t>3.</w:t>
      </w:r>
      <w:r w:rsidR="001B2C93" w:rsidRPr="00900DA4">
        <w:rPr>
          <w:b/>
          <w:bCs/>
          <w:color w:val="002060"/>
          <w:sz w:val="32"/>
          <w:szCs w:val="32"/>
        </w:rPr>
        <w:tab/>
      </w:r>
      <w:r w:rsidR="00FD79AD" w:rsidRPr="00900DA4">
        <w:rPr>
          <w:b/>
          <w:bCs/>
          <w:color w:val="002060"/>
          <w:sz w:val="32"/>
          <w:szCs w:val="32"/>
        </w:rPr>
        <w:t>Antecedentes</w:t>
      </w:r>
      <w:bookmarkEnd w:id="5"/>
    </w:p>
    <w:p w14:paraId="60320BD5" w14:textId="7CBCB68D" w:rsidR="00FD79AD" w:rsidRPr="0070574C" w:rsidRDefault="00FD79AD" w:rsidP="009D09DC">
      <w:pPr>
        <w:pStyle w:val="Ttulo1"/>
        <w:spacing w:after="0" w:line="240" w:lineRule="auto"/>
        <w:rPr>
          <w:sz w:val="22"/>
        </w:rPr>
      </w:pPr>
    </w:p>
    <w:p w14:paraId="5811C502" w14:textId="2BDC3E92" w:rsidR="006F608E" w:rsidRPr="0070574C" w:rsidRDefault="006F608E" w:rsidP="009D09DC">
      <w:pPr>
        <w:spacing w:after="0" w:line="240" w:lineRule="auto"/>
      </w:pPr>
      <w:r w:rsidRPr="0070574C">
        <w:t xml:space="preserve">El Consejo Superior en la sesión 103-2019 celebrada el 26 de noviembre de 2019, artículo XXIV, aprobó </w:t>
      </w:r>
      <w:r w:rsidRPr="0085733A">
        <w:rPr>
          <w:i/>
          <w:iCs/>
        </w:rPr>
        <w:t>el “Informe del Análisis de Impacto al Servicio del Poder Judicial”.</w:t>
      </w:r>
      <w:r w:rsidRPr="0070574C">
        <w:t xml:space="preserve"> En dicho informe se reportó el resultado de la labor realizada para esa etapa, donde se identificaron un total de 688 procesos institucionales, de los cuales 64 se priorizaron como procesos que resultan críticos, en caso de ocurrir un evento disruptivo que afecte la continuidad normal de los servicios.</w:t>
      </w:r>
    </w:p>
    <w:p w14:paraId="3B593C3C" w14:textId="6968916D" w:rsidR="003F2D4D" w:rsidRPr="0070574C" w:rsidRDefault="003F2D4D" w:rsidP="009D09DC">
      <w:pPr>
        <w:spacing w:after="0" w:line="240" w:lineRule="auto"/>
      </w:pPr>
    </w:p>
    <w:p w14:paraId="6EB4468A" w14:textId="67B91591" w:rsidR="000E408E" w:rsidRPr="0070574C" w:rsidRDefault="003F2D4D" w:rsidP="009D09DC">
      <w:pPr>
        <w:spacing w:after="0" w:line="240" w:lineRule="auto"/>
      </w:pPr>
      <w:r w:rsidRPr="0070574C">
        <w:t>Posteriormente, en la sesión del Consejo Superior número 72-2020</w:t>
      </w:r>
      <w:r w:rsidR="001E7A53">
        <w:t>,</w:t>
      </w:r>
      <w:r w:rsidRPr="0070574C">
        <w:t xml:space="preserve"> celebrada el 16 de julio de 2020, artículo XIII, se </w:t>
      </w:r>
      <w:r w:rsidRPr="00990439">
        <w:rPr>
          <w:color w:val="auto"/>
        </w:rPr>
        <w:t xml:space="preserve">conoció y aprobó el </w:t>
      </w:r>
      <w:r w:rsidRPr="0085733A">
        <w:rPr>
          <w:i/>
          <w:iCs/>
          <w:color w:val="auto"/>
        </w:rPr>
        <w:t>“</w:t>
      </w:r>
      <w:r w:rsidR="00990439" w:rsidRPr="0085733A">
        <w:rPr>
          <w:i/>
          <w:iCs/>
          <w:color w:val="auto"/>
        </w:rPr>
        <w:t>Informe de Análisis de Riesgos de Continuidad del Servicio del Poder Judicial</w:t>
      </w:r>
      <w:r w:rsidRPr="0085733A">
        <w:rPr>
          <w:i/>
          <w:iCs/>
          <w:color w:val="auto"/>
        </w:rPr>
        <w:t>”</w:t>
      </w:r>
      <w:r w:rsidRPr="00990439">
        <w:rPr>
          <w:color w:val="auto"/>
        </w:rPr>
        <w:t xml:space="preserve">, el cual fue elaborado </w:t>
      </w:r>
      <w:r w:rsidRPr="0070574C">
        <w:t xml:space="preserve">con el trabajo de </w:t>
      </w:r>
      <w:r w:rsidR="000E408E" w:rsidRPr="0070574C">
        <w:t xml:space="preserve">la </w:t>
      </w:r>
      <w:r w:rsidR="00893E1E">
        <w:t>organización</w:t>
      </w:r>
      <w:r w:rsidR="000E408E" w:rsidRPr="0070574C">
        <w:t xml:space="preserve"> consultora a la que se le adjudicó la Licitación Abreviada 2016LA-000063-PROV, denominada </w:t>
      </w:r>
      <w:r w:rsidR="000E408E" w:rsidRPr="0070574C">
        <w:rPr>
          <w:i/>
          <w:iCs/>
        </w:rPr>
        <w:t>“Contratación de horas de Asesoría Profesional para el Desarrollo de las Fases III, IV y V del Plan General de Continuidad de Servicio del Poder Judicial”</w:t>
      </w:r>
      <w:r w:rsidRPr="0070574C">
        <w:rPr>
          <w:i/>
          <w:iCs/>
        </w:rPr>
        <w:t>.</w:t>
      </w:r>
    </w:p>
    <w:p w14:paraId="1F2B1858" w14:textId="77777777" w:rsidR="001E502D" w:rsidRPr="0070574C" w:rsidRDefault="001E502D" w:rsidP="009D09DC">
      <w:pPr>
        <w:spacing w:after="0" w:line="240" w:lineRule="auto"/>
        <w:ind w:left="-5" w:right="94"/>
      </w:pPr>
    </w:p>
    <w:p w14:paraId="37F26D19" w14:textId="74FCD04B" w:rsidR="001E502D" w:rsidRPr="0070574C" w:rsidRDefault="001E502D" w:rsidP="009D09DC">
      <w:pPr>
        <w:spacing w:after="0" w:line="240" w:lineRule="auto"/>
        <w:ind w:left="-5" w:right="94"/>
      </w:pPr>
      <w:r w:rsidRPr="0070574C">
        <w:t xml:space="preserve">Se considera </w:t>
      </w:r>
      <w:r w:rsidR="008D76FB" w:rsidRPr="0070574C">
        <w:t>también el</w:t>
      </w:r>
      <w:r w:rsidR="00374EFF" w:rsidRPr="0070574C">
        <w:t xml:space="preserve"> </w:t>
      </w:r>
      <w:r w:rsidR="00374EFF" w:rsidRPr="0085733A">
        <w:rPr>
          <w:i/>
          <w:iCs/>
        </w:rPr>
        <w:t>“Informe del seguimiento del manejo de los riesgos de continuidad”</w:t>
      </w:r>
      <w:r w:rsidR="008D76FB" w:rsidRPr="0070574C">
        <w:t xml:space="preserve"> el cual tuvo </w:t>
      </w:r>
      <w:r w:rsidR="00374EFF" w:rsidRPr="0070574C">
        <w:t xml:space="preserve">como finalidad resaltar las estrategias </w:t>
      </w:r>
      <w:r w:rsidR="008D76FB" w:rsidRPr="0070574C">
        <w:t>d</w:t>
      </w:r>
      <w:r w:rsidR="00374EFF" w:rsidRPr="0070574C">
        <w:t>el Poder Judicial durante la definición de su Plan General de Continuidad del Servicio que se pueden relacionar con escenarios de riesgo como el de la crisis generada por el COVID-19</w:t>
      </w:r>
      <w:r w:rsidR="008D76FB" w:rsidRPr="0070574C">
        <w:t>; a</w:t>
      </w:r>
      <w:r w:rsidR="00374EFF" w:rsidRPr="0070574C">
        <w:t>demás</w:t>
      </w:r>
      <w:r w:rsidR="008D76FB" w:rsidRPr="0070574C">
        <w:t xml:space="preserve"> </w:t>
      </w:r>
      <w:r w:rsidR="00374EFF" w:rsidRPr="0070574C">
        <w:t>de contrastar las acciones realizadas por la institución durante esta contingencia con lo planificado, para determinar las fortalezas y las oportunidades de mejora a nivel de gestión y operativas cuando sea necesario en el futuro.</w:t>
      </w:r>
    </w:p>
    <w:p w14:paraId="33A7DDE3" w14:textId="77777777" w:rsidR="000E408E" w:rsidRPr="0070574C" w:rsidRDefault="000E408E" w:rsidP="009D09DC">
      <w:pPr>
        <w:spacing w:after="0" w:line="240" w:lineRule="auto"/>
      </w:pPr>
    </w:p>
    <w:p w14:paraId="0C6C357F" w14:textId="04027241" w:rsidR="003F2D4D" w:rsidRPr="0070574C" w:rsidRDefault="003F2D4D" w:rsidP="009D09DC">
      <w:pPr>
        <w:spacing w:after="0" w:line="240" w:lineRule="auto"/>
        <w:ind w:left="-5" w:right="94"/>
      </w:pPr>
      <w:r w:rsidRPr="0070574C">
        <w:t xml:space="preserve">Por otra parte, se </w:t>
      </w:r>
      <w:r w:rsidR="001E502D" w:rsidRPr="0070574C">
        <w:t xml:space="preserve">toma en cuenta </w:t>
      </w:r>
      <w:r w:rsidRPr="0070574C">
        <w:t xml:space="preserve">para el presente informe la </w:t>
      </w:r>
      <w:r w:rsidR="00FC1692" w:rsidRPr="0070574C">
        <w:t>Circular</w:t>
      </w:r>
      <w:r w:rsidRPr="0070574C">
        <w:t xml:space="preserve"> 264-2023 de la Secretaría General de la Corte, referente al </w:t>
      </w:r>
      <w:r w:rsidRPr="0085733A">
        <w:rPr>
          <w:i/>
          <w:iCs/>
        </w:rPr>
        <w:t xml:space="preserve">“Portafolio y Estructura de Riesgos Institucional, versión 2023” </w:t>
      </w:r>
      <w:r w:rsidRPr="0070574C">
        <w:t xml:space="preserve">elaborado por la Oficina </w:t>
      </w:r>
      <w:r w:rsidR="00FC1692" w:rsidRPr="0070574C">
        <w:t>de Control Interno</w:t>
      </w:r>
      <w:r w:rsidR="004F6F31">
        <w:t xml:space="preserve">, </w:t>
      </w:r>
      <w:r w:rsidR="001E502D" w:rsidRPr="0070574C">
        <w:t xml:space="preserve">donde se contemplan eventos que podrían atentar contra la consecución de los objetivos institucionales, incluidas las amenazas a la “Gestión del </w:t>
      </w:r>
      <w:r w:rsidR="001E502D" w:rsidRPr="0070574C">
        <w:lastRenderedPageBreak/>
        <w:t>Servicio a las personas usuarias”, con el evento “Desmejoramiento del servicio proporcionado a las personas usuarias”.</w:t>
      </w:r>
    </w:p>
    <w:p w14:paraId="51E91118" w14:textId="75419AD6" w:rsidR="001E502D" w:rsidRPr="0070574C" w:rsidRDefault="001E502D" w:rsidP="009D09DC">
      <w:pPr>
        <w:spacing w:after="0" w:line="240" w:lineRule="auto"/>
        <w:ind w:left="-5" w:right="94"/>
      </w:pPr>
    </w:p>
    <w:p w14:paraId="08C922B0" w14:textId="27447116" w:rsidR="00E25167" w:rsidRPr="0070574C" w:rsidRDefault="00E25167" w:rsidP="009D09DC">
      <w:pPr>
        <w:spacing w:after="0" w:line="240" w:lineRule="auto"/>
        <w:ind w:left="720" w:right="94" w:firstLine="0"/>
      </w:pPr>
    </w:p>
    <w:p w14:paraId="547C00D1" w14:textId="0B050C98" w:rsidR="00B23A65" w:rsidRPr="00900DA4" w:rsidRDefault="003B32D7" w:rsidP="009D09DC">
      <w:pPr>
        <w:pStyle w:val="Ttulo1"/>
        <w:spacing w:after="0" w:line="240" w:lineRule="auto"/>
        <w:rPr>
          <w:b/>
          <w:bCs/>
          <w:color w:val="002060"/>
          <w:sz w:val="32"/>
          <w:szCs w:val="32"/>
        </w:rPr>
      </w:pPr>
      <w:bookmarkStart w:id="6" w:name="_Toc155778517"/>
      <w:r w:rsidRPr="00900DA4">
        <w:rPr>
          <w:b/>
          <w:bCs/>
          <w:color w:val="002060"/>
          <w:sz w:val="32"/>
          <w:szCs w:val="32"/>
        </w:rPr>
        <w:t>4.</w:t>
      </w:r>
      <w:r w:rsidR="001B2C93" w:rsidRPr="00900DA4">
        <w:rPr>
          <w:b/>
          <w:bCs/>
          <w:color w:val="002060"/>
          <w:sz w:val="32"/>
          <w:szCs w:val="32"/>
        </w:rPr>
        <w:t xml:space="preserve"> </w:t>
      </w:r>
      <w:r w:rsidR="001B2C93" w:rsidRPr="00900DA4">
        <w:rPr>
          <w:b/>
          <w:bCs/>
          <w:color w:val="002060"/>
          <w:sz w:val="32"/>
          <w:szCs w:val="32"/>
        </w:rPr>
        <w:tab/>
        <w:t xml:space="preserve">Documentación de </w:t>
      </w:r>
      <w:r w:rsidRPr="00900DA4">
        <w:rPr>
          <w:b/>
          <w:bCs/>
          <w:color w:val="002060"/>
          <w:sz w:val="32"/>
          <w:szCs w:val="32"/>
        </w:rPr>
        <w:t>r</w:t>
      </w:r>
      <w:r w:rsidR="001B2C93" w:rsidRPr="00900DA4">
        <w:rPr>
          <w:b/>
          <w:bCs/>
          <w:color w:val="002060"/>
          <w:sz w:val="32"/>
          <w:szCs w:val="32"/>
        </w:rPr>
        <w:t>eferencia</w:t>
      </w:r>
      <w:bookmarkEnd w:id="6"/>
      <w:r w:rsidR="001B2C93" w:rsidRPr="00900DA4">
        <w:rPr>
          <w:b/>
          <w:bCs/>
          <w:color w:val="002060"/>
          <w:sz w:val="32"/>
          <w:szCs w:val="32"/>
        </w:rPr>
        <w:t xml:space="preserve"> </w:t>
      </w:r>
    </w:p>
    <w:p w14:paraId="6C59CC0E" w14:textId="77777777" w:rsidR="009869BA" w:rsidRPr="0070574C" w:rsidRDefault="009869BA" w:rsidP="009D09DC">
      <w:pPr>
        <w:spacing w:after="0" w:line="240" w:lineRule="auto"/>
      </w:pPr>
    </w:p>
    <w:p w14:paraId="3438294B" w14:textId="7A19A5EB" w:rsidR="00B23A65" w:rsidRPr="0070574C" w:rsidRDefault="00000000" w:rsidP="00226479">
      <w:pPr>
        <w:numPr>
          <w:ilvl w:val="0"/>
          <w:numId w:val="1"/>
        </w:numPr>
        <w:spacing w:after="0" w:line="240" w:lineRule="auto"/>
        <w:ind w:right="94" w:hanging="294"/>
      </w:pPr>
      <w:r w:rsidRPr="0070574C">
        <w:t>ISO 22301:2012 Business continuity management systems -- Requirements, International Organization for Standardization (ISO)</w:t>
      </w:r>
      <w:r w:rsidR="001B2C93" w:rsidRPr="0070574C">
        <w:t>.</w:t>
      </w:r>
    </w:p>
    <w:p w14:paraId="6994F424" w14:textId="6482A9DC" w:rsidR="00B23A65" w:rsidRPr="0070574C" w:rsidRDefault="00000000" w:rsidP="00226479">
      <w:pPr>
        <w:numPr>
          <w:ilvl w:val="0"/>
          <w:numId w:val="1"/>
        </w:numPr>
        <w:spacing w:after="0" w:line="240" w:lineRule="auto"/>
        <w:ind w:right="94" w:hanging="294"/>
      </w:pPr>
      <w:r w:rsidRPr="0070574C">
        <w:t>ISO 31000:2011 Gestión del riesgo. Principios y directrices</w:t>
      </w:r>
      <w:r w:rsidR="001B2C93" w:rsidRPr="0070574C">
        <w:t>.</w:t>
      </w:r>
      <w:r w:rsidRPr="0070574C">
        <w:t xml:space="preserve"> </w:t>
      </w:r>
    </w:p>
    <w:p w14:paraId="03BB3BEF" w14:textId="15317222" w:rsidR="0050253F" w:rsidRPr="0070574C" w:rsidRDefault="0050253F" w:rsidP="00226479">
      <w:pPr>
        <w:numPr>
          <w:ilvl w:val="0"/>
          <w:numId w:val="1"/>
        </w:numPr>
        <w:spacing w:after="0" w:line="240" w:lineRule="auto"/>
        <w:ind w:right="94" w:hanging="294"/>
      </w:pPr>
      <w:r w:rsidRPr="0070574C">
        <w:t>Norma INTE G130:2022/Cor 1:2023 “Sistemas de Gestión de Continuidad de Servicios para organizaciones públicas y sin fines de lucro- Requisitos y orientación para su uso”</w:t>
      </w:r>
      <w:r w:rsidR="0040338C" w:rsidRPr="0070574C">
        <w:t>.</w:t>
      </w:r>
    </w:p>
    <w:p w14:paraId="046D7DEF" w14:textId="77777777" w:rsidR="00826225" w:rsidRPr="0070574C" w:rsidRDefault="00826225" w:rsidP="00226479">
      <w:pPr>
        <w:numPr>
          <w:ilvl w:val="0"/>
          <w:numId w:val="1"/>
        </w:numPr>
        <w:spacing w:after="0" w:line="240" w:lineRule="auto"/>
        <w:ind w:right="94" w:hanging="294"/>
      </w:pPr>
      <w:r w:rsidRPr="0070574C">
        <w:t xml:space="preserve">International Glossary of Resiliency, DRI International. </w:t>
      </w:r>
    </w:p>
    <w:p w14:paraId="7E73C941" w14:textId="31C30515" w:rsidR="00826225" w:rsidRPr="0070574C" w:rsidRDefault="00826225" w:rsidP="00226479">
      <w:pPr>
        <w:numPr>
          <w:ilvl w:val="0"/>
          <w:numId w:val="1"/>
        </w:numPr>
        <w:spacing w:after="0" w:line="240" w:lineRule="auto"/>
        <w:ind w:right="94" w:hanging="294"/>
      </w:pPr>
      <w:r w:rsidRPr="0070574C">
        <w:t>Informe de Análisis de Riesgos de Continuidad del Servicio del Poder Judicial, aprobado por el Consejo Superior en la sesión 72-2020 celebrada el 16 de julio de 2020, artículo XIII.</w:t>
      </w:r>
    </w:p>
    <w:p w14:paraId="7D8ECA86" w14:textId="49089C0C" w:rsidR="00B3353B" w:rsidRPr="0070574C" w:rsidRDefault="00000000" w:rsidP="00226479">
      <w:pPr>
        <w:numPr>
          <w:ilvl w:val="0"/>
          <w:numId w:val="1"/>
        </w:numPr>
        <w:spacing w:after="0" w:line="240" w:lineRule="auto"/>
        <w:ind w:right="94" w:hanging="294"/>
      </w:pPr>
      <w:r w:rsidRPr="0070574C">
        <w:t>Política de Gestión de la Continuidad del Servicio, Poder Judicial</w:t>
      </w:r>
      <w:r w:rsidR="001B2C93" w:rsidRPr="0070574C">
        <w:t>.</w:t>
      </w:r>
      <w:r w:rsidRPr="0070574C">
        <w:t xml:space="preserve"> </w:t>
      </w:r>
      <w:r w:rsidR="00E81BCE" w:rsidRPr="0070574C">
        <w:t xml:space="preserve">Versión </w:t>
      </w:r>
      <w:r w:rsidR="00B3353B" w:rsidRPr="0070574C">
        <w:t>aprobada por la Corte Plena en Sesión No. 37-14 de 4 de agosto del 2014, artículo XII.</w:t>
      </w:r>
    </w:p>
    <w:p w14:paraId="62C63922" w14:textId="47F2A317" w:rsidR="00B23A65" w:rsidRDefault="00826225" w:rsidP="00226479">
      <w:pPr>
        <w:pStyle w:val="Prrafodelista"/>
        <w:numPr>
          <w:ilvl w:val="0"/>
          <w:numId w:val="1"/>
        </w:numPr>
        <w:spacing w:after="0" w:line="240" w:lineRule="auto"/>
        <w:ind w:left="709" w:right="94" w:hanging="294"/>
      </w:pPr>
      <w:r w:rsidRPr="0070574C">
        <w:t>Instructivo para la elaboración del Sistema Específico de Valoración de Riesgo Institucional (SEVRI)</w:t>
      </w:r>
      <w:r w:rsidR="00B3353B" w:rsidRPr="0070574C">
        <w:t xml:space="preserve">. </w:t>
      </w:r>
      <w:r w:rsidRPr="0070574C">
        <w:t>Oficina de Control Interno del Poder Judicial</w:t>
      </w:r>
      <w:r w:rsidR="00B3353B" w:rsidRPr="0070574C">
        <w:t>, versión de mato 2022</w:t>
      </w:r>
      <w:r w:rsidRPr="0070574C">
        <w:t xml:space="preserve">. </w:t>
      </w:r>
    </w:p>
    <w:p w14:paraId="426774AD" w14:textId="56E49420" w:rsidR="00B14504" w:rsidRPr="0070574C" w:rsidRDefault="00B14504" w:rsidP="00226479">
      <w:pPr>
        <w:pStyle w:val="Prrafodelista"/>
        <w:numPr>
          <w:ilvl w:val="0"/>
          <w:numId w:val="1"/>
        </w:numPr>
        <w:spacing w:after="0" w:line="240" w:lineRule="auto"/>
        <w:ind w:left="709" w:right="94" w:hanging="294"/>
      </w:pPr>
      <w:r w:rsidRPr="00B14504">
        <w:t xml:space="preserve">Marco Metodológico </w:t>
      </w:r>
      <w:r>
        <w:t>d</w:t>
      </w:r>
      <w:r w:rsidRPr="00B14504">
        <w:t xml:space="preserve">el Análisis </w:t>
      </w:r>
      <w:r>
        <w:t>d</w:t>
      </w:r>
      <w:r w:rsidRPr="00B14504">
        <w:t xml:space="preserve">e Riesgos </w:t>
      </w:r>
      <w:r>
        <w:t>d</w:t>
      </w:r>
      <w:r w:rsidRPr="00B14504">
        <w:t xml:space="preserve">e Continuidad </w:t>
      </w:r>
      <w:r>
        <w:t>d</w:t>
      </w:r>
      <w:r w:rsidRPr="00B14504">
        <w:t>el Servicio</w:t>
      </w:r>
      <w:r>
        <w:t>. Subproceso de Gestión de Continuidad del Servicio, versión 2023.</w:t>
      </w:r>
    </w:p>
    <w:p w14:paraId="3DEBBAB3" w14:textId="55B44917" w:rsidR="009869BA" w:rsidRDefault="009869BA" w:rsidP="009D09DC">
      <w:pPr>
        <w:spacing w:after="0" w:line="240" w:lineRule="auto"/>
        <w:ind w:left="720" w:right="94" w:firstLine="0"/>
      </w:pPr>
    </w:p>
    <w:p w14:paraId="0064ED4C" w14:textId="77777777" w:rsidR="004C379C" w:rsidRPr="0070574C" w:rsidRDefault="004C379C" w:rsidP="009D09DC">
      <w:pPr>
        <w:spacing w:after="0" w:line="240" w:lineRule="auto"/>
        <w:ind w:left="720" w:right="94" w:firstLine="0"/>
      </w:pPr>
    </w:p>
    <w:p w14:paraId="698ACBD4" w14:textId="5C3F1F2E" w:rsidR="00B23A65" w:rsidRPr="00900DA4" w:rsidRDefault="003B32D7" w:rsidP="009D09DC">
      <w:pPr>
        <w:pStyle w:val="Ttulo1"/>
        <w:spacing w:after="0" w:line="240" w:lineRule="auto"/>
        <w:rPr>
          <w:b/>
          <w:bCs/>
          <w:color w:val="002060"/>
          <w:sz w:val="32"/>
          <w:szCs w:val="32"/>
        </w:rPr>
      </w:pPr>
      <w:bookmarkStart w:id="7" w:name="_Toc155778518"/>
      <w:r w:rsidRPr="00900DA4">
        <w:rPr>
          <w:b/>
          <w:bCs/>
          <w:color w:val="002060"/>
          <w:sz w:val="32"/>
          <w:szCs w:val="32"/>
        </w:rPr>
        <w:t>5.</w:t>
      </w:r>
      <w:r w:rsidR="001B2C93" w:rsidRPr="00900DA4">
        <w:rPr>
          <w:b/>
          <w:bCs/>
          <w:color w:val="002060"/>
          <w:sz w:val="32"/>
          <w:szCs w:val="32"/>
        </w:rPr>
        <w:t xml:space="preserve"> </w:t>
      </w:r>
      <w:r w:rsidR="001B2C93" w:rsidRPr="00900DA4">
        <w:rPr>
          <w:b/>
          <w:bCs/>
          <w:color w:val="002060"/>
          <w:sz w:val="32"/>
          <w:szCs w:val="32"/>
        </w:rPr>
        <w:tab/>
        <w:t>Definiciones</w:t>
      </w:r>
      <w:bookmarkEnd w:id="7"/>
      <w:r w:rsidR="001B2C93" w:rsidRPr="00900DA4">
        <w:rPr>
          <w:b/>
          <w:bCs/>
          <w:color w:val="002060"/>
          <w:sz w:val="32"/>
          <w:szCs w:val="32"/>
        </w:rPr>
        <w:t xml:space="preserve"> </w:t>
      </w:r>
    </w:p>
    <w:p w14:paraId="4A89252C" w14:textId="77777777" w:rsidR="009869BA" w:rsidRPr="0070574C" w:rsidRDefault="009869BA" w:rsidP="009D09DC">
      <w:pPr>
        <w:spacing w:after="0" w:line="240" w:lineRule="auto"/>
      </w:pPr>
    </w:p>
    <w:tbl>
      <w:tblPr>
        <w:tblStyle w:val="TableGrid"/>
        <w:tblW w:w="9214" w:type="dxa"/>
        <w:tblInd w:w="137" w:type="dxa"/>
        <w:tblCellMar>
          <w:top w:w="112" w:type="dxa"/>
          <w:left w:w="100" w:type="dxa"/>
          <w:right w:w="39" w:type="dxa"/>
        </w:tblCellMar>
        <w:tblLook w:val="04A0" w:firstRow="1" w:lastRow="0" w:firstColumn="1" w:lastColumn="0" w:noHBand="0" w:noVBand="1"/>
      </w:tblPr>
      <w:tblGrid>
        <w:gridCol w:w="2288"/>
        <w:gridCol w:w="6926"/>
      </w:tblGrid>
      <w:tr w:rsidR="00B23A65" w:rsidRPr="00CA04EC" w14:paraId="1EA8FAB6" w14:textId="77777777" w:rsidTr="009D09DC">
        <w:trPr>
          <w:trHeight w:val="555"/>
          <w:tblHeader/>
        </w:trPr>
        <w:tc>
          <w:tcPr>
            <w:tcW w:w="2288" w:type="dxa"/>
            <w:tcBorders>
              <w:top w:val="single" w:sz="4" w:space="0" w:color="4472C4"/>
              <w:left w:val="single" w:sz="4" w:space="0" w:color="4472C4"/>
              <w:bottom w:val="single" w:sz="41" w:space="0" w:color="4472C4"/>
              <w:right w:val="nil"/>
            </w:tcBorders>
            <w:shd w:val="clear" w:color="auto" w:fill="4472C4"/>
            <w:vAlign w:val="center"/>
          </w:tcPr>
          <w:p w14:paraId="0CBA753C" w14:textId="28DF183B" w:rsidR="00B23A65" w:rsidRPr="00CA04EC" w:rsidRDefault="00000000" w:rsidP="009D09DC">
            <w:pPr>
              <w:spacing w:after="0" w:line="240" w:lineRule="auto"/>
              <w:ind w:left="0" w:right="0" w:firstLine="0"/>
              <w:jc w:val="center"/>
              <w:rPr>
                <w:b/>
                <w:bCs/>
                <w:sz w:val="20"/>
                <w:szCs w:val="20"/>
              </w:rPr>
            </w:pPr>
            <w:r w:rsidRPr="00CA04EC">
              <w:rPr>
                <w:b/>
                <w:bCs/>
                <w:color w:val="FFFFFF"/>
                <w:sz w:val="20"/>
                <w:szCs w:val="20"/>
              </w:rPr>
              <w:t>Palabra/Término</w:t>
            </w:r>
          </w:p>
        </w:tc>
        <w:tc>
          <w:tcPr>
            <w:tcW w:w="6926" w:type="dxa"/>
            <w:tcBorders>
              <w:top w:val="single" w:sz="4" w:space="0" w:color="4472C4"/>
              <w:left w:val="nil"/>
              <w:bottom w:val="single" w:sz="41" w:space="0" w:color="4472C4"/>
              <w:right w:val="single" w:sz="4" w:space="0" w:color="4472C4"/>
            </w:tcBorders>
            <w:shd w:val="clear" w:color="auto" w:fill="4472C4"/>
            <w:vAlign w:val="center"/>
          </w:tcPr>
          <w:p w14:paraId="683043E1" w14:textId="11B14862" w:rsidR="00B23A65" w:rsidRPr="00CA04EC" w:rsidRDefault="00000000" w:rsidP="009D09DC">
            <w:pPr>
              <w:spacing w:after="0" w:line="240" w:lineRule="auto"/>
              <w:ind w:left="4" w:right="0" w:firstLine="0"/>
              <w:jc w:val="center"/>
              <w:rPr>
                <w:b/>
                <w:bCs/>
                <w:sz w:val="20"/>
                <w:szCs w:val="20"/>
              </w:rPr>
            </w:pPr>
            <w:r w:rsidRPr="00CA04EC">
              <w:rPr>
                <w:b/>
                <w:bCs/>
                <w:color w:val="FFFFFF"/>
                <w:sz w:val="20"/>
                <w:szCs w:val="20"/>
              </w:rPr>
              <w:t>Definición</w:t>
            </w:r>
          </w:p>
        </w:tc>
      </w:tr>
      <w:tr w:rsidR="00B23A65" w:rsidRPr="00CA04EC" w14:paraId="63CB3561" w14:textId="77777777" w:rsidTr="009D09DC">
        <w:trPr>
          <w:trHeight w:val="1027"/>
        </w:trPr>
        <w:tc>
          <w:tcPr>
            <w:tcW w:w="2288" w:type="dxa"/>
            <w:tcBorders>
              <w:top w:val="single" w:sz="41" w:space="0" w:color="4472C4"/>
              <w:left w:val="single" w:sz="4" w:space="0" w:color="8EAADB"/>
              <w:bottom w:val="single" w:sz="4" w:space="0" w:color="8EAADB"/>
              <w:right w:val="single" w:sz="4" w:space="0" w:color="8EAADB"/>
            </w:tcBorders>
            <w:shd w:val="clear" w:color="auto" w:fill="D9E2F3"/>
          </w:tcPr>
          <w:p w14:paraId="53A6E824" w14:textId="77777777" w:rsidR="00B23A65" w:rsidRPr="00CA04EC" w:rsidRDefault="00000000" w:rsidP="009D09DC">
            <w:pPr>
              <w:spacing w:after="0" w:line="240" w:lineRule="auto"/>
              <w:ind w:left="0" w:right="0" w:firstLine="0"/>
              <w:jc w:val="left"/>
              <w:rPr>
                <w:color w:val="auto"/>
                <w:sz w:val="20"/>
                <w:szCs w:val="20"/>
              </w:rPr>
            </w:pPr>
            <w:r w:rsidRPr="00CA04EC">
              <w:rPr>
                <w:color w:val="auto"/>
                <w:sz w:val="20"/>
                <w:szCs w:val="20"/>
              </w:rPr>
              <w:t xml:space="preserve">Amenaza </w:t>
            </w:r>
          </w:p>
        </w:tc>
        <w:tc>
          <w:tcPr>
            <w:tcW w:w="6926" w:type="dxa"/>
            <w:tcBorders>
              <w:top w:val="single" w:sz="41" w:space="0" w:color="4472C4"/>
              <w:left w:val="single" w:sz="4" w:space="0" w:color="8EAADB"/>
              <w:bottom w:val="single" w:sz="4" w:space="0" w:color="8EAADB"/>
              <w:right w:val="single" w:sz="4" w:space="0" w:color="8EAADB"/>
            </w:tcBorders>
            <w:shd w:val="clear" w:color="auto" w:fill="D9E2F3"/>
            <w:vAlign w:val="center"/>
          </w:tcPr>
          <w:p w14:paraId="4524869E" w14:textId="77777777" w:rsidR="00B23A65" w:rsidRPr="00CA04EC" w:rsidRDefault="00000000" w:rsidP="009D09DC">
            <w:pPr>
              <w:spacing w:after="0" w:line="240" w:lineRule="auto"/>
              <w:ind w:left="4" w:right="59" w:firstLine="0"/>
              <w:rPr>
                <w:color w:val="auto"/>
                <w:sz w:val="20"/>
                <w:szCs w:val="20"/>
              </w:rPr>
            </w:pPr>
            <w:r w:rsidRPr="00CA04EC">
              <w:rPr>
                <w:color w:val="auto"/>
                <w:sz w:val="20"/>
                <w:szCs w:val="20"/>
              </w:rPr>
              <w:t xml:space="preserve">Situación o condición natural u ocasionada por el hombre que puede causar una interrupción de las operaciones o servicios de una organización. </w:t>
            </w:r>
          </w:p>
          <w:p w14:paraId="1E5952D3" w14:textId="53926F12" w:rsidR="00B23A65" w:rsidRPr="00CA04EC" w:rsidRDefault="00000000"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B23A65" w:rsidRPr="00CA04EC" w14:paraId="09C72495" w14:textId="77777777" w:rsidTr="009D09DC">
        <w:trPr>
          <w:trHeight w:val="601"/>
        </w:trPr>
        <w:tc>
          <w:tcPr>
            <w:tcW w:w="2288" w:type="dxa"/>
            <w:tcBorders>
              <w:top w:val="single" w:sz="4" w:space="0" w:color="8EAADB"/>
              <w:left w:val="single" w:sz="4" w:space="0" w:color="8EAADB"/>
              <w:bottom w:val="single" w:sz="4" w:space="0" w:color="8EAADB"/>
              <w:right w:val="single" w:sz="4" w:space="0" w:color="8EAADB"/>
            </w:tcBorders>
          </w:tcPr>
          <w:p w14:paraId="05CBA415" w14:textId="2A4B0122" w:rsidR="00B23A65" w:rsidRPr="00CA04EC" w:rsidRDefault="00000000" w:rsidP="009D09DC">
            <w:pPr>
              <w:spacing w:after="0" w:line="240" w:lineRule="auto"/>
              <w:ind w:left="0" w:right="0" w:firstLine="0"/>
              <w:jc w:val="left"/>
              <w:rPr>
                <w:color w:val="auto"/>
                <w:sz w:val="20"/>
                <w:szCs w:val="20"/>
              </w:rPr>
            </w:pPr>
            <w:r w:rsidRPr="00CA04EC">
              <w:rPr>
                <w:color w:val="auto"/>
                <w:sz w:val="20"/>
                <w:szCs w:val="20"/>
              </w:rPr>
              <w:t xml:space="preserve">Amenazas ocasionadas por el </w:t>
            </w:r>
            <w:r w:rsidR="0085733A" w:rsidRPr="00CA04EC">
              <w:rPr>
                <w:color w:val="auto"/>
                <w:sz w:val="20"/>
                <w:szCs w:val="20"/>
              </w:rPr>
              <w:t>ser humano</w:t>
            </w:r>
          </w:p>
        </w:tc>
        <w:tc>
          <w:tcPr>
            <w:tcW w:w="6926" w:type="dxa"/>
            <w:tcBorders>
              <w:top w:val="single" w:sz="4" w:space="0" w:color="8EAADB"/>
              <w:left w:val="single" w:sz="4" w:space="0" w:color="8EAADB"/>
              <w:bottom w:val="single" w:sz="4" w:space="0" w:color="8EAADB"/>
              <w:right w:val="single" w:sz="4" w:space="0" w:color="8EAADB"/>
            </w:tcBorders>
            <w:vAlign w:val="center"/>
          </w:tcPr>
          <w:p w14:paraId="4F9FFE4B" w14:textId="2D72E5C1" w:rsidR="00312137" w:rsidRPr="00CA04EC" w:rsidRDefault="00000000" w:rsidP="009D09DC">
            <w:pPr>
              <w:spacing w:after="0" w:line="240" w:lineRule="auto"/>
              <w:ind w:left="4" w:right="0" w:firstLine="0"/>
              <w:rPr>
                <w:color w:val="auto"/>
                <w:sz w:val="20"/>
                <w:szCs w:val="20"/>
              </w:rPr>
            </w:pPr>
            <w:r w:rsidRPr="00CA04EC">
              <w:rPr>
                <w:color w:val="auto"/>
                <w:sz w:val="20"/>
                <w:szCs w:val="20"/>
              </w:rPr>
              <w:t xml:space="preserve">Causas de una posible interrupción en las operaciones como resultado de acciones realizadas por el </w:t>
            </w:r>
            <w:r w:rsidR="0085733A" w:rsidRPr="00CA04EC">
              <w:rPr>
                <w:color w:val="auto"/>
                <w:sz w:val="20"/>
                <w:szCs w:val="20"/>
              </w:rPr>
              <w:t>ser humano</w:t>
            </w:r>
            <w:r w:rsidRPr="00CA04EC">
              <w:rPr>
                <w:color w:val="auto"/>
                <w:sz w:val="20"/>
                <w:szCs w:val="20"/>
              </w:rPr>
              <w:t xml:space="preserve"> identificadas en la evaluación de riesgos, por ejemplo, </w:t>
            </w:r>
            <w:r w:rsidR="0085733A" w:rsidRPr="00CA04EC">
              <w:rPr>
                <w:color w:val="auto"/>
                <w:sz w:val="20"/>
                <w:szCs w:val="20"/>
              </w:rPr>
              <w:t>personal</w:t>
            </w:r>
            <w:r w:rsidRPr="00CA04EC">
              <w:rPr>
                <w:color w:val="auto"/>
                <w:sz w:val="20"/>
                <w:szCs w:val="20"/>
              </w:rPr>
              <w:t xml:space="preserve"> inconforme, terrorismo, </w:t>
            </w:r>
            <w:r w:rsidR="00312137" w:rsidRPr="00CA04EC">
              <w:rPr>
                <w:color w:val="auto"/>
                <w:sz w:val="20"/>
                <w:szCs w:val="20"/>
              </w:rPr>
              <w:t xml:space="preserve">chantaje, protestas laborales, huelgas, disturbios sociales, etc. </w:t>
            </w:r>
          </w:p>
          <w:p w14:paraId="706264EF" w14:textId="07C60AA1" w:rsidR="00B23A65" w:rsidRPr="00CA04EC" w:rsidRDefault="00312137" w:rsidP="009D09DC">
            <w:pPr>
              <w:spacing w:after="0" w:line="240" w:lineRule="auto"/>
              <w:ind w:left="4" w:right="0" w:firstLine="0"/>
              <w:rPr>
                <w:color w:val="auto"/>
                <w:sz w:val="20"/>
                <w:szCs w:val="20"/>
              </w:rPr>
            </w:pPr>
            <w:r w:rsidRPr="00CA04EC">
              <w:rPr>
                <w:color w:val="auto"/>
                <w:sz w:val="20"/>
                <w:szCs w:val="20"/>
              </w:rPr>
              <w:t>Tomado de International Glossary of Resiliency (Glosario en español), DRI International.</w:t>
            </w:r>
          </w:p>
        </w:tc>
      </w:tr>
      <w:tr w:rsidR="00312137" w:rsidRPr="00CA04EC" w14:paraId="344318CB"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54B7986B" w14:textId="7E1496CC"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Análisis de Impacto al Negocio</w:t>
            </w:r>
            <w:r w:rsidR="0085733A" w:rsidRPr="00CA04EC">
              <w:rPr>
                <w:color w:val="auto"/>
                <w:sz w:val="20"/>
                <w:szCs w:val="20"/>
              </w:rPr>
              <w:t xml:space="preserve"> o Servicio</w:t>
            </w:r>
            <w:r w:rsidRPr="00CA04EC">
              <w:rPr>
                <w:color w:val="auto"/>
                <w:sz w:val="20"/>
                <w:szCs w:val="20"/>
              </w:rPr>
              <w:t xml:space="preserve"> (BIA</w:t>
            </w:r>
            <w:r w:rsidR="0085733A" w:rsidRPr="00CA04EC">
              <w:rPr>
                <w:color w:val="auto"/>
                <w:sz w:val="20"/>
                <w:szCs w:val="20"/>
              </w:rPr>
              <w:t xml:space="preserve"> o SIA</w:t>
            </w:r>
            <w:r w:rsidRPr="00CA04EC">
              <w:rPr>
                <w:color w:val="auto"/>
                <w:sz w:val="20"/>
                <w:szCs w:val="20"/>
              </w:rPr>
              <w:t xml:space="preserve">, por sus siglas en inglés) </w:t>
            </w:r>
          </w:p>
        </w:tc>
        <w:tc>
          <w:tcPr>
            <w:tcW w:w="6926" w:type="dxa"/>
            <w:tcBorders>
              <w:top w:val="single" w:sz="4" w:space="0" w:color="8EAADB"/>
              <w:left w:val="single" w:sz="4" w:space="0" w:color="8EAADB"/>
              <w:bottom w:val="single" w:sz="4" w:space="0" w:color="8EAADB"/>
              <w:right w:val="single" w:sz="4" w:space="0" w:color="8EAADB"/>
            </w:tcBorders>
            <w:vAlign w:val="center"/>
          </w:tcPr>
          <w:p w14:paraId="225F1205" w14:textId="6BC0FCF0" w:rsidR="00312137" w:rsidRPr="00CA04EC" w:rsidRDefault="00312137" w:rsidP="009D09DC">
            <w:pPr>
              <w:spacing w:after="0" w:line="240" w:lineRule="auto"/>
              <w:ind w:left="4" w:right="59" w:firstLine="0"/>
              <w:rPr>
                <w:color w:val="auto"/>
                <w:sz w:val="20"/>
                <w:szCs w:val="20"/>
              </w:rPr>
            </w:pPr>
            <w:r w:rsidRPr="00CA04EC">
              <w:rPr>
                <w:color w:val="auto"/>
                <w:sz w:val="20"/>
                <w:szCs w:val="20"/>
              </w:rPr>
              <w:t>Proceso de evaluación de las operaciones y del efecto que una interrupción tendría en ellas. Incluye no sólo el análisis de impacto al negocio</w:t>
            </w:r>
            <w:r w:rsidR="0085733A" w:rsidRPr="00CA04EC">
              <w:rPr>
                <w:color w:val="auto"/>
                <w:sz w:val="20"/>
                <w:szCs w:val="20"/>
              </w:rPr>
              <w:t xml:space="preserve"> o servicio</w:t>
            </w:r>
            <w:r w:rsidRPr="00CA04EC">
              <w:rPr>
                <w:color w:val="auto"/>
                <w:sz w:val="20"/>
                <w:szCs w:val="20"/>
              </w:rPr>
              <w:t xml:space="preserve">, que es la identificación de los activos, funciones, procesos y recursos críticos, sino también la evaluación de los posibles daños o pérdidas que pudieran afectar a la organización como resultado de una interrupción o un cambio en el negocio. Tomado de International Glossary of Resiliency (Glosario en español), DRI International. </w:t>
            </w:r>
          </w:p>
        </w:tc>
      </w:tr>
      <w:tr w:rsidR="00312137" w:rsidRPr="00CA04EC" w14:paraId="1208456C" w14:textId="77777777" w:rsidTr="009D09DC">
        <w:trPr>
          <w:trHeight w:val="1000"/>
        </w:trPr>
        <w:tc>
          <w:tcPr>
            <w:tcW w:w="2288" w:type="dxa"/>
            <w:tcBorders>
              <w:top w:val="single" w:sz="4" w:space="0" w:color="8EAADB"/>
              <w:left w:val="single" w:sz="4" w:space="0" w:color="8EAADB"/>
              <w:bottom w:val="single" w:sz="4" w:space="0" w:color="8EAADB"/>
              <w:right w:val="single" w:sz="4" w:space="0" w:color="8EAADB"/>
            </w:tcBorders>
          </w:tcPr>
          <w:p w14:paraId="4A2FF70D" w14:textId="05FBF5CE"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lastRenderedPageBreak/>
              <w:t xml:space="preserve">Análisis de riesgos </w:t>
            </w:r>
          </w:p>
        </w:tc>
        <w:tc>
          <w:tcPr>
            <w:tcW w:w="6926" w:type="dxa"/>
            <w:tcBorders>
              <w:top w:val="single" w:sz="4" w:space="0" w:color="8EAADB"/>
              <w:left w:val="single" w:sz="4" w:space="0" w:color="8EAADB"/>
              <w:bottom w:val="single" w:sz="4" w:space="0" w:color="8EAADB"/>
              <w:right w:val="single" w:sz="4" w:space="0" w:color="8EAADB"/>
            </w:tcBorders>
            <w:vAlign w:val="center"/>
          </w:tcPr>
          <w:p w14:paraId="2E11A2C0" w14:textId="77777777" w:rsidR="00312137" w:rsidRPr="00CA04EC" w:rsidRDefault="00312137" w:rsidP="0085733A">
            <w:pPr>
              <w:spacing w:after="0" w:line="240" w:lineRule="auto"/>
              <w:ind w:left="4" w:right="60" w:firstLine="0"/>
              <w:rPr>
                <w:color w:val="auto"/>
                <w:sz w:val="20"/>
                <w:szCs w:val="20"/>
              </w:rPr>
            </w:pPr>
            <w:r w:rsidRPr="00CA04EC">
              <w:rPr>
                <w:color w:val="auto"/>
                <w:sz w:val="20"/>
                <w:szCs w:val="20"/>
              </w:rPr>
              <w:t xml:space="preserve">Proceso de cuantificación de las amenazas a una organización y la probabilidad de que se materialicen. </w:t>
            </w:r>
          </w:p>
          <w:p w14:paraId="2D257BB9" w14:textId="567B0398" w:rsidR="00312137" w:rsidRPr="00CA04EC" w:rsidRDefault="00312137" w:rsidP="0085733A">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w:t>
            </w:r>
            <w:r w:rsidR="0085733A" w:rsidRPr="00CA04EC">
              <w:rPr>
                <w:color w:val="auto"/>
                <w:sz w:val="20"/>
                <w:szCs w:val="20"/>
              </w:rPr>
              <w:t>e</w:t>
            </w:r>
            <w:r w:rsidRPr="00CA04EC">
              <w:rPr>
                <w:color w:val="auto"/>
                <w:sz w:val="20"/>
                <w:szCs w:val="20"/>
              </w:rPr>
              <w:t xml:space="preserve">spañol), DRI International. </w:t>
            </w:r>
          </w:p>
        </w:tc>
      </w:tr>
      <w:tr w:rsidR="00312137" w:rsidRPr="00CA04EC" w14:paraId="454770AC"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26765879" w14:textId="775D1C08"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Apetito de riesgo </w:t>
            </w:r>
          </w:p>
        </w:tc>
        <w:tc>
          <w:tcPr>
            <w:tcW w:w="6926" w:type="dxa"/>
            <w:tcBorders>
              <w:top w:val="single" w:sz="4" w:space="0" w:color="8EAADB"/>
              <w:left w:val="single" w:sz="4" w:space="0" w:color="8EAADB"/>
              <w:bottom w:val="single" w:sz="4" w:space="0" w:color="8EAADB"/>
              <w:right w:val="single" w:sz="4" w:space="0" w:color="8EAADB"/>
            </w:tcBorders>
            <w:vAlign w:val="center"/>
          </w:tcPr>
          <w:p w14:paraId="4A094B54" w14:textId="567FACC1" w:rsidR="00312137" w:rsidRPr="00CA04EC" w:rsidRDefault="00312137" w:rsidP="0085733A">
            <w:pPr>
              <w:spacing w:after="0" w:line="240" w:lineRule="auto"/>
              <w:ind w:left="4" w:right="56" w:firstLine="0"/>
              <w:rPr>
                <w:color w:val="auto"/>
                <w:sz w:val="20"/>
                <w:szCs w:val="20"/>
              </w:rPr>
            </w:pPr>
            <w:r w:rsidRPr="00CA04EC">
              <w:rPr>
                <w:color w:val="auto"/>
                <w:sz w:val="20"/>
                <w:szCs w:val="20"/>
              </w:rPr>
              <w:t xml:space="preserve">El apetito es el nivel de riesgo que la </w:t>
            </w:r>
            <w:r w:rsidR="0085733A" w:rsidRPr="00CA04EC">
              <w:rPr>
                <w:color w:val="auto"/>
                <w:sz w:val="20"/>
                <w:szCs w:val="20"/>
              </w:rPr>
              <w:t>organización</w:t>
            </w:r>
            <w:r w:rsidRPr="00CA04EC">
              <w:rPr>
                <w:color w:val="auto"/>
                <w:sz w:val="20"/>
                <w:szCs w:val="20"/>
              </w:rPr>
              <w:t xml:space="preserve"> está dispuesta a aceptar, tolerar o estar expuesta en cualquier punto en el tiempo. Su tolerancia será la desviación respecto a ese nivel de riesgo. La capacidad será el nivel máximo de riesgo que una organización puede soportar en la consecución de sus objetivos. </w:t>
            </w:r>
          </w:p>
          <w:p w14:paraId="252CDDD8" w14:textId="489C7DDE" w:rsidR="00312137" w:rsidRPr="00CA04EC" w:rsidRDefault="00312137" w:rsidP="0085733A">
            <w:pPr>
              <w:spacing w:after="0" w:line="240" w:lineRule="auto"/>
              <w:ind w:left="4" w:right="0" w:firstLine="0"/>
              <w:rPr>
                <w:color w:val="auto"/>
                <w:sz w:val="20"/>
                <w:szCs w:val="20"/>
                <w:highlight w:val="green"/>
              </w:rPr>
            </w:pPr>
            <w:r w:rsidRPr="00CA04EC">
              <w:rPr>
                <w:color w:val="auto"/>
                <w:sz w:val="20"/>
                <w:szCs w:val="20"/>
              </w:rPr>
              <w:t xml:space="preserve">Tomado de International Glossary of Resiliency (Glosario en español), DRI International. </w:t>
            </w:r>
          </w:p>
        </w:tc>
      </w:tr>
      <w:tr w:rsidR="00312137" w:rsidRPr="00CA04EC" w14:paraId="65D342CA"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5993B6D9" w14:textId="290DE3B9"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Continuidad del </w:t>
            </w:r>
            <w:r w:rsidR="0040338C" w:rsidRPr="00CA04EC">
              <w:rPr>
                <w:color w:val="auto"/>
                <w:sz w:val="20"/>
                <w:szCs w:val="20"/>
              </w:rPr>
              <w:t>servicio</w:t>
            </w:r>
          </w:p>
        </w:tc>
        <w:tc>
          <w:tcPr>
            <w:tcW w:w="6926" w:type="dxa"/>
            <w:tcBorders>
              <w:top w:val="single" w:sz="4" w:space="0" w:color="8EAADB"/>
              <w:left w:val="single" w:sz="4" w:space="0" w:color="8EAADB"/>
              <w:bottom w:val="single" w:sz="4" w:space="0" w:color="8EAADB"/>
              <w:right w:val="single" w:sz="4" w:space="0" w:color="8EAADB"/>
            </w:tcBorders>
            <w:vAlign w:val="center"/>
          </w:tcPr>
          <w:p w14:paraId="162D6F59" w14:textId="7B134159"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Capacidad de una organización para continuar con la entrega de sus productos </w:t>
            </w:r>
            <w:r w:rsidR="0040338C" w:rsidRPr="00CA04EC">
              <w:rPr>
                <w:color w:val="auto"/>
                <w:sz w:val="20"/>
                <w:szCs w:val="20"/>
              </w:rPr>
              <w:t>y</w:t>
            </w:r>
            <w:r w:rsidRPr="00CA04EC">
              <w:rPr>
                <w:color w:val="auto"/>
                <w:sz w:val="20"/>
                <w:szCs w:val="20"/>
              </w:rPr>
              <w:t xml:space="preserve"> servicios </w:t>
            </w:r>
            <w:r w:rsidR="0040338C" w:rsidRPr="00CA04EC">
              <w:rPr>
                <w:color w:val="auto"/>
                <w:sz w:val="20"/>
                <w:szCs w:val="20"/>
              </w:rPr>
              <w:t>dentro de plazos aceptables a una capacidad predefinida durante un evento disruptivo</w:t>
            </w:r>
            <w:r w:rsidR="0085733A" w:rsidRPr="00CA04EC">
              <w:rPr>
                <w:color w:val="auto"/>
                <w:sz w:val="20"/>
                <w:szCs w:val="20"/>
              </w:rPr>
              <w:t>.</w:t>
            </w:r>
          </w:p>
          <w:p w14:paraId="12DA9001" w14:textId="180E4501" w:rsidR="00312137" w:rsidRPr="00CA04EC" w:rsidRDefault="00312137" w:rsidP="009D09DC">
            <w:pPr>
              <w:spacing w:after="0" w:line="240" w:lineRule="auto"/>
              <w:ind w:left="4" w:right="0" w:firstLine="0"/>
              <w:rPr>
                <w:color w:val="auto"/>
                <w:sz w:val="20"/>
                <w:szCs w:val="20"/>
                <w:highlight w:val="green"/>
              </w:rPr>
            </w:pPr>
            <w:r w:rsidRPr="00CA04EC">
              <w:rPr>
                <w:color w:val="auto"/>
                <w:sz w:val="20"/>
                <w:szCs w:val="20"/>
              </w:rPr>
              <w:t xml:space="preserve">Tomado de </w:t>
            </w:r>
            <w:r w:rsidR="0040338C" w:rsidRPr="00CA04EC">
              <w:rPr>
                <w:color w:val="auto"/>
                <w:sz w:val="20"/>
                <w:szCs w:val="20"/>
              </w:rPr>
              <w:t>INTE G130:2022/Cor 1:2023 “Sistemas de Gestión de Continuidad de Servicios para organizaciones públicas y sin fines de lucro- Requisitos y orientación para su uso”.</w:t>
            </w:r>
          </w:p>
        </w:tc>
      </w:tr>
      <w:tr w:rsidR="00312137" w:rsidRPr="00CA04EC" w14:paraId="055B1700"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49CA5B14" w14:textId="6DF90B28"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Control </w:t>
            </w:r>
          </w:p>
        </w:tc>
        <w:tc>
          <w:tcPr>
            <w:tcW w:w="6926" w:type="dxa"/>
            <w:tcBorders>
              <w:top w:val="single" w:sz="4" w:space="0" w:color="8EAADB"/>
              <w:left w:val="single" w:sz="4" w:space="0" w:color="8EAADB"/>
              <w:bottom w:val="single" w:sz="4" w:space="0" w:color="8EAADB"/>
              <w:right w:val="single" w:sz="4" w:space="0" w:color="8EAADB"/>
            </w:tcBorders>
            <w:vAlign w:val="center"/>
          </w:tcPr>
          <w:p w14:paraId="0BED4D91" w14:textId="77777777" w:rsidR="00312137" w:rsidRPr="00CA04EC" w:rsidRDefault="00312137" w:rsidP="009D09DC">
            <w:pPr>
              <w:spacing w:after="0" w:line="240" w:lineRule="auto"/>
              <w:ind w:left="4" w:right="60" w:firstLine="0"/>
              <w:rPr>
                <w:color w:val="auto"/>
                <w:sz w:val="20"/>
                <w:szCs w:val="20"/>
              </w:rPr>
            </w:pPr>
            <w:r w:rsidRPr="00CA04EC">
              <w:rPr>
                <w:color w:val="auto"/>
                <w:sz w:val="20"/>
                <w:szCs w:val="20"/>
              </w:rPr>
              <w:t xml:space="preserve">Medios de gestión de riesgos, como políticas, procedimientos, directrices, prácticas o estructuras organizacionales, que pueden ser de carácter administrativo, técnico, de gestión o legal. </w:t>
            </w:r>
          </w:p>
          <w:p w14:paraId="7314F07E" w14:textId="6FF6E5AD" w:rsidR="00312137" w:rsidRPr="00CA04EC" w:rsidRDefault="00312137" w:rsidP="009D09DC">
            <w:pPr>
              <w:spacing w:after="0" w:line="240" w:lineRule="auto"/>
              <w:ind w:left="4" w:right="0" w:firstLine="0"/>
              <w:rPr>
                <w:color w:val="auto"/>
                <w:sz w:val="20"/>
                <w:szCs w:val="20"/>
                <w:highlight w:val="green"/>
              </w:rPr>
            </w:pPr>
            <w:r w:rsidRPr="00CA04EC">
              <w:rPr>
                <w:color w:val="auto"/>
                <w:sz w:val="20"/>
                <w:szCs w:val="20"/>
              </w:rPr>
              <w:t>Tomado de International Glossary of Resiliency (Glosario en español), DRI International.</w:t>
            </w:r>
          </w:p>
        </w:tc>
      </w:tr>
      <w:tr w:rsidR="00312137" w:rsidRPr="00CA04EC" w14:paraId="5BDC4BDC" w14:textId="77777777" w:rsidTr="009D09DC">
        <w:trPr>
          <w:trHeight w:val="601"/>
        </w:trPr>
        <w:tc>
          <w:tcPr>
            <w:tcW w:w="2288" w:type="dxa"/>
            <w:tcBorders>
              <w:top w:val="single" w:sz="4" w:space="0" w:color="8EAADB"/>
              <w:left w:val="single" w:sz="4" w:space="0" w:color="8EAADB"/>
              <w:bottom w:val="single" w:sz="4" w:space="0" w:color="8EAADB"/>
              <w:right w:val="single" w:sz="4" w:space="0" w:color="8EAADB"/>
            </w:tcBorders>
          </w:tcPr>
          <w:p w14:paraId="316D1822" w14:textId="22A6C428"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Estrategia de continuidad del negocio </w:t>
            </w:r>
          </w:p>
        </w:tc>
        <w:tc>
          <w:tcPr>
            <w:tcW w:w="6926" w:type="dxa"/>
            <w:tcBorders>
              <w:top w:val="single" w:sz="4" w:space="0" w:color="8EAADB"/>
              <w:left w:val="single" w:sz="4" w:space="0" w:color="8EAADB"/>
              <w:bottom w:val="single" w:sz="4" w:space="0" w:color="8EAADB"/>
              <w:right w:val="single" w:sz="4" w:space="0" w:color="8EAADB"/>
            </w:tcBorders>
            <w:vAlign w:val="center"/>
          </w:tcPr>
          <w:p w14:paraId="72BFEE65" w14:textId="7814B25A" w:rsidR="00312137" w:rsidRPr="00CA04EC" w:rsidRDefault="00312137" w:rsidP="009D09DC">
            <w:pPr>
              <w:spacing w:after="0" w:line="240" w:lineRule="auto"/>
              <w:ind w:left="4" w:right="60" w:firstLine="0"/>
              <w:rPr>
                <w:color w:val="auto"/>
                <w:sz w:val="20"/>
                <w:szCs w:val="20"/>
              </w:rPr>
            </w:pPr>
            <w:r w:rsidRPr="00CA04EC">
              <w:rPr>
                <w:color w:val="auto"/>
                <w:sz w:val="20"/>
                <w:szCs w:val="20"/>
              </w:rPr>
              <w:t xml:space="preserve">Curso de acción definido previamente (y aprobado por el </w:t>
            </w:r>
            <w:r w:rsidR="0070687B" w:rsidRPr="00CA04EC">
              <w:rPr>
                <w:color w:val="auto"/>
                <w:sz w:val="20"/>
                <w:szCs w:val="20"/>
              </w:rPr>
              <w:t xml:space="preserve">órgano </w:t>
            </w:r>
            <w:r w:rsidRPr="00CA04EC">
              <w:rPr>
                <w:color w:val="auto"/>
                <w:sz w:val="20"/>
                <w:szCs w:val="20"/>
              </w:rPr>
              <w:t xml:space="preserve">directivo) con el fin de proteger la viabilidad de la </w:t>
            </w:r>
            <w:r w:rsidR="00893E1E" w:rsidRPr="00CA04EC">
              <w:rPr>
                <w:color w:val="auto"/>
                <w:sz w:val="20"/>
                <w:szCs w:val="20"/>
              </w:rPr>
              <w:t>organización</w:t>
            </w:r>
            <w:r w:rsidRPr="00CA04EC">
              <w:rPr>
                <w:color w:val="auto"/>
                <w:sz w:val="20"/>
                <w:szCs w:val="20"/>
              </w:rPr>
              <w:t xml:space="preserve"> y reanudar sus actividades críticas en los plazos establecidos. Las estrategias seleccionadas deben cubrir los RTO identificados en el BIA. </w:t>
            </w:r>
          </w:p>
          <w:p w14:paraId="4143A9F7" w14:textId="4B75597D"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312137" w:rsidRPr="00CA04EC" w14:paraId="35B86BB3" w14:textId="77777777" w:rsidTr="009D09DC">
        <w:trPr>
          <w:trHeight w:val="310"/>
        </w:trPr>
        <w:tc>
          <w:tcPr>
            <w:tcW w:w="2288" w:type="dxa"/>
            <w:tcBorders>
              <w:top w:val="single" w:sz="4" w:space="0" w:color="8EAADB"/>
              <w:left w:val="single" w:sz="4" w:space="0" w:color="8EAADB"/>
              <w:bottom w:val="single" w:sz="4" w:space="0" w:color="8EAADB"/>
              <w:right w:val="single" w:sz="4" w:space="0" w:color="8EAADB"/>
            </w:tcBorders>
          </w:tcPr>
          <w:p w14:paraId="05D36EA3" w14:textId="1CAD2018"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Impacto </w:t>
            </w:r>
          </w:p>
        </w:tc>
        <w:tc>
          <w:tcPr>
            <w:tcW w:w="6926" w:type="dxa"/>
            <w:tcBorders>
              <w:top w:val="single" w:sz="4" w:space="0" w:color="8EAADB"/>
              <w:left w:val="single" w:sz="4" w:space="0" w:color="8EAADB"/>
              <w:bottom w:val="single" w:sz="4" w:space="0" w:color="8EAADB"/>
              <w:right w:val="single" w:sz="4" w:space="0" w:color="8EAADB"/>
            </w:tcBorders>
            <w:vAlign w:val="center"/>
          </w:tcPr>
          <w:p w14:paraId="38B4F197" w14:textId="77777777" w:rsidR="00312137" w:rsidRPr="00CA04EC" w:rsidRDefault="00312137" w:rsidP="009D09DC">
            <w:pPr>
              <w:spacing w:after="0" w:line="240" w:lineRule="auto"/>
              <w:ind w:left="4" w:right="59" w:firstLine="0"/>
              <w:rPr>
                <w:color w:val="auto"/>
                <w:sz w:val="20"/>
                <w:szCs w:val="20"/>
              </w:rPr>
            </w:pPr>
            <w:r w:rsidRPr="00CA04EC">
              <w:rPr>
                <w:color w:val="auto"/>
                <w:sz w:val="20"/>
                <w:szCs w:val="20"/>
              </w:rPr>
              <w:t xml:space="preserve">Efecto, aceptable o no, que un evento tiene en una organización. Los tipos de impactos al negocio son normalmente descritos como financieros y no financieros, y posteriormente se dividen en tipos específicos, dependiendo del sector. </w:t>
            </w:r>
          </w:p>
          <w:p w14:paraId="1B480A1B" w14:textId="24F7A4AD"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312137" w:rsidRPr="00CA04EC" w14:paraId="56997C84"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24EF51DA" w14:textId="3CE9772D"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Interrupción </w:t>
            </w:r>
          </w:p>
        </w:tc>
        <w:tc>
          <w:tcPr>
            <w:tcW w:w="6926" w:type="dxa"/>
            <w:tcBorders>
              <w:top w:val="single" w:sz="4" w:space="0" w:color="8EAADB"/>
              <w:left w:val="single" w:sz="4" w:space="0" w:color="8EAADB"/>
              <w:bottom w:val="single" w:sz="4" w:space="0" w:color="8EAADB"/>
              <w:right w:val="single" w:sz="4" w:space="0" w:color="8EAADB"/>
            </w:tcBorders>
            <w:vAlign w:val="center"/>
          </w:tcPr>
          <w:p w14:paraId="4E2ADB52" w14:textId="06ACD29D" w:rsidR="00312137" w:rsidRPr="00CA04EC" w:rsidRDefault="00312137" w:rsidP="009D09DC">
            <w:pPr>
              <w:spacing w:after="0" w:line="240" w:lineRule="auto"/>
              <w:ind w:left="4" w:right="57" w:firstLine="0"/>
              <w:rPr>
                <w:color w:val="auto"/>
                <w:sz w:val="20"/>
                <w:szCs w:val="20"/>
              </w:rPr>
            </w:pPr>
            <w:r w:rsidRPr="00CA04EC">
              <w:rPr>
                <w:color w:val="auto"/>
                <w:sz w:val="20"/>
                <w:szCs w:val="20"/>
              </w:rPr>
              <w:t xml:space="preserve">Evento que detiene las funciones, operaciones o procedimientos habituales de la organización, sea </w:t>
            </w:r>
            <w:r w:rsidR="00893E1E" w:rsidRPr="00CA04EC">
              <w:rPr>
                <w:color w:val="auto"/>
                <w:sz w:val="20"/>
                <w:szCs w:val="20"/>
              </w:rPr>
              <w:t>e</w:t>
            </w:r>
            <w:r w:rsidRPr="00CA04EC">
              <w:rPr>
                <w:color w:val="auto"/>
                <w:sz w:val="20"/>
                <w:szCs w:val="20"/>
              </w:rPr>
              <w:t>ste previsto (por ejemplo, huracanes, disturbios políticos) o imprevisto</w:t>
            </w:r>
            <w:r w:rsidR="00893E1E" w:rsidRPr="00CA04EC">
              <w:rPr>
                <w:color w:val="auto"/>
                <w:sz w:val="20"/>
                <w:szCs w:val="20"/>
              </w:rPr>
              <w:t>s</w:t>
            </w:r>
            <w:r w:rsidRPr="00CA04EC">
              <w:rPr>
                <w:color w:val="auto"/>
                <w:sz w:val="20"/>
                <w:szCs w:val="20"/>
              </w:rPr>
              <w:t xml:space="preserve"> (por ejemplo, un apagón</w:t>
            </w:r>
            <w:r w:rsidR="00893E1E" w:rsidRPr="00CA04EC">
              <w:rPr>
                <w:color w:val="auto"/>
                <w:sz w:val="20"/>
                <w:szCs w:val="20"/>
              </w:rPr>
              <w:t xml:space="preserve"> eléctrico</w:t>
            </w:r>
            <w:r w:rsidRPr="00CA04EC">
              <w:rPr>
                <w:color w:val="auto"/>
                <w:sz w:val="20"/>
                <w:szCs w:val="20"/>
              </w:rPr>
              <w:t xml:space="preserve">, un ataque terrorista o una falla de la tecnología). </w:t>
            </w:r>
          </w:p>
          <w:p w14:paraId="0C23DB1C" w14:textId="79F772AF" w:rsidR="00312137" w:rsidRPr="00CA04EC" w:rsidRDefault="00312137" w:rsidP="009D09DC">
            <w:pPr>
              <w:spacing w:after="0" w:line="240" w:lineRule="auto"/>
              <w:ind w:left="4" w:right="0" w:firstLine="0"/>
              <w:rPr>
                <w:color w:val="auto"/>
                <w:sz w:val="20"/>
                <w:szCs w:val="20"/>
              </w:rPr>
            </w:pPr>
            <w:r w:rsidRPr="00CA04EC">
              <w:rPr>
                <w:color w:val="auto"/>
                <w:sz w:val="20"/>
                <w:szCs w:val="20"/>
              </w:rPr>
              <w:t>Tomado de International Glossary of Resiliency (Glosario en español), DRI International.</w:t>
            </w:r>
          </w:p>
        </w:tc>
      </w:tr>
      <w:tr w:rsidR="00312137" w:rsidRPr="00CA04EC" w14:paraId="7E9DC706"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7B2063A4" w14:textId="602C74FC"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Pandemia </w:t>
            </w:r>
          </w:p>
        </w:tc>
        <w:tc>
          <w:tcPr>
            <w:tcW w:w="6926" w:type="dxa"/>
            <w:tcBorders>
              <w:top w:val="single" w:sz="4" w:space="0" w:color="8EAADB"/>
              <w:left w:val="single" w:sz="4" w:space="0" w:color="8EAADB"/>
              <w:bottom w:val="single" w:sz="4" w:space="0" w:color="8EAADB"/>
              <w:right w:val="single" w:sz="4" w:space="0" w:color="8EAADB"/>
            </w:tcBorders>
            <w:vAlign w:val="center"/>
          </w:tcPr>
          <w:p w14:paraId="2490CAE7" w14:textId="77777777"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Enfermedad epidémica o infecciosa que puede tener un impacto a nivel mundial. </w:t>
            </w:r>
          </w:p>
          <w:p w14:paraId="249B8DDB" w14:textId="2D037DA2"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312137" w:rsidRPr="00CA04EC" w14:paraId="08FAD3A5"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743D08AD" w14:textId="4F8B2449"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lastRenderedPageBreak/>
              <w:t>Servicio crítico o esencial</w:t>
            </w:r>
            <w:r w:rsidRPr="00CA04EC">
              <w:rPr>
                <w:color w:val="auto"/>
                <w:sz w:val="20"/>
                <w:szCs w:val="20"/>
              </w:rPr>
              <w:br/>
              <w:t>en el Poder Judicial</w:t>
            </w:r>
          </w:p>
        </w:tc>
        <w:tc>
          <w:tcPr>
            <w:tcW w:w="6926" w:type="dxa"/>
            <w:tcBorders>
              <w:top w:val="single" w:sz="4" w:space="0" w:color="8EAADB"/>
              <w:left w:val="single" w:sz="4" w:space="0" w:color="8EAADB"/>
              <w:bottom w:val="single" w:sz="4" w:space="0" w:color="8EAADB"/>
              <w:right w:val="single" w:sz="4" w:space="0" w:color="8EAADB"/>
            </w:tcBorders>
            <w:vAlign w:val="center"/>
          </w:tcPr>
          <w:p w14:paraId="27FBDD63" w14:textId="77777777" w:rsidR="00312137" w:rsidRPr="00CA04EC" w:rsidRDefault="00312137" w:rsidP="009D09DC">
            <w:pPr>
              <w:spacing w:after="0" w:line="240" w:lineRule="auto"/>
              <w:ind w:left="4" w:right="0" w:firstLine="0"/>
              <w:rPr>
                <w:i/>
                <w:iCs/>
                <w:color w:val="auto"/>
                <w:sz w:val="20"/>
                <w:szCs w:val="20"/>
              </w:rPr>
            </w:pPr>
            <w:r w:rsidRPr="00CA04EC">
              <w:rPr>
                <w:i/>
                <w:iCs/>
                <w:color w:val="auto"/>
                <w:sz w:val="20"/>
                <w:szCs w:val="20"/>
              </w:rPr>
              <w:t>“Son aquellos relacionados con actividades de la institución que están sujetos al cumplimiento de plazos u obligaciones legales, la protección de derechos fundamentales, o cuya suspensión puede ocasionar un perjuicio a la vida de las personas, una afectación grave a la operación interna, o provocar una pérdida de recursos o activos institucionales y una degradación de la imagen institucional”.</w:t>
            </w:r>
          </w:p>
          <w:p w14:paraId="6482CCE2" w14:textId="0468E2C7" w:rsidR="00312137" w:rsidRPr="00CA04EC" w:rsidRDefault="00312137" w:rsidP="009D09DC">
            <w:pPr>
              <w:spacing w:after="0" w:line="240" w:lineRule="auto"/>
              <w:ind w:left="4" w:right="60" w:firstLine="0"/>
              <w:rPr>
                <w:color w:val="auto"/>
                <w:sz w:val="20"/>
                <w:szCs w:val="20"/>
              </w:rPr>
            </w:pPr>
            <w:r w:rsidRPr="00CA04EC">
              <w:rPr>
                <w:color w:val="auto"/>
                <w:sz w:val="20"/>
                <w:szCs w:val="20"/>
              </w:rPr>
              <w:t>Subproceso de Gestión de la Continuidad del Servicio del Poder Judicial, adaptación de definición aportada por la Contraloría General de la República en la Resolución R-DC-006-2021 “Directrices de continuidad para la generación de valor público en la CGR”.</w:t>
            </w:r>
          </w:p>
        </w:tc>
      </w:tr>
      <w:tr w:rsidR="00312137" w:rsidRPr="00CA04EC" w14:paraId="4A3AAEE1"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0E37E5E7" w14:textId="46D0AE88"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Probabilidad </w:t>
            </w:r>
          </w:p>
        </w:tc>
        <w:tc>
          <w:tcPr>
            <w:tcW w:w="6926" w:type="dxa"/>
            <w:tcBorders>
              <w:top w:val="single" w:sz="4" w:space="0" w:color="8EAADB"/>
              <w:left w:val="single" w:sz="4" w:space="0" w:color="8EAADB"/>
              <w:bottom w:val="single" w:sz="4" w:space="0" w:color="8EAADB"/>
              <w:right w:val="single" w:sz="4" w:space="0" w:color="8EAADB"/>
            </w:tcBorders>
            <w:vAlign w:val="center"/>
          </w:tcPr>
          <w:p w14:paraId="4EC460C3" w14:textId="77777777" w:rsidR="00312137" w:rsidRPr="00CA04EC" w:rsidRDefault="00312137" w:rsidP="009D09DC">
            <w:pPr>
              <w:spacing w:after="0" w:line="240" w:lineRule="auto"/>
              <w:ind w:left="4" w:right="58" w:firstLine="0"/>
              <w:rPr>
                <w:color w:val="auto"/>
                <w:sz w:val="20"/>
                <w:szCs w:val="20"/>
              </w:rPr>
            </w:pPr>
            <w:r w:rsidRPr="00CA04EC">
              <w:rPr>
                <w:color w:val="auto"/>
                <w:sz w:val="20"/>
                <w:szCs w:val="20"/>
              </w:rPr>
              <w:t xml:space="preserve">Posibilidad verosímil y fundada de que algo suceda, haya sido esto definido, medido o estimado objetiva o subjetivamente. </w:t>
            </w:r>
          </w:p>
          <w:p w14:paraId="117B8219" w14:textId="306BA772"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312137" w:rsidRPr="00CA04EC" w14:paraId="1B603196"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2FE337AD" w14:textId="70E9F2F4"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Riesgo </w:t>
            </w:r>
          </w:p>
        </w:tc>
        <w:tc>
          <w:tcPr>
            <w:tcW w:w="6926" w:type="dxa"/>
            <w:tcBorders>
              <w:top w:val="single" w:sz="4" w:space="0" w:color="8EAADB"/>
              <w:left w:val="single" w:sz="4" w:space="0" w:color="8EAADB"/>
              <w:bottom w:val="single" w:sz="4" w:space="0" w:color="8EAADB"/>
              <w:right w:val="single" w:sz="4" w:space="0" w:color="8EAADB"/>
            </w:tcBorders>
            <w:vAlign w:val="center"/>
          </w:tcPr>
          <w:p w14:paraId="5A1A7153" w14:textId="77777777"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Probabilidad de que se presente un evento que pudiera causar daños o pérdidas o afectar la capacidad para alcanzar los objetivos del negocio, asociado a la vulnerabilidad de la organización ante esa amenaza. </w:t>
            </w:r>
          </w:p>
          <w:p w14:paraId="437A7291" w14:textId="77777777"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w:t>
            </w:r>
          </w:p>
          <w:p w14:paraId="4B89F05A" w14:textId="77777777"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International. </w:t>
            </w:r>
          </w:p>
          <w:p w14:paraId="05D69812" w14:textId="77777777" w:rsidR="00312137" w:rsidRPr="00CA04EC" w:rsidRDefault="00312137" w:rsidP="009D09DC">
            <w:pPr>
              <w:spacing w:after="0" w:line="240" w:lineRule="auto"/>
              <w:ind w:left="4" w:right="0" w:firstLine="0"/>
              <w:rPr>
                <w:color w:val="auto"/>
                <w:sz w:val="20"/>
                <w:szCs w:val="20"/>
              </w:rPr>
            </w:pPr>
          </w:p>
          <w:p w14:paraId="1494A92F" w14:textId="77777777"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También se le describe como la </w:t>
            </w:r>
            <w:r w:rsidRPr="00CA04EC">
              <w:rPr>
                <w:i/>
                <w:iCs/>
                <w:color w:val="auto"/>
                <w:sz w:val="20"/>
                <w:szCs w:val="20"/>
              </w:rPr>
              <w:t>“Probabilidad de que un factor, acontecimiento o acción, sea de origen interno o externo, afecte de manera adversa a la organización, área, proyecto o programa y perjudique el logro de sus objetivos.”</w:t>
            </w:r>
          </w:p>
          <w:p w14:paraId="3ADBBFF7" w14:textId="262B1DDB" w:rsidR="00312137" w:rsidRPr="00CA04EC" w:rsidRDefault="00312137" w:rsidP="009D09DC">
            <w:pPr>
              <w:spacing w:after="0" w:line="240" w:lineRule="auto"/>
              <w:ind w:left="4" w:right="60" w:firstLine="0"/>
              <w:rPr>
                <w:color w:val="auto"/>
                <w:sz w:val="20"/>
                <w:szCs w:val="20"/>
              </w:rPr>
            </w:pPr>
            <w:r w:rsidRPr="00CA04EC">
              <w:rPr>
                <w:color w:val="auto"/>
                <w:sz w:val="20"/>
                <w:szCs w:val="20"/>
              </w:rPr>
              <w:t>Tomado del glosario de términos de la Oficina de Control Interno del Poder Judicial (</w:t>
            </w:r>
            <w:hyperlink r:id="rId13" w:history="1">
              <w:r w:rsidRPr="00CA04EC">
                <w:rPr>
                  <w:rStyle w:val="Hipervnculo"/>
                  <w:color w:val="auto"/>
                  <w:sz w:val="20"/>
                  <w:szCs w:val="20"/>
                </w:rPr>
                <w:t>https://controlinterno.poder-judicial.go.cr/index.php/glosario-de-terminos</w:t>
              </w:r>
            </w:hyperlink>
            <w:r w:rsidRPr="00CA04EC">
              <w:rPr>
                <w:color w:val="auto"/>
                <w:sz w:val="20"/>
                <w:szCs w:val="20"/>
              </w:rPr>
              <w:t>).</w:t>
            </w:r>
          </w:p>
        </w:tc>
      </w:tr>
      <w:tr w:rsidR="008D0726" w:rsidRPr="00CA04EC" w14:paraId="3FBC5354"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3700FADE" w14:textId="68C90A38" w:rsidR="008D0726" w:rsidRPr="00CA04EC" w:rsidRDefault="008D0726" w:rsidP="009D09DC">
            <w:pPr>
              <w:spacing w:after="0" w:line="240" w:lineRule="auto"/>
              <w:ind w:left="0" w:right="0" w:firstLine="0"/>
              <w:jc w:val="left"/>
              <w:rPr>
                <w:color w:val="auto"/>
                <w:sz w:val="20"/>
                <w:szCs w:val="20"/>
              </w:rPr>
            </w:pPr>
            <w:r w:rsidRPr="00CA04EC">
              <w:rPr>
                <w:color w:val="auto"/>
                <w:sz w:val="20"/>
                <w:szCs w:val="20"/>
              </w:rPr>
              <w:t xml:space="preserve">Riesgo </w:t>
            </w:r>
            <w:r w:rsidR="00A8307A" w:rsidRPr="00CA04EC">
              <w:rPr>
                <w:color w:val="auto"/>
                <w:sz w:val="20"/>
                <w:szCs w:val="20"/>
              </w:rPr>
              <w:t>i</w:t>
            </w:r>
            <w:r w:rsidRPr="00CA04EC">
              <w:rPr>
                <w:color w:val="auto"/>
                <w:sz w:val="20"/>
                <w:szCs w:val="20"/>
              </w:rPr>
              <w:t>nherente</w:t>
            </w:r>
          </w:p>
        </w:tc>
        <w:tc>
          <w:tcPr>
            <w:tcW w:w="6926" w:type="dxa"/>
            <w:tcBorders>
              <w:top w:val="single" w:sz="4" w:space="0" w:color="8EAADB"/>
              <w:left w:val="single" w:sz="4" w:space="0" w:color="8EAADB"/>
              <w:bottom w:val="single" w:sz="4" w:space="0" w:color="8EAADB"/>
              <w:right w:val="single" w:sz="4" w:space="0" w:color="8EAADB"/>
            </w:tcBorders>
            <w:vAlign w:val="center"/>
          </w:tcPr>
          <w:p w14:paraId="74D75D40" w14:textId="77777777" w:rsidR="008D0726" w:rsidRPr="00CA04EC" w:rsidRDefault="008D0726" w:rsidP="009D09DC">
            <w:pPr>
              <w:spacing w:after="0" w:line="240" w:lineRule="auto"/>
              <w:ind w:left="4" w:right="0" w:firstLine="0"/>
              <w:rPr>
                <w:color w:val="auto"/>
                <w:sz w:val="20"/>
                <w:szCs w:val="20"/>
              </w:rPr>
            </w:pPr>
            <w:r w:rsidRPr="00CA04EC">
              <w:rPr>
                <w:color w:val="auto"/>
                <w:sz w:val="20"/>
                <w:szCs w:val="20"/>
              </w:rPr>
              <w:t>Es aquel nivel de riesgo que NO toma en cuenta la aplicación de los controles al momento de valorar el parámetro de probabilidad de ocurrencia.</w:t>
            </w:r>
          </w:p>
          <w:p w14:paraId="3BA4E39A" w14:textId="2F9A4FBF" w:rsidR="008D0726" w:rsidRPr="00CA04EC" w:rsidRDefault="008D0726" w:rsidP="009D09DC">
            <w:pPr>
              <w:spacing w:after="0" w:line="240" w:lineRule="auto"/>
              <w:ind w:left="4" w:right="0" w:firstLine="0"/>
              <w:rPr>
                <w:color w:val="auto"/>
                <w:sz w:val="20"/>
                <w:szCs w:val="20"/>
              </w:rPr>
            </w:pPr>
            <w:r w:rsidRPr="00CA04EC">
              <w:rPr>
                <w:color w:val="auto"/>
                <w:sz w:val="20"/>
                <w:szCs w:val="20"/>
              </w:rPr>
              <w:t xml:space="preserve">Oficina de Control Interno del Poder Judicial, Instructivo para la elaboración del Sistema Específico de Valoración de Riesgo Institucional (SEVRI), versión 2022. </w:t>
            </w:r>
          </w:p>
        </w:tc>
      </w:tr>
      <w:tr w:rsidR="00312137" w:rsidRPr="00CA04EC" w14:paraId="3253EB93"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463DBC10" w14:textId="13D4A0AB" w:rsidR="00312137" w:rsidRPr="00CA04EC" w:rsidRDefault="00312137" w:rsidP="009D09DC">
            <w:pPr>
              <w:spacing w:after="0" w:line="240" w:lineRule="auto"/>
              <w:ind w:left="0" w:right="0" w:firstLine="0"/>
              <w:jc w:val="left"/>
              <w:rPr>
                <w:color w:val="auto"/>
                <w:sz w:val="20"/>
                <w:szCs w:val="20"/>
              </w:rPr>
            </w:pPr>
            <w:r w:rsidRPr="00CA04EC">
              <w:rPr>
                <w:color w:val="auto"/>
                <w:sz w:val="20"/>
                <w:szCs w:val="20"/>
              </w:rPr>
              <w:t xml:space="preserve">Riesgo residual </w:t>
            </w:r>
          </w:p>
        </w:tc>
        <w:tc>
          <w:tcPr>
            <w:tcW w:w="6926" w:type="dxa"/>
            <w:tcBorders>
              <w:top w:val="single" w:sz="4" w:space="0" w:color="8EAADB"/>
              <w:left w:val="single" w:sz="4" w:space="0" w:color="8EAADB"/>
              <w:bottom w:val="single" w:sz="4" w:space="0" w:color="8EAADB"/>
              <w:right w:val="single" w:sz="4" w:space="0" w:color="8EAADB"/>
            </w:tcBorders>
            <w:vAlign w:val="center"/>
          </w:tcPr>
          <w:p w14:paraId="5F247CE3" w14:textId="77777777" w:rsidR="00312137" w:rsidRPr="00CA04EC" w:rsidRDefault="00312137" w:rsidP="009D09DC">
            <w:pPr>
              <w:spacing w:after="0" w:line="240" w:lineRule="auto"/>
              <w:ind w:left="4" w:right="59" w:firstLine="0"/>
              <w:rPr>
                <w:color w:val="auto"/>
                <w:sz w:val="20"/>
                <w:szCs w:val="20"/>
              </w:rPr>
            </w:pPr>
            <w:r w:rsidRPr="00CA04EC">
              <w:rPr>
                <w:color w:val="auto"/>
                <w:sz w:val="20"/>
                <w:szCs w:val="20"/>
              </w:rPr>
              <w:t xml:space="preserve">Nivel de riesgo remanente después de que se han implementado todas las acciones costo-efectivas para reducir el impacto, la probabilidad y las consecuencias de un riesgo o grupo de riesgos específicos, sujeto al apetito al riesgo de una organización. </w:t>
            </w:r>
          </w:p>
          <w:p w14:paraId="49649278" w14:textId="41BAA57E" w:rsidR="00312137" w:rsidRPr="00CA04EC" w:rsidRDefault="00312137" w:rsidP="009D09DC">
            <w:pPr>
              <w:spacing w:after="0" w:line="240" w:lineRule="auto"/>
              <w:ind w:left="4" w:right="0" w:firstLine="0"/>
              <w:rPr>
                <w:color w:val="auto"/>
                <w:sz w:val="20"/>
                <w:szCs w:val="20"/>
              </w:rPr>
            </w:pPr>
            <w:r w:rsidRPr="00CA04EC">
              <w:rPr>
                <w:color w:val="auto"/>
                <w:sz w:val="20"/>
                <w:szCs w:val="20"/>
              </w:rPr>
              <w:t xml:space="preserve">Tomado de International Glossary of Resiliency (Glosario en español), DRI International. </w:t>
            </w:r>
          </w:p>
        </w:tc>
      </w:tr>
      <w:tr w:rsidR="00E8138F" w:rsidRPr="00CA04EC" w14:paraId="3272BBCB"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7E47C7E9" w14:textId="62B7C0F8" w:rsidR="00E8138F" w:rsidRPr="00CA04EC" w:rsidRDefault="00E8138F" w:rsidP="009D09DC">
            <w:pPr>
              <w:spacing w:after="0" w:line="240" w:lineRule="auto"/>
              <w:ind w:left="0" w:right="0" w:firstLine="0"/>
              <w:jc w:val="left"/>
              <w:rPr>
                <w:color w:val="auto"/>
                <w:sz w:val="20"/>
                <w:szCs w:val="20"/>
              </w:rPr>
            </w:pPr>
            <w:r w:rsidRPr="00CA04EC">
              <w:rPr>
                <w:color w:val="auto"/>
                <w:sz w:val="20"/>
                <w:szCs w:val="20"/>
              </w:rPr>
              <w:t>Prevención del riesgo</w:t>
            </w:r>
          </w:p>
        </w:tc>
        <w:tc>
          <w:tcPr>
            <w:tcW w:w="6926" w:type="dxa"/>
            <w:tcBorders>
              <w:top w:val="single" w:sz="4" w:space="0" w:color="8EAADB"/>
              <w:left w:val="single" w:sz="4" w:space="0" w:color="8EAADB"/>
              <w:bottom w:val="single" w:sz="4" w:space="0" w:color="8EAADB"/>
              <w:right w:val="single" w:sz="4" w:space="0" w:color="8EAADB"/>
            </w:tcBorders>
            <w:vAlign w:val="center"/>
          </w:tcPr>
          <w:p w14:paraId="37F7988D" w14:textId="77777777" w:rsidR="00E8138F" w:rsidRPr="00CA04EC" w:rsidRDefault="00E8138F" w:rsidP="009D09DC">
            <w:pPr>
              <w:spacing w:after="0" w:line="240" w:lineRule="auto"/>
              <w:ind w:left="4" w:right="59" w:firstLine="0"/>
              <w:rPr>
                <w:color w:val="auto"/>
                <w:sz w:val="20"/>
                <w:szCs w:val="20"/>
              </w:rPr>
            </w:pPr>
            <w:r w:rsidRPr="00CA04EC">
              <w:rPr>
                <w:color w:val="auto"/>
                <w:sz w:val="20"/>
                <w:szCs w:val="20"/>
              </w:rPr>
              <w:t xml:space="preserve">Estrategia de administración del riesgo que se utiliza cuando se pueden aplicar acciones anticipadas sobre las </w:t>
            </w:r>
            <w:r w:rsidRPr="00CA04EC">
              <w:rPr>
                <w:b/>
                <w:bCs/>
                <w:color w:val="auto"/>
                <w:sz w:val="20"/>
                <w:szCs w:val="20"/>
              </w:rPr>
              <w:t>fuentes de un riesgo</w:t>
            </w:r>
            <w:r w:rsidRPr="00CA04EC">
              <w:rPr>
                <w:color w:val="auto"/>
                <w:sz w:val="20"/>
                <w:szCs w:val="20"/>
              </w:rPr>
              <w:t>, para disminuir su probabilidad de ocurrencia o impacto.</w:t>
            </w:r>
          </w:p>
          <w:p w14:paraId="22CD20DE" w14:textId="01F8404A" w:rsidR="00E8138F" w:rsidRPr="00CA04EC" w:rsidRDefault="00E8138F" w:rsidP="009D09DC">
            <w:pPr>
              <w:pStyle w:val="Default"/>
              <w:jc w:val="both"/>
              <w:rPr>
                <w:color w:val="auto"/>
                <w:sz w:val="20"/>
                <w:szCs w:val="20"/>
              </w:rPr>
            </w:pPr>
            <w:r w:rsidRPr="00CA04EC">
              <w:rPr>
                <w:color w:val="auto"/>
                <w:sz w:val="20"/>
                <w:szCs w:val="20"/>
              </w:rPr>
              <w:t>Oficina de Control Interno del Poder Judicial, Estrategias de respuesta al riesgo</w:t>
            </w:r>
            <w:r w:rsidR="00C35195" w:rsidRPr="00CA04EC">
              <w:rPr>
                <w:color w:val="auto"/>
                <w:sz w:val="20"/>
                <w:szCs w:val="20"/>
              </w:rPr>
              <w:t>.</w:t>
            </w:r>
          </w:p>
        </w:tc>
      </w:tr>
      <w:tr w:rsidR="00E8138F" w:rsidRPr="00CA04EC" w14:paraId="42F2C44E" w14:textId="77777777" w:rsidTr="009D09DC">
        <w:trPr>
          <w:trHeight w:val="1169"/>
        </w:trPr>
        <w:tc>
          <w:tcPr>
            <w:tcW w:w="2288" w:type="dxa"/>
            <w:tcBorders>
              <w:top w:val="single" w:sz="4" w:space="0" w:color="8EAADB"/>
              <w:left w:val="single" w:sz="4" w:space="0" w:color="8EAADB"/>
              <w:bottom w:val="single" w:sz="4" w:space="0" w:color="8EAADB"/>
              <w:right w:val="single" w:sz="4" w:space="0" w:color="8EAADB"/>
            </w:tcBorders>
          </w:tcPr>
          <w:p w14:paraId="17C67262" w14:textId="7D03A6DD" w:rsidR="00E8138F" w:rsidRPr="00CA04EC" w:rsidRDefault="00E8138F" w:rsidP="009D09DC">
            <w:pPr>
              <w:spacing w:after="0" w:line="240" w:lineRule="auto"/>
              <w:ind w:left="0" w:right="0" w:firstLine="0"/>
              <w:jc w:val="left"/>
              <w:rPr>
                <w:color w:val="auto"/>
                <w:sz w:val="20"/>
                <w:szCs w:val="20"/>
              </w:rPr>
            </w:pPr>
            <w:r w:rsidRPr="00CA04EC">
              <w:rPr>
                <w:color w:val="auto"/>
                <w:sz w:val="20"/>
                <w:szCs w:val="20"/>
              </w:rPr>
              <w:lastRenderedPageBreak/>
              <w:t>Mitigación del riesgo</w:t>
            </w:r>
          </w:p>
        </w:tc>
        <w:tc>
          <w:tcPr>
            <w:tcW w:w="6926" w:type="dxa"/>
            <w:tcBorders>
              <w:top w:val="single" w:sz="4" w:space="0" w:color="8EAADB"/>
              <w:left w:val="single" w:sz="4" w:space="0" w:color="8EAADB"/>
              <w:bottom w:val="single" w:sz="4" w:space="0" w:color="8EAADB"/>
              <w:right w:val="single" w:sz="4" w:space="0" w:color="8EAADB"/>
            </w:tcBorders>
            <w:vAlign w:val="center"/>
          </w:tcPr>
          <w:p w14:paraId="40BFC783" w14:textId="37220DD7" w:rsidR="00C35195" w:rsidRPr="00CA04EC" w:rsidRDefault="00C35195" w:rsidP="009D09DC">
            <w:pPr>
              <w:pStyle w:val="Default"/>
              <w:jc w:val="both"/>
              <w:rPr>
                <w:color w:val="auto"/>
                <w:sz w:val="20"/>
                <w:szCs w:val="20"/>
              </w:rPr>
            </w:pPr>
            <w:r w:rsidRPr="00CA04EC">
              <w:rPr>
                <w:color w:val="auto"/>
                <w:sz w:val="20"/>
                <w:szCs w:val="20"/>
              </w:rPr>
              <w:t xml:space="preserve">Estrategia de administración del riesgo que comprende las acciones que se planifican antes de que ocurra un riesgo, de tal manera que, en caso de suceder una emergencia, se activen para reducir </w:t>
            </w:r>
            <w:r w:rsidRPr="00CA04EC">
              <w:rPr>
                <w:b/>
                <w:bCs/>
                <w:color w:val="auto"/>
                <w:sz w:val="20"/>
                <w:szCs w:val="20"/>
              </w:rPr>
              <w:t xml:space="preserve">su impacto </w:t>
            </w:r>
            <w:r w:rsidRPr="00CA04EC">
              <w:rPr>
                <w:color w:val="auto"/>
                <w:sz w:val="20"/>
                <w:szCs w:val="20"/>
              </w:rPr>
              <w:t xml:space="preserve">a niveles tolerables y costo razonable. </w:t>
            </w:r>
          </w:p>
          <w:p w14:paraId="331EE2E2" w14:textId="3E405CEB" w:rsidR="00E8138F" w:rsidRPr="00CA04EC" w:rsidRDefault="00C35195" w:rsidP="009D09DC">
            <w:pPr>
              <w:pStyle w:val="Default"/>
              <w:jc w:val="both"/>
              <w:rPr>
                <w:color w:val="auto"/>
                <w:sz w:val="20"/>
                <w:szCs w:val="20"/>
              </w:rPr>
            </w:pPr>
            <w:r w:rsidRPr="00CA04EC">
              <w:rPr>
                <w:color w:val="auto"/>
                <w:sz w:val="20"/>
                <w:szCs w:val="20"/>
              </w:rPr>
              <w:t>Oficina de Control Interno del Poder Judicial, Estrategias de respuesta al riesgo.</w:t>
            </w:r>
          </w:p>
        </w:tc>
      </w:tr>
      <w:tr w:rsidR="00C35195" w:rsidRPr="00CA04EC" w14:paraId="3B9D96CA" w14:textId="77777777" w:rsidTr="009D09DC">
        <w:trPr>
          <w:trHeight w:val="933"/>
        </w:trPr>
        <w:tc>
          <w:tcPr>
            <w:tcW w:w="2288" w:type="dxa"/>
            <w:tcBorders>
              <w:top w:val="single" w:sz="4" w:space="0" w:color="8EAADB"/>
              <w:left w:val="single" w:sz="4" w:space="0" w:color="8EAADB"/>
              <w:bottom w:val="single" w:sz="4" w:space="0" w:color="8EAADB"/>
              <w:right w:val="single" w:sz="4" w:space="0" w:color="8EAADB"/>
            </w:tcBorders>
          </w:tcPr>
          <w:p w14:paraId="3497FB75" w14:textId="332FFD35" w:rsidR="00C35195" w:rsidRPr="00CA04EC" w:rsidRDefault="00C35195" w:rsidP="009D09DC">
            <w:pPr>
              <w:spacing w:after="0" w:line="240" w:lineRule="auto"/>
              <w:ind w:left="0" w:right="0" w:firstLine="0"/>
              <w:jc w:val="left"/>
              <w:rPr>
                <w:color w:val="auto"/>
                <w:sz w:val="20"/>
                <w:szCs w:val="20"/>
              </w:rPr>
            </w:pPr>
            <w:r w:rsidRPr="00CA04EC">
              <w:rPr>
                <w:color w:val="auto"/>
                <w:sz w:val="20"/>
                <w:szCs w:val="20"/>
              </w:rPr>
              <w:t>Fuente de riesgo</w:t>
            </w:r>
          </w:p>
        </w:tc>
        <w:tc>
          <w:tcPr>
            <w:tcW w:w="6926" w:type="dxa"/>
            <w:tcBorders>
              <w:top w:val="single" w:sz="4" w:space="0" w:color="8EAADB"/>
              <w:left w:val="single" w:sz="4" w:space="0" w:color="8EAADB"/>
              <w:bottom w:val="single" w:sz="4" w:space="0" w:color="8EAADB"/>
              <w:right w:val="single" w:sz="4" w:space="0" w:color="8EAADB"/>
            </w:tcBorders>
            <w:vAlign w:val="center"/>
          </w:tcPr>
          <w:p w14:paraId="53993497" w14:textId="15C30853" w:rsidR="00C35195" w:rsidRPr="00CA04EC" w:rsidRDefault="00D70321" w:rsidP="009D09DC">
            <w:pPr>
              <w:pStyle w:val="Default"/>
              <w:jc w:val="both"/>
              <w:rPr>
                <w:color w:val="auto"/>
                <w:sz w:val="20"/>
                <w:szCs w:val="20"/>
              </w:rPr>
            </w:pPr>
            <w:r w:rsidRPr="00CA04EC">
              <w:rPr>
                <w:color w:val="auto"/>
                <w:sz w:val="20"/>
                <w:szCs w:val="20"/>
              </w:rPr>
              <w:t>Elemento que solo o en combinación</w:t>
            </w:r>
            <w:r w:rsidR="00D164D5" w:rsidRPr="00CA04EC">
              <w:rPr>
                <w:color w:val="auto"/>
                <w:sz w:val="20"/>
                <w:szCs w:val="20"/>
              </w:rPr>
              <w:t>,</w:t>
            </w:r>
            <w:r w:rsidRPr="00CA04EC">
              <w:rPr>
                <w:color w:val="auto"/>
                <w:sz w:val="20"/>
                <w:szCs w:val="20"/>
              </w:rPr>
              <w:t xml:space="preserve"> tiene el potencial intrínseco para generar un riesgo.</w:t>
            </w:r>
          </w:p>
          <w:p w14:paraId="45968C9F" w14:textId="762309FA" w:rsidR="00D70321" w:rsidRPr="00CA04EC" w:rsidRDefault="00D70321" w:rsidP="009D09DC">
            <w:pPr>
              <w:pStyle w:val="Default"/>
              <w:jc w:val="both"/>
              <w:rPr>
                <w:color w:val="auto"/>
                <w:sz w:val="20"/>
                <w:szCs w:val="20"/>
              </w:rPr>
            </w:pPr>
            <w:r w:rsidRPr="00CA04EC">
              <w:rPr>
                <w:color w:val="auto"/>
                <w:sz w:val="20"/>
                <w:szCs w:val="20"/>
              </w:rPr>
              <w:t>ISO 31000 Risk management — Principles and guidelines.  Fir</w:t>
            </w:r>
            <w:r w:rsidR="00D164D5" w:rsidRPr="00CA04EC">
              <w:rPr>
                <w:color w:val="auto"/>
                <w:sz w:val="20"/>
                <w:szCs w:val="20"/>
              </w:rPr>
              <w:t>s</w:t>
            </w:r>
            <w:r w:rsidRPr="00CA04EC">
              <w:rPr>
                <w:color w:val="auto"/>
                <w:sz w:val="20"/>
                <w:szCs w:val="20"/>
              </w:rPr>
              <w:t>t edition 2009-11-15.</w:t>
            </w:r>
          </w:p>
        </w:tc>
      </w:tr>
    </w:tbl>
    <w:p w14:paraId="50880986" w14:textId="1A8EB82A" w:rsidR="00B23A65" w:rsidRDefault="00B23A65" w:rsidP="009D09DC">
      <w:pPr>
        <w:spacing w:after="0" w:line="240" w:lineRule="auto"/>
        <w:ind w:left="0" w:right="0" w:firstLine="0"/>
        <w:jc w:val="left"/>
      </w:pPr>
    </w:p>
    <w:p w14:paraId="703BEA5D" w14:textId="77777777" w:rsidR="009D09DC" w:rsidRPr="0070574C" w:rsidRDefault="009D09DC" w:rsidP="009D09DC">
      <w:pPr>
        <w:spacing w:after="0" w:line="240" w:lineRule="auto"/>
        <w:ind w:left="0" w:right="0" w:firstLine="0"/>
        <w:jc w:val="left"/>
      </w:pPr>
    </w:p>
    <w:p w14:paraId="7EE5D144" w14:textId="77777777" w:rsidR="003E7268" w:rsidRPr="00900DA4" w:rsidRDefault="003B32D7" w:rsidP="009D09DC">
      <w:pPr>
        <w:pStyle w:val="Ttulo1"/>
        <w:spacing w:after="0" w:line="240" w:lineRule="auto"/>
        <w:rPr>
          <w:b/>
          <w:bCs/>
          <w:color w:val="002060"/>
          <w:sz w:val="32"/>
          <w:szCs w:val="32"/>
        </w:rPr>
      </w:pPr>
      <w:bookmarkStart w:id="8" w:name="_Toc155778519"/>
      <w:r w:rsidRPr="00900DA4">
        <w:rPr>
          <w:b/>
          <w:bCs/>
          <w:color w:val="002060"/>
          <w:sz w:val="32"/>
          <w:szCs w:val="32"/>
        </w:rPr>
        <w:t>6.</w:t>
      </w:r>
      <w:r w:rsidRPr="00900DA4">
        <w:rPr>
          <w:b/>
          <w:bCs/>
          <w:color w:val="002060"/>
          <w:sz w:val="32"/>
          <w:szCs w:val="32"/>
        </w:rPr>
        <w:tab/>
      </w:r>
      <w:r w:rsidR="003E7268" w:rsidRPr="00900DA4">
        <w:rPr>
          <w:b/>
          <w:bCs/>
          <w:color w:val="002060"/>
          <w:sz w:val="32"/>
          <w:szCs w:val="32"/>
        </w:rPr>
        <w:t>Metodología</w:t>
      </w:r>
      <w:bookmarkEnd w:id="8"/>
    </w:p>
    <w:p w14:paraId="1A285169" w14:textId="77777777" w:rsidR="00B46A94" w:rsidRPr="0070574C" w:rsidRDefault="00B46A94" w:rsidP="009D09DC">
      <w:pPr>
        <w:pStyle w:val="Ttulo1"/>
        <w:spacing w:after="0" w:line="240" w:lineRule="auto"/>
        <w:rPr>
          <w:color w:val="000000"/>
          <w:sz w:val="22"/>
        </w:rPr>
      </w:pPr>
    </w:p>
    <w:p w14:paraId="63A724A0" w14:textId="3B25F0FF" w:rsidR="00F534C0" w:rsidRPr="0070574C" w:rsidRDefault="00155301" w:rsidP="00F534C0">
      <w:pPr>
        <w:spacing w:after="0" w:line="240" w:lineRule="auto"/>
        <w:ind w:right="94"/>
      </w:pPr>
      <w:r w:rsidRPr="0070574C">
        <w:t xml:space="preserve">El análisis de riesgo del presente informe </w:t>
      </w:r>
      <w:r w:rsidR="005059E8" w:rsidRPr="0070574C">
        <w:t xml:space="preserve">parte del </w:t>
      </w:r>
      <w:r w:rsidR="00A22008" w:rsidRPr="00F534C0">
        <w:rPr>
          <w:i/>
          <w:iCs/>
        </w:rPr>
        <w:t>“</w:t>
      </w:r>
      <w:r w:rsidR="005059E8" w:rsidRPr="00F534C0">
        <w:rPr>
          <w:i/>
          <w:iCs/>
        </w:rPr>
        <w:t>Análisis de Riesgos de Continuidad del Servicio del Poder Judicial</w:t>
      </w:r>
      <w:r w:rsidR="00A22008" w:rsidRPr="00F534C0">
        <w:rPr>
          <w:i/>
          <w:iCs/>
        </w:rPr>
        <w:t>”</w:t>
      </w:r>
      <w:r w:rsidR="005059E8" w:rsidRPr="00F534C0">
        <w:rPr>
          <w:i/>
          <w:iCs/>
        </w:rPr>
        <w:t>,</w:t>
      </w:r>
      <w:r w:rsidR="005059E8" w:rsidRPr="0070574C">
        <w:t xml:space="preserve"> aprobado por el Consejo Superior en la sesión 72-2020 celebrada el 16 de julio de 2020, artículo XIII</w:t>
      </w:r>
      <w:r w:rsidR="00F534C0">
        <w:t xml:space="preserve">; y toma como guía el </w:t>
      </w:r>
      <w:r w:rsidR="00F534C0" w:rsidRPr="00B14504">
        <w:t xml:space="preserve">Marco Metodológico </w:t>
      </w:r>
      <w:r w:rsidR="00F534C0">
        <w:t>d</w:t>
      </w:r>
      <w:r w:rsidR="00F534C0" w:rsidRPr="00B14504">
        <w:t xml:space="preserve">el Análisis </w:t>
      </w:r>
      <w:r w:rsidR="00F534C0">
        <w:t>d</w:t>
      </w:r>
      <w:r w:rsidR="00F534C0" w:rsidRPr="00B14504">
        <w:t xml:space="preserve">e Riesgos </w:t>
      </w:r>
      <w:r w:rsidR="00F534C0">
        <w:t>d</w:t>
      </w:r>
      <w:r w:rsidR="00F534C0" w:rsidRPr="00B14504">
        <w:t xml:space="preserve">e Continuidad </w:t>
      </w:r>
      <w:r w:rsidR="00F534C0">
        <w:t>d</w:t>
      </w:r>
      <w:r w:rsidR="00F534C0" w:rsidRPr="00B14504">
        <w:t>el Servicio</w:t>
      </w:r>
      <w:r w:rsidR="00F534C0">
        <w:t xml:space="preserve"> en su versión 2023, elaborado por el Subproceso de Gestión de Continuidad del Servicio.</w:t>
      </w:r>
    </w:p>
    <w:p w14:paraId="36AE6D3E" w14:textId="77777777" w:rsidR="00450126" w:rsidRPr="0070574C" w:rsidRDefault="00450126" w:rsidP="009D09DC">
      <w:pPr>
        <w:spacing w:after="0" w:line="240" w:lineRule="auto"/>
      </w:pPr>
    </w:p>
    <w:p w14:paraId="62BEAD09" w14:textId="38EA3554" w:rsidR="005059E8" w:rsidRPr="0070574C" w:rsidRDefault="005059E8" w:rsidP="009D09DC">
      <w:pPr>
        <w:spacing w:after="0" w:line="240" w:lineRule="auto"/>
      </w:pPr>
      <w:r w:rsidRPr="0070574C">
        <w:t>En la primera etapa</w:t>
      </w:r>
      <w:r w:rsidR="00450126" w:rsidRPr="0070574C">
        <w:t xml:space="preserve"> de este nuevo análisis </w:t>
      </w:r>
      <w:r w:rsidRPr="0070574C">
        <w:t>se cuantific</w:t>
      </w:r>
      <w:r w:rsidR="00A22008" w:rsidRPr="0070574C">
        <w:t>ó</w:t>
      </w:r>
      <w:r w:rsidRPr="0070574C">
        <w:t xml:space="preserve"> la recurrencia de cada factor o fuente de riesgo identificado por los dueños de procesos y servicios críticos, posteriormente se clasificó la frecuencia en una matriz que se categorizó según cinco tipos de escenarios de riesgo que se identificaron. </w:t>
      </w:r>
    </w:p>
    <w:p w14:paraId="32640174" w14:textId="41988AD2" w:rsidR="00C22515" w:rsidRPr="0070574C" w:rsidRDefault="00C22515" w:rsidP="009D09DC">
      <w:pPr>
        <w:spacing w:after="0" w:line="240" w:lineRule="auto"/>
      </w:pPr>
    </w:p>
    <w:p w14:paraId="39A69166" w14:textId="21414C43" w:rsidR="00890FCC" w:rsidRPr="0070574C" w:rsidRDefault="00C22515" w:rsidP="009D09DC">
      <w:pPr>
        <w:spacing w:after="0" w:line="240" w:lineRule="auto"/>
      </w:pPr>
      <w:r w:rsidRPr="0070574C">
        <w:t>De acuerdo con la categorización y la participación relativa de cada factor o fuente de riesgo de disrupción, se aplic</w:t>
      </w:r>
      <w:r w:rsidR="00A22008" w:rsidRPr="0070574C">
        <w:t>ó</w:t>
      </w:r>
      <w:r w:rsidRPr="0070574C">
        <w:t xml:space="preserve"> un análisis donde se utilizó </w:t>
      </w:r>
      <w:r w:rsidR="004D7063" w:rsidRPr="0070574C">
        <w:t xml:space="preserve">la metodología del SEVRI, que es guiado por la Oficina de Control Interno del Poder Judicial. </w:t>
      </w:r>
      <w:r w:rsidR="00A22008" w:rsidRPr="0070574C">
        <w:t xml:space="preserve">Según dicha metodología, se considera la probabilidad de ocurrencia de los factores y su posible impacto, con los siguientes parámetros, para determinar el riesgo global:  </w:t>
      </w:r>
      <w:r w:rsidR="00890FCC" w:rsidRPr="0070574C">
        <w:t xml:space="preserve"> </w:t>
      </w:r>
    </w:p>
    <w:p w14:paraId="61176727" w14:textId="59DD2194" w:rsidR="00450126" w:rsidRPr="0070574C" w:rsidRDefault="00450126" w:rsidP="009D09DC">
      <w:pPr>
        <w:spacing w:after="0" w:line="240" w:lineRule="auto"/>
      </w:pPr>
    </w:p>
    <w:p w14:paraId="7B473402" w14:textId="77777777" w:rsidR="00450126" w:rsidRPr="0070574C" w:rsidRDefault="00450126" w:rsidP="009D09DC">
      <w:pPr>
        <w:pStyle w:val="Ttulo4"/>
        <w:tabs>
          <w:tab w:val="center" w:pos="2892"/>
        </w:tabs>
        <w:spacing w:after="0" w:line="240" w:lineRule="auto"/>
        <w:ind w:left="-15" w:firstLine="0"/>
        <w:jc w:val="left"/>
        <w:rPr>
          <w:sz w:val="22"/>
        </w:rPr>
      </w:pPr>
      <w:r w:rsidRPr="0070574C">
        <w:rPr>
          <w:sz w:val="22"/>
        </w:rPr>
        <w:t xml:space="preserve">Evaluación de probabilidad </w:t>
      </w:r>
    </w:p>
    <w:p w14:paraId="75A331D3" w14:textId="77777777" w:rsidR="00450126" w:rsidRPr="0070574C" w:rsidRDefault="00450126" w:rsidP="009D09DC">
      <w:pPr>
        <w:spacing w:after="0" w:line="240" w:lineRule="auto"/>
        <w:ind w:left="-5" w:right="94"/>
      </w:pPr>
    </w:p>
    <w:p w14:paraId="1605CE22" w14:textId="4AE2C7FB" w:rsidR="00C15A05" w:rsidRPr="0070574C" w:rsidRDefault="00C15A05" w:rsidP="009D09DC">
      <w:pPr>
        <w:spacing w:after="0" w:line="240" w:lineRule="auto"/>
      </w:pPr>
      <w:r w:rsidRPr="0070574C">
        <w:t>Se considera la</w:t>
      </w:r>
      <w:r w:rsidR="00450126" w:rsidRPr="0070574C">
        <w:t xml:space="preserve"> probabilidad </w:t>
      </w:r>
      <w:r w:rsidRPr="0070574C">
        <w:t>de que</w:t>
      </w:r>
      <w:r w:rsidR="00450126" w:rsidRPr="0070574C">
        <w:t xml:space="preserve"> las amenazas identificadas </w:t>
      </w:r>
      <w:r w:rsidRPr="0070574C">
        <w:t>se presenten en el Poder Judicial</w:t>
      </w:r>
      <w:r w:rsidR="00450126" w:rsidRPr="0070574C">
        <w:t xml:space="preserve">. Para ello </w:t>
      </w:r>
      <w:r w:rsidRPr="0070574C">
        <w:t>se toma en cuenta l</w:t>
      </w:r>
      <w:r w:rsidR="00450126" w:rsidRPr="0070574C">
        <w:t>a frecuencia</w:t>
      </w:r>
      <w:r w:rsidR="0051537C">
        <w:t xml:space="preserve"> (o recurrencia)</w:t>
      </w:r>
      <w:r w:rsidR="00450126" w:rsidRPr="0070574C">
        <w:t xml:space="preserve"> con la que </w:t>
      </w:r>
      <w:r w:rsidRPr="0070574C">
        <w:t xml:space="preserve">los factores fueron identificados y las experiencias vividas de su </w:t>
      </w:r>
      <w:r w:rsidR="00450126" w:rsidRPr="0070574C">
        <w:t>materialización</w:t>
      </w:r>
      <w:r w:rsidRPr="0070574C">
        <w:t>; así como la cantidad de los procesos o servicios a los cuales podría afectar, que se valora a nivel global (institucional)</w:t>
      </w:r>
      <w:r w:rsidR="00450126" w:rsidRPr="0070574C">
        <w:t xml:space="preserve">. </w:t>
      </w:r>
    </w:p>
    <w:p w14:paraId="5A41D57F" w14:textId="77777777" w:rsidR="00C15A05" w:rsidRPr="0070574C" w:rsidRDefault="00C15A05" w:rsidP="009D09DC">
      <w:pPr>
        <w:spacing w:after="0" w:line="240" w:lineRule="auto"/>
      </w:pPr>
    </w:p>
    <w:p w14:paraId="10BB6AA9" w14:textId="237F4085" w:rsidR="00450126" w:rsidRPr="0070574C" w:rsidRDefault="00450126" w:rsidP="009D09DC">
      <w:pPr>
        <w:spacing w:after="0" w:line="240" w:lineRule="auto"/>
      </w:pPr>
      <w:r w:rsidRPr="00994004">
        <w:t xml:space="preserve">En la </w:t>
      </w:r>
      <w:r w:rsidR="00E739AF" w:rsidRPr="00994004">
        <w:t>t</w:t>
      </w:r>
      <w:r w:rsidRPr="00994004">
        <w:t xml:space="preserve">abla </w:t>
      </w:r>
      <w:r w:rsidR="00C15A05" w:rsidRPr="00994004">
        <w:t>1</w:t>
      </w:r>
      <w:r w:rsidRPr="00994004">
        <w:t xml:space="preserve"> se muestran los criterios para la evaluación de la probabilidad definidos en el SEVRI-PJ.</w:t>
      </w:r>
      <w:r w:rsidRPr="0070574C">
        <w:t xml:space="preserve"> </w:t>
      </w:r>
    </w:p>
    <w:p w14:paraId="204BBBA1" w14:textId="7B54166F" w:rsidR="00CA04EC" w:rsidRDefault="00CA04EC">
      <w:pPr>
        <w:spacing w:after="160" w:line="259" w:lineRule="auto"/>
        <w:ind w:left="0" w:right="0" w:firstLine="0"/>
        <w:jc w:val="left"/>
      </w:pPr>
      <w:r>
        <w:br w:type="page"/>
      </w:r>
    </w:p>
    <w:p w14:paraId="63ED92F6" w14:textId="77777777" w:rsidR="00C15A05" w:rsidRPr="0070574C" w:rsidRDefault="00C15A05" w:rsidP="009D09DC">
      <w:pPr>
        <w:spacing w:after="0" w:line="240" w:lineRule="auto"/>
        <w:ind w:left="-5" w:right="94"/>
      </w:pPr>
    </w:p>
    <w:p w14:paraId="3A85B717" w14:textId="77E03F18" w:rsidR="00C15A05" w:rsidRPr="0070574C" w:rsidRDefault="00C15A05" w:rsidP="009D09DC">
      <w:pPr>
        <w:pStyle w:val="Ttulo2"/>
        <w:spacing w:after="0" w:line="240" w:lineRule="auto"/>
        <w:jc w:val="both"/>
        <w:rPr>
          <w:sz w:val="22"/>
        </w:rPr>
      </w:pPr>
      <w:bookmarkStart w:id="9" w:name="_Toc155778520"/>
      <w:r w:rsidRPr="0070574C">
        <w:rPr>
          <w:sz w:val="22"/>
        </w:rPr>
        <w:t xml:space="preserve">Tabla 1: </w:t>
      </w:r>
      <w:r w:rsidR="008C59DE" w:rsidRPr="0070574C">
        <w:rPr>
          <w:sz w:val="22"/>
        </w:rPr>
        <w:t>Porcentaje asociada a la probabilidad de ocurrencia del riesgo.</w:t>
      </w:r>
      <w:bookmarkEnd w:id="9"/>
      <w:r w:rsidR="008C59DE" w:rsidRPr="0070574C">
        <w:rPr>
          <w:sz w:val="22"/>
        </w:rPr>
        <w:t xml:space="preserve"> </w:t>
      </w:r>
      <w:r w:rsidRPr="0070574C">
        <w:rPr>
          <w:sz w:val="22"/>
        </w:rPr>
        <w:t xml:space="preserve"> </w:t>
      </w:r>
    </w:p>
    <w:p w14:paraId="00F78461" w14:textId="77777777" w:rsidR="00450126" w:rsidRPr="0070574C" w:rsidRDefault="00450126" w:rsidP="009D09DC">
      <w:pPr>
        <w:spacing w:after="0" w:line="240" w:lineRule="auto"/>
        <w:ind w:left="-5" w:right="94"/>
      </w:pPr>
    </w:p>
    <w:tbl>
      <w:tblPr>
        <w:tblStyle w:val="Tablaconcuadrcula"/>
        <w:tblW w:w="0" w:type="auto"/>
        <w:jc w:val="center"/>
        <w:tblLook w:val="04A0" w:firstRow="1" w:lastRow="0" w:firstColumn="1" w:lastColumn="0" w:noHBand="0" w:noVBand="1"/>
      </w:tblPr>
      <w:tblGrid>
        <w:gridCol w:w="4466"/>
        <w:gridCol w:w="1908"/>
      </w:tblGrid>
      <w:tr w:rsidR="00C15A05" w:rsidRPr="0070574C" w14:paraId="22CB580F" w14:textId="77777777" w:rsidTr="0066722B">
        <w:trPr>
          <w:trHeight w:val="428"/>
          <w:jc w:val="center"/>
        </w:trPr>
        <w:tc>
          <w:tcPr>
            <w:tcW w:w="4466" w:type="dxa"/>
            <w:shd w:val="clear" w:color="auto" w:fill="002060"/>
            <w:vAlign w:val="center"/>
          </w:tcPr>
          <w:p w14:paraId="039EE3D6" w14:textId="7D66BCE9" w:rsidR="00C15A05" w:rsidRPr="0070574C" w:rsidRDefault="00C15A05" w:rsidP="009D09DC">
            <w:pPr>
              <w:spacing w:after="0" w:line="240" w:lineRule="auto"/>
              <w:ind w:left="0" w:right="0" w:firstLine="0"/>
              <w:jc w:val="center"/>
              <w:rPr>
                <w:b/>
                <w:bCs/>
                <w:color w:val="auto"/>
              </w:rPr>
            </w:pPr>
            <w:r w:rsidRPr="0070574C">
              <w:rPr>
                <w:b/>
                <w:bCs/>
                <w:color w:val="auto"/>
              </w:rPr>
              <w:t>Probabilidad de ocurrencia</w:t>
            </w:r>
          </w:p>
        </w:tc>
        <w:tc>
          <w:tcPr>
            <w:tcW w:w="1908" w:type="dxa"/>
            <w:shd w:val="clear" w:color="auto" w:fill="002060"/>
            <w:vAlign w:val="center"/>
          </w:tcPr>
          <w:p w14:paraId="019741FE" w14:textId="5C3ACF1C" w:rsidR="00C15A05" w:rsidRPr="0070574C" w:rsidRDefault="00C15A05" w:rsidP="009D09DC">
            <w:pPr>
              <w:spacing w:after="0" w:line="240" w:lineRule="auto"/>
              <w:ind w:left="0" w:right="0" w:firstLine="0"/>
              <w:jc w:val="center"/>
              <w:rPr>
                <w:b/>
                <w:bCs/>
                <w:color w:val="auto"/>
              </w:rPr>
            </w:pPr>
            <w:r w:rsidRPr="0070574C">
              <w:rPr>
                <w:b/>
                <w:bCs/>
                <w:color w:val="auto"/>
              </w:rPr>
              <w:t>Porcentaje</w:t>
            </w:r>
          </w:p>
        </w:tc>
      </w:tr>
      <w:tr w:rsidR="00C15A05" w:rsidRPr="0070574C" w14:paraId="29210418" w14:textId="77777777" w:rsidTr="0070574C">
        <w:trPr>
          <w:jc w:val="center"/>
        </w:trPr>
        <w:tc>
          <w:tcPr>
            <w:tcW w:w="4466" w:type="dxa"/>
            <w:vAlign w:val="center"/>
          </w:tcPr>
          <w:p w14:paraId="6DFE066C" w14:textId="247BF83A" w:rsidR="00C15A05" w:rsidRPr="0070574C" w:rsidRDefault="00C15A05" w:rsidP="009D09DC">
            <w:pPr>
              <w:spacing w:after="0" w:line="240" w:lineRule="auto"/>
              <w:ind w:left="0" w:right="0" w:firstLine="0"/>
              <w:jc w:val="center"/>
              <w:rPr>
                <w:color w:val="auto"/>
              </w:rPr>
            </w:pPr>
            <w:r w:rsidRPr="0070574C">
              <w:rPr>
                <w:color w:val="auto"/>
              </w:rPr>
              <w:t>Muy probable</w:t>
            </w:r>
          </w:p>
        </w:tc>
        <w:tc>
          <w:tcPr>
            <w:tcW w:w="1908" w:type="dxa"/>
            <w:vAlign w:val="center"/>
          </w:tcPr>
          <w:p w14:paraId="454953CF" w14:textId="508D3254" w:rsidR="00C15A05" w:rsidRPr="0070574C" w:rsidRDefault="00C15A05" w:rsidP="009D09DC">
            <w:pPr>
              <w:spacing w:after="0" w:line="240" w:lineRule="auto"/>
              <w:ind w:left="0" w:right="0" w:firstLine="0"/>
              <w:jc w:val="center"/>
              <w:rPr>
                <w:color w:val="auto"/>
              </w:rPr>
            </w:pPr>
            <w:r w:rsidRPr="0070574C">
              <w:rPr>
                <w:color w:val="auto"/>
              </w:rPr>
              <w:t>90</w:t>
            </w:r>
          </w:p>
        </w:tc>
      </w:tr>
      <w:tr w:rsidR="00C15A05" w:rsidRPr="0070574C" w14:paraId="0D08049A" w14:textId="77777777" w:rsidTr="0070574C">
        <w:trPr>
          <w:jc w:val="center"/>
        </w:trPr>
        <w:tc>
          <w:tcPr>
            <w:tcW w:w="4466" w:type="dxa"/>
            <w:vAlign w:val="center"/>
          </w:tcPr>
          <w:p w14:paraId="72A6C2AA" w14:textId="3A064DC7" w:rsidR="00C15A05" w:rsidRPr="0070574C" w:rsidRDefault="00C15A05" w:rsidP="009D09DC">
            <w:pPr>
              <w:spacing w:after="0" w:line="240" w:lineRule="auto"/>
              <w:ind w:left="0" w:right="0" w:firstLine="0"/>
              <w:jc w:val="center"/>
              <w:rPr>
                <w:color w:val="auto"/>
              </w:rPr>
            </w:pPr>
            <w:r w:rsidRPr="0070574C">
              <w:rPr>
                <w:color w:val="auto"/>
              </w:rPr>
              <w:t>Bastante probable</w:t>
            </w:r>
          </w:p>
        </w:tc>
        <w:tc>
          <w:tcPr>
            <w:tcW w:w="1908" w:type="dxa"/>
            <w:vAlign w:val="center"/>
          </w:tcPr>
          <w:p w14:paraId="0286EB92" w14:textId="03C451FC" w:rsidR="00C15A05" w:rsidRPr="0070574C" w:rsidRDefault="00C15A05" w:rsidP="009D09DC">
            <w:pPr>
              <w:spacing w:after="0" w:line="240" w:lineRule="auto"/>
              <w:ind w:left="0" w:right="0" w:firstLine="0"/>
              <w:jc w:val="center"/>
              <w:rPr>
                <w:color w:val="auto"/>
              </w:rPr>
            </w:pPr>
            <w:r w:rsidRPr="0070574C">
              <w:rPr>
                <w:color w:val="auto"/>
              </w:rPr>
              <w:t>70</w:t>
            </w:r>
          </w:p>
        </w:tc>
      </w:tr>
      <w:tr w:rsidR="00C15A05" w:rsidRPr="0070574C" w14:paraId="26C9A7B9" w14:textId="77777777" w:rsidTr="0070574C">
        <w:trPr>
          <w:jc w:val="center"/>
        </w:trPr>
        <w:tc>
          <w:tcPr>
            <w:tcW w:w="4466" w:type="dxa"/>
            <w:vAlign w:val="center"/>
          </w:tcPr>
          <w:p w14:paraId="07A54325" w14:textId="69D9C4B6" w:rsidR="00C15A05" w:rsidRPr="0070574C" w:rsidRDefault="00C15A05" w:rsidP="009D09DC">
            <w:pPr>
              <w:spacing w:after="0" w:line="240" w:lineRule="auto"/>
              <w:ind w:left="0" w:right="0" w:firstLine="0"/>
              <w:jc w:val="center"/>
              <w:rPr>
                <w:color w:val="auto"/>
              </w:rPr>
            </w:pPr>
            <w:r w:rsidRPr="0070574C">
              <w:rPr>
                <w:color w:val="auto"/>
              </w:rPr>
              <w:t>Probable</w:t>
            </w:r>
          </w:p>
        </w:tc>
        <w:tc>
          <w:tcPr>
            <w:tcW w:w="1908" w:type="dxa"/>
            <w:vAlign w:val="center"/>
          </w:tcPr>
          <w:p w14:paraId="6A0D9994" w14:textId="4FE915BC" w:rsidR="00C15A05" w:rsidRPr="0070574C" w:rsidRDefault="00C15A05" w:rsidP="009D09DC">
            <w:pPr>
              <w:spacing w:after="0" w:line="240" w:lineRule="auto"/>
              <w:ind w:left="0" w:right="0" w:firstLine="0"/>
              <w:jc w:val="center"/>
              <w:rPr>
                <w:color w:val="auto"/>
              </w:rPr>
            </w:pPr>
            <w:r w:rsidRPr="0070574C">
              <w:rPr>
                <w:color w:val="auto"/>
              </w:rPr>
              <w:t>50</w:t>
            </w:r>
          </w:p>
        </w:tc>
      </w:tr>
      <w:tr w:rsidR="00C15A05" w:rsidRPr="0070574C" w14:paraId="595B2BF3" w14:textId="77777777" w:rsidTr="0070574C">
        <w:trPr>
          <w:jc w:val="center"/>
        </w:trPr>
        <w:tc>
          <w:tcPr>
            <w:tcW w:w="4466" w:type="dxa"/>
            <w:vAlign w:val="center"/>
          </w:tcPr>
          <w:p w14:paraId="213438CE" w14:textId="719A1C1A" w:rsidR="00C15A05" w:rsidRPr="0070574C" w:rsidRDefault="00C15A05" w:rsidP="009D09DC">
            <w:pPr>
              <w:spacing w:after="0" w:line="240" w:lineRule="auto"/>
              <w:ind w:left="0" w:right="0" w:firstLine="0"/>
              <w:jc w:val="center"/>
              <w:rPr>
                <w:color w:val="auto"/>
              </w:rPr>
            </w:pPr>
            <w:r w:rsidRPr="0070574C">
              <w:rPr>
                <w:color w:val="auto"/>
              </w:rPr>
              <w:t>Poco probable</w:t>
            </w:r>
          </w:p>
        </w:tc>
        <w:tc>
          <w:tcPr>
            <w:tcW w:w="1908" w:type="dxa"/>
            <w:vAlign w:val="center"/>
          </w:tcPr>
          <w:p w14:paraId="6B73ED15" w14:textId="10EEF265" w:rsidR="00C15A05" w:rsidRPr="0070574C" w:rsidRDefault="00C15A05" w:rsidP="009D09DC">
            <w:pPr>
              <w:spacing w:after="0" w:line="240" w:lineRule="auto"/>
              <w:ind w:left="0" w:right="0" w:firstLine="0"/>
              <w:jc w:val="center"/>
              <w:rPr>
                <w:color w:val="auto"/>
              </w:rPr>
            </w:pPr>
            <w:r w:rsidRPr="0070574C">
              <w:rPr>
                <w:color w:val="auto"/>
              </w:rPr>
              <w:t>30</w:t>
            </w:r>
          </w:p>
        </w:tc>
      </w:tr>
      <w:tr w:rsidR="00C15A05" w:rsidRPr="0070574C" w14:paraId="52C2548E" w14:textId="77777777" w:rsidTr="0070574C">
        <w:trPr>
          <w:jc w:val="center"/>
        </w:trPr>
        <w:tc>
          <w:tcPr>
            <w:tcW w:w="4466" w:type="dxa"/>
            <w:vAlign w:val="center"/>
          </w:tcPr>
          <w:p w14:paraId="19B1E3B8" w14:textId="5354A711" w:rsidR="00C15A05" w:rsidRPr="0070574C" w:rsidRDefault="00C15A05" w:rsidP="009D09DC">
            <w:pPr>
              <w:spacing w:after="0" w:line="240" w:lineRule="auto"/>
              <w:ind w:left="0" w:right="0" w:firstLine="0"/>
              <w:jc w:val="center"/>
              <w:rPr>
                <w:color w:val="auto"/>
              </w:rPr>
            </w:pPr>
            <w:r w:rsidRPr="0070574C">
              <w:rPr>
                <w:color w:val="auto"/>
              </w:rPr>
              <w:t>Improbable</w:t>
            </w:r>
          </w:p>
        </w:tc>
        <w:tc>
          <w:tcPr>
            <w:tcW w:w="1908" w:type="dxa"/>
            <w:vAlign w:val="center"/>
          </w:tcPr>
          <w:p w14:paraId="5879C689" w14:textId="57DB278F" w:rsidR="00C15A05" w:rsidRPr="0070574C" w:rsidRDefault="00C15A05" w:rsidP="009D09DC">
            <w:pPr>
              <w:spacing w:after="0" w:line="240" w:lineRule="auto"/>
              <w:ind w:left="0" w:right="0" w:firstLine="0"/>
              <w:jc w:val="center"/>
              <w:rPr>
                <w:color w:val="auto"/>
              </w:rPr>
            </w:pPr>
            <w:r w:rsidRPr="0070574C">
              <w:rPr>
                <w:color w:val="auto"/>
              </w:rPr>
              <w:t>10</w:t>
            </w:r>
          </w:p>
        </w:tc>
      </w:tr>
    </w:tbl>
    <w:p w14:paraId="329E2C72" w14:textId="221FF169" w:rsidR="00450126" w:rsidRPr="0070574C" w:rsidRDefault="00450126" w:rsidP="009D09DC">
      <w:pPr>
        <w:spacing w:after="0" w:line="240" w:lineRule="auto"/>
        <w:ind w:left="-5" w:right="0"/>
        <w:jc w:val="left"/>
        <w:rPr>
          <w:color w:val="A5A5A5"/>
        </w:rPr>
      </w:pPr>
    </w:p>
    <w:p w14:paraId="2AC360E1" w14:textId="1906C892" w:rsidR="00450126" w:rsidRPr="0070574C" w:rsidRDefault="008C59DE" w:rsidP="009D09DC">
      <w:pPr>
        <w:spacing w:after="0" w:line="240" w:lineRule="auto"/>
        <w:ind w:left="703" w:right="94" w:firstLine="713"/>
      </w:pPr>
      <w:r w:rsidRPr="0070574C">
        <w:t>Fuente: SEVRI-PJ.</w:t>
      </w:r>
    </w:p>
    <w:p w14:paraId="7D7E5065" w14:textId="457152FE" w:rsidR="008C59DE" w:rsidRDefault="008C59DE" w:rsidP="009D09DC">
      <w:pPr>
        <w:spacing w:after="0" w:line="240" w:lineRule="auto"/>
        <w:ind w:left="-5" w:right="94"/>
      </w:pPr>
    </w:p>
    <w:p w14:paraId="16D95E7C" w14:textId="331B63E7" w:rsidR="00450126" w:rsidRPr="0070574C" w:rsidRDefault="00450126" w:rsidP="009D09DC">
      <w:pPr>
        <w:pStyle w:val="Ttulo4"/>
        <w:tabs>
          <w:tab w:val="center" w:pos="2629"/>
        </w:tabs>
        <w:spacing w:after="0" w:line="240" w:lineRule="auto"/>
        <w:ind w:left="-15" w:firstLine="0"/>
        <w:jc w:val="left"/>
        <w:rPr>
          <w:sz w:val="22"/>
        </w:rPr>
      </w:pPr>
      <w:r w:rsidRPr="0070574C">
        <w:rPr>
          <w:sz w:val="22"/>
        </w:rPr>
        <w:t xml:space="preserve">Evaluación del impacto </w:t>
      </w:r>
    </w:p>
    <w:p w14:paraId="3CD4738E" w14:textId="347478DA" w:rsidR="00450126" w:rsidRPr="0070574C" w:rsidRDefault="00450126" w:rsidP="009D09DC">
      <w:pPr>
        <w:spacing w:after="0" w:line="240" w:lineRule="auto"/>
      </w:pPr>
    </w:p>
    <w:p w14:paraId="70BE9E0F" w14:textId="2D30C81B" w:rsidR="00450126" w:rsidRPr="0070574C" w:rsidRDefault="00B34DF4" w:rsidP="009D09DC">
      <w:pPr>
        <w:spacing w:after="0" w:line="240" w:lineRule="auto"/>
        <w:ind w:left="-5" w:right="94"/>
      </w:pPr>
      <w:r w:rsidRPr="0070574C">
        <w:t xml:space="preserve">Al contar con las categorías de </w:t>
      </w:r>
      <w:r w:rsidR="00450126" w:rsidRPr="0070574C">
        <w:t xml:space="preserve">riesgos </w:t>
      </w:r>
      <w:r w:rsidRPr="0070574C">
        <w:t xml:space="preserve">de disrupción identificados y sus diferentes factores, se considera </w:t>
      </w:r>
      <w:r w:rsidR="00450126" w:rsidRPr="0070574C">
        <w:t xml:space="preserve">la magnitud del impacto </w:t>
      </w:r>
      <w:r w:rsidR="00E739AF" w:rsidRPr="0070574C">
        <w:t>a nivel global</w:t>
      </w:r>
      <w:r w:rsidR="00450126" w:rsidRPr="0070574C">
        <w:t xml:space="preserve"> (en consecuencia, en la </w:t>
      </w:r>
      <w:r w:rsidR="00E739AF" w:rsidRPr="0070574C">
        <w:t>i</w:t>
      </w:r>
      <w:r w:rsidR="00450126" w:rsidRPr="0070574C">
        <w:t xml:space="preserve">nstitución), tomando en cuenta </w:t>
      </w:r>
      <w:r w:rsidR="00E739AF" w:rsidRPr="0070574C">
        <w:t>la experiencia acumulada y los procesos o servicios a los cuales afecta cada caso</w:t>
      </w:r>
      <w:r w:rsidR="00450126" w:rsidRPr="0070574C">
        <w:t xml:space="preserve">.  </w:t>
      </w:r>
    </w:p>
    <w:p w14:paraId="5BC28B93" w14:textId="77777777" w:rsidR="00450126" w:rsidRPr="0070574C" w:rsidRDefault="00450126" w:rsidP="009D09DC">
      <w:pPr>
        <w:spacing w:after="0" w:line="240" w:lineRule="auto"/>
        <w:ind w:left="-5" w:right="94"/>
      </w:pPr>
    </w:p>
    <w:p w14:paraId="5171766B" w14:textId="76C715D9" w:rsidR="00450126" w:rsidRPr="0070574C" w:rsidRDefault="00450126" w:rsidP="009D09DC">
      <w:pPr>
        <w:spacing w:after="0" w:line="240" w:lineRule="auto"/>
        <w:ind w:left="-5" w:right="94"/>
      </w:pPr>
      <w:r w:rsidRPr="00994004">
        <w:t xml:space="preserve">La </w:t>
      </w:r>
      <w:r w:rsidR="00E739AF" w:rsidRPr="00994004">
        <w:t>t</w:t>
      </w:r>
      <w:r w:rsidRPr="00994004">
        <w:t xml:space="preserve">abla </w:t>
      </w:r>
      <w:r w:rsidR="00E739AF" w:rsidRPr="00994004">
        <w:t>2</w:t>
      </w:r>
      <w:r w:rsidRPr="00994004">
        <w:t xml:space="preserve"> muestra</w:t>
      </w:r>
      <w:r w:rsidRPr="0070574C">
        <w:t xml:space="preserve"> los criterios para la evaluación del impacto utilizados, los cuales se encuentran definidos en el SEVRI-PJ. </w:t>
      </w:r>
    </w:p>
    <w:p w14:paraId="08D8D5EB" w14:textId="79C55D5F" w:rsidR="00450126" w:rsidRPr="0070574C" w:rsidRDefault="00450126" w:rsidP="009D09DC">
      <w:pPr>
        <w:spacing w:after="0" w:line="240" w:lineRule="auto"/>
        <w:ind w:left="-5" w:right="94"/>
      </w:pPr>
    </w:p>
    <w:p w14:paraId="239C020B" w14:textId="56909063" w:rsidR="008C59DE" w:rsidRPr="004C379C" w:rsidRDefault="008C59DE" w:rsidP="009D09DC">
      <w:pPr>
        <w:pStyle w:val="Ttulo2"/>
        <w:spacing w:after="0" w:line="240" w:lineRule="auto"/>
        <w:jc w:val="both"/>
        <w:rPr>
          <w:sz w:val="22"/>
        </w:rPr>
      </w:pPr>
      <w:bookmarkStart w:id="10" w:name="_Toc155778521"/>
      <w:r w:rsidRPr="004C379C">
        <w:rPr>
          <w:sz w:val="22"/>
        </w:rPr>
        <w:t>Tabla 2: Puntaje asociada al impacto del riesgo.</w:t>
      </w:r>
      <w:bookmarkEnd w:id="10"/>
      <w:r w:rsidRPr="004C379C">
        <w:rPr>
          <w:sz w:val="22"/>
        </w:rPr>
        <w:t xml:space="preserve">  </w:t>
      </w:r>
    </w:p>
    <w:p w14:paraId="7176CA04" w14:textId="77777777" w:rsidR="008C59DE" w:rsidRPr="0070574C" w:rsidRDefault="008C59DE" w:rsidP="009D09DC">
      <w:pPr>
        <w:spacing w:after="0" w:line="240" w:lineRule="auto"/>
        <w:ind w:left="-5" w:right="94"/>
      </w:pPr>
    </w:p>
    <w:tbl>
      <w:tblPr>
        <w:tblStyle w:val="Tablaconcuadrcula"/>
        <w:tblW w:w="0" w:type="auto"/>
        <w:jc w:val="center"/>
        <w:tblLook w:val="04A0" w:firstRow="1" w:lastRow="0" w:firstColumn="1" w:lastColumn="0" w:noHBand="0" w:noVBand="1"/>
      </w:tblPr>
      <w:tblGrid>
        <w:gridCol w:w="4466"/>
        <w:gridCol w:w="1908"/>
      </w:tblGrid>
      <w:tr w:rsidR="00E739AF" w:rsidRPr="0070574C" w14:paraId="436CA705" w14:textId="77777777" w:rsidTr="0066722B">
        <w:trPr>
          <w:trHeight w:val="476"/>
          <w:jc w:val="center"/>
        </w:trPr>
        <w:tc>
          <w:tcPr>
            <w:tcW w:w="4466" w:type="dxa"/>
            <w:shd w:val="clear" w:color="auto" w:fill="002060"/>
            <w:vAlign w:val="center"/>
          </w:tcPr>
          <w:p w14:paraId="63796368" w14:textId="27452B95" w:rsidR="00E739AF" w:rsidRPr="0070574C" w:rsidRDefault="00E739AF" w:rsidP="009D09DC">
            <w:pPr>
              <w:spacing w:after="0" w:line="240" w:lineRule="auto"/>
              <w:ind w:left="0" w:right="0" w:firstLine="0"/>
              <w:jc w:val="center"/>
              <w:rPr>
                <w:b/>
                <w:bCs/>
                <w:color w:val="auto"/>
              </w:rPr>
            </w:pPr>
            <w:r w:rsidRPr="0070574C">
              <w:rPr>
                <w:b/>
                <w:bCs/>
                <w:color w:val="auto"/>
              </w:rPr>
              <w:t>Impacto</w:t>
            </w:r>
          </w:p>
        </w:tc>
        <w:tc>
          <w:tcPr>
            <w:tcW w:w="1908" w:type="dxa"/>
            <w:shd w:val="clear" w:color="auto" w:fill="002060"/>
            <w:vAlign w:val="center"/>
          </w:tcPr>
          <w:p w14:paraId="42E76DD0" w14:textId="6EFE998C" w:rsidR="00E739AF" w:rsidRPr="0070574C" w:rsidRDefault="00E739AF" w:rsidP="009D09DC">
            <w:pPr>
              <w:spacing w:after="0" w:line="240" w:lineRule="auto"/>
              <w:ind w:left="0" w:right="0" w:firstLine="0"/>
              <w:jc w:val="center"/>
              <w:rPr>
                <w:b/>
                <w:bCs/>
                <w:color w:val="auto"/>
              </w:rPr>
            </w:pPr>
            <w:r w:rsidRPr="0070574C">
              <w:rPr>
                <w:b/>
                <w:bCs/>
                <w:color w:val="auto"/>
              </w:rPr>
              <w:t>Puntaje</w:t>
            </w:r>
          </w:p>
        </w:tc>
      </w:tr>
      <w:tr w:rsidR="00E739AF" w:rsidRPr="0070574C" w14:paraId="6139D2EE" w14:textId="77777777" w:rsidTr="009848B6">
        <w:trPr>
          <w:jc w:val="center"/>
        </w:trPr>
        <w:tc>
          <w:tcPr>
            <w:tcW w:w="4466" w:type="dxa"/>
          </w:tcPr>
          <w:p w14:paraId="3A503838" w14:textId="32B513AE" w:rsidR="00E739AF" w:rsidRPr="0070574C" w:rsidRDefault="00E739AF" w:rsidP="009D09DC">
            <w:pPr>
              <w:spacing w:after="0" w:line="240" w:lineRule="auto"/>
              <w:ind w:left="0" w:right="0" w:firstLine="0"/>
              <w:jc w:val="center"/>
              <w:rPr>
                <w:color w:val="auto"/>
              </w:rPr>
            </w:pPr>
            <w:r w:rsidRPr="0070574C">
              <w:rPr>
                <w:color w:val="auto"/>
              </w:rPr>
              <w:t>Muy alto</w:t>
            </w:r>
          </w:p>
        </w:tc>
        <w:tc>
          <w:tcPr>
            <w:tcW w:w="1908" w:type="dxa"/>
          </w:tcPr>
          <w:p w14:paraId="3289882C" w14:textId="388CFE3C" w:rsidR="00E739AF" w:rsidRPr="0070574C" w:rsidRDefault="00E739AF" w:rsidP="009D09DC">
            <w:pPr>
              <w:spacing w:after="0" w:line="240" w:lineRule="auto"/>
              <w:ind w:left="0" w:right="0" w:firstLine="0"/>
              <w:jc w:val="center"/>
              <w:rPr>
                <w:color w:val="auto"/>
              </w:rPr>
            </w:pPr>
            <w:r w:rsidRPr="0070574C">
              <w:rPr>
                <w:color w:val="auto"/>
              </w:rPr>
              <w:t>5</w:t>
            </w:r>
          </w:p>
        </w:tc>
      </w:tr>
      <w:tr w:rsidR="00E739AF" w:rsidRPr="0070574C" w14:paraId="2BF78212" w14:textId="77777777" w:rsidTr="009848B6">
        <w:trPr>
          <w:jc w:val="center"/>
        </w:trPr>
        <w:tc>
          <w:tcPr>
            <w:tcW w:w="4466" w:type="dxa"/>
          </w:tcPr>
          <w:p w14:paraId="025DD13A" w14:textId="0FB22AB6" w:rsidR="00E739AF" w:rsidRPr="0070574C" w:rsidRDefault="00E739AF" w:rsidP="009D09DC">
            <w:pPr>
              <w:spacing w:after="0" w:line="240" w:lineRule="auto"/>
              <w:ind w:left="0" w:right="0" w:firstLine="0"/>
              <w:jc w:val="center"/>
              <w:rPr>
                <w:color w:val="auto"/>
              </w:rPr>
            </w:pPr>
            <w:r w:rsidRPr="0070574C">
              <w:rPr>
                <w:color w:val="auto"/>
              </w:rPr>
              <w:t>Alto</w:t>
            </w:r>
          </w:p>
        </w:tc>
        <w:tc>
          <w:tcPr>
            <w:tcW w:w="1908" w:type="dxa"/>
          </w:tcPr>
          <w:p w14:paraId="64304C99" w14:textId="1402109A" w:rsidR="00E739AF" w:rsidRPr="0070574C" w:rsidRDefault="00E739AF" w:rsidP="009D09DC">
            <w:pPr>
              <w:spacing w:after="0" w:line="240" w:lineRule="auto"/>
              <w:ind w:left="0" w:right="0" w:firstLine="0"/>
              <w:jc w:val="center"/>
              <w:rPr>
                <w:color w:val="auto"/>
              </w:rPr>
            </w:pPr>
            <w:r w:rsidRPr="0070574C">
              <w:rPr>
                <w:color w:val="auto"/>
              </w:rPr>
              <w:t>4</w:t>
            </w:r>
          </w:p>
        </w:tc>
      </w:tr>
      <w:tr w:rsidR="00E739AF" w:rsidRPr="0070574C" w14:paraId="7D0FAC12" w14:textId="77777777" w:rsidTr="009848B6">
        <w:trPr>
          <w:jc w:val="center"/>
        </w:trPr>
        <w:tc>
          <w:tcPr>
            <w:tcW w:w="4466" w:type="dxa"/>
          </w:tcPr>
          <w:p w14:paraId="5145BA04" w14:textId="100A482D" w:rsidR="00E739AF" w:rsidRPr="0070574C" w:rsidRDefault="00E739AF" w:rsidP="009D09DC">
            <w:pPr>
              <w:spacing w:after="0" w:line="240" w:lineRule="auto"/>
              <w:ind w:left="0" w:right="0" w:firstLine="0"/>
              <w:jc w:val="center"/>
              <w:rPr>
                <w:color w:val="auto"/>
              </w:rPr>
            </w:pPr>
            <w:r w:rsidRPr="0070574C">
              <w:rPr>
                <w:color w:val="auto"/>
              </w:rPr>
              <w:t>Moderado</w:t>
            </w:r>
          </w:p>
        </w:tc>
        <w:tc>
          <w:tcPr>
            <w:tcW w:w="1908" w:type="dxa"/>
          </w:tcPr>
          <w:p w14:paraId="7AFDFE3F" w14:textId="2E439E64" w:rsidR="00E739AF" w:rsidRPr="0070574C" w:rsidRDefault="00E739AF" w:rsidP="009D09DC">
            <w:pPr>
              <w:spacing w:after="0" w:line="240" w:lineRule="auto"/>
              <w:ind w:left="0" w:right="0" w:firstLine="0"/>
              <w:jc w:val="center"/>
              <w:rPr>
                <w:color w:val="auto"/>
              </w:rPr>
            </w:pPr>
            <w:r w:rsidRPr="0070574C">
              <w:rPr>
                <w:color w:val="auto"/>
              </w:rPr>
              <w:t>3</w:t>
            </w:r>
          </w:p>
        </w:tc>
      </w:tr>
      <w:tr w:rsidR="00E739AF" w:rsidRPr="0070574C" w14:paraId="25AB991E" w14:textId="77777777" w:rsidTr="009848B6">
        <w:trPr>
          <w:jc w:val="center"/>
        </w:trPr>
        <w:tc>
          <w:tcPr>
            <w:tcW w:w="4466" w:type="dxa"/>
          </w:tcPr>
          <w:p w14:paraId="5D493209" w14:textId="61E360B4" w:rsidR="00E739AF" w:rsidRPr="0070574C" w:rsidRDefault="00E739AF" w:rsidP="009D09DC">
            <w:pPr>
              <w:spacing w:after="0" w:line="240" w:lineRule="auto"/>
              <w:ind w:left="0" w:right="0" w:firstLine="0"/>
              <w:jc w:val="center"/>
              <w:rPr>
                <w:color w:val="auto"/>
              </w:rPr>
            </w:pPr>
            <w:r w:rsidRPr="0070574C">
              <w:rPr>
                <w:color w:val="auto"/>
              </w:rPr>
              <w:t>Bajo</w:t>
            </w:r>
          </w:p>
        </w:tc>
        <w:tc>
          <w:tcPr>
            <w:tcW w:w="1908" w:type="dxa"/>
          </w:tcPr>
          <w:p w14:paraId="5C117B14" w14:textId="73202FE0" w:rsidR="00E739AF" w:rsidRPr="0070574C" w:rsidRDefault="00E739AF" w:rsidP="009D09DC">
            <w:pPr>
              <w:spacing w:after="0" w:line="240" w:lineRule="auto"/>
              <w:ind w:left="0" w:right="0" w:firstLine="0"/>
              <w:jc w:val="center"/>
              <w:rPr>
                <w:color w:val="auto"/>
              </w:rPr>
            </w:pPr>
            <w:r w:rsidRPr="0070574C">
              <w:rPr>
                <w:color w:val="auto"/>
              </w:rPr>
              <w:t>2</w:t>
            </w:r>
          </w:p>
        </w:tc>
      </w:tr>
      <w:tr w:rsidR="00E739AF" w:rsidRPr="0070574C" w14:paraId="73C81A27" w14:textId="77777777" w:rsidTr="009848B6">
        <w:trPr>
          <w:jc w:val="center"/>
        </w:trPr>
        <w:tc>
          <w:tcPr>
            <w:tcW w:w="4466" w:type="dxa"/>
          </w:tcPr>
          <w:p w14:paraId="431DC820" w14:textId="664E79DC" w:rsidR="00E739AF" w:rsidRPr="0070574C" w:rsidRDefault="00E739AF" w:rsidP="009D09DC">
            <w:pPr>
              <w:spacing w:after="0" w:line="240" w:lineRule="auto"/>
              <w:ind w:left="0" w:right="0" w:firstLine="0"/>
              <w:jc w:val="center"/>
              <w:rPr>
                <w:color w:val="auto"/>
              </w:rPr>
            </w:pPr>
            <w:r w:rsidRPr="0070574C">
              <w:rPr>
                <w:color w:val="auto"/>
              </w:rPr>
              <w:t>Muy bajo</w:t>
            </w:r>
          </w:p>
        </w:tc>
        <w:tc>
          <w:tcPr>
            <w:tcW w:w="1908" w:type="dxa"/>
          </w:tcPr>
          <w:p w14:paraId="68933E40" w14:textId="34D9A481" w:rsidR="00E739AF" w:rsidRPr="0070574C" w:rsidRDefault="00E739AF" w:rsidP="009D09DC">
            <w:pPr>
              <w:spacing w:after="0" w:line="240" w:lineRule="auto"/>
              <w:ind w:left="0" w:right="0" w:firstLine="0"/>
              <w:jc w:val="center"/>
              <w:rPr>
                <w:color w:val="auto"/>
              </w:rPr>
            </w:pPr>
            <w:r w:rsidRPr="0070574C">
              <w:rPr>
                <w:color w:val="auto"/>
              </w:rPr>
              <w:t>1</w:t>
            </w:r>
          </w:p>
        </w:tc>
      </w:tr>
    </w:tbl>
    <w:p w14:paraId="16A8C424" w14:textId="77777777" w:rsidR="00E739AF" w:rsidRPr="0070574C" w:rsidRDefault="00E739AF" w:rsidP="009D09DC">
      <w:pPr>
        <w:spacing w:after="0" w:line="240" w:lineRule="auto"/>
        <w:ind w:left="-5" w:right="94"/>
      </w:pPr>
    </w:p>
    <w:p w14:paraId="3C5E2E41" w14:textId="77777777" w:rsidR="008C59DE" w:rsidRPr="0070574C" w:rsidRDefault="008C59DE" w:rsidP="009D09DC">
      <w:pPr>
        <w:spacing w:after="0" w:line="240" w:lineRule="auto"/>
        <w:ind w:left="703" w:right="94" w:firstLine="713"/>
      </w:pPr>
      <w:r w:rsidRPr="0070574C">
        <w:t>Fuente: SEVRI-PJ.</w:t>
      </w:r>
    </w:p>
    <w:p w14:paraId="287860BB" w14:textId="77777777" w:rsidR="00450126" w:rsidRPr="0070574C" w:rsidRDefault="00450126" w:rsidP="009D09DC">
      <w:pPr>
        <w:spacing w:after="0" w:line="240" w:lineRule="auto"/>
        <w:ind w:left="-5" w:right="0"/>
        <w:jc w:val="left"/>
      </w:pPr>
    </w:p>
    <w:p w14:paraId="4CE5FE9B" w14:textId="1AEC2FA3" w:rsidR="00450126" w:rsidRPr="0070574C" w:rsidRDefault="00450126" w:rsidP="009D09DC">
      <w:pPr>
        <w:pStyle w:val="Ttulo4"/>
        <w:tabs>
          <w:tab w:val="center" w:pos="3080"/>
        </w:tabs>
        <w:spacing w:after="0" w:line="240" w:lineRule="auto"/>
        <w:ind w:left="-15" w:firstLine="0"/>
        <w:jc w:val="left"/>
        <w:rPr>
          <w:sz w:val="22"/>
        </w:rPr>
      </w:pPr>
      <w:r w:rsidRPr="0070574C">
        <w:rPr>
          <w:sz w:val="22"/>
        </w:rPr>
        <w:t>Estimación del nivel de riesgo</w:t>
      </w:r>
      <w:r w:rsidR="00E739AF" w:rsidRPr="0070574C">
        <w:rPr>
          <w:sz w:val="22"/>
        </w:rPr>
        <w:t xml:space="preserve"> inherente </w:t>
      </w:r>
    </w:p>
    <w:p w14:paraId="71EC45F8" w14:textId="77777777" w:rsidR="00E739AF" w:rsidRPr="0070574C" w:rsidRDefault="00E739AF" w:rsidP="009D09DC">
      <w:pPr>
        <w:spacing w:after="0" w:line="240" w:lineRule="auto"/>
      </w:pPr>
    </w:p>
    <w:p w14:paraId="2E6556B4" w14:textId="34B0019F" w:rsidR="00450126" w:rsidRPr="0070574C" w:rsidRDefault="00450126" w:rsidP="009D09DC">
      <w:pPr>
        <w:spacing w:after="0" w:line="240" w:lineRule="auto"/>
        <w:ind w:left="-5" w:right="94"/>
      </w:pPr>
      <w:r w:rsidRPr="0070574C">
        <w:t xml:space="preserve">A partir de la evaluación del impacto de las amenazas de continuidad del servicio y de su probabilidad de ocurrencia, se realizó la estimación del nivel de riesgo </w:t>
      </w:r>
      <w:r w:rsidR="00E739AF" w:rsidRPr="0070574C">
        <w:t xml:space="preserve">inherente </w:t>
      </w:r>
      <w:r w:rsidRPr="0070574C">
        <w:t xml:space="preserve">para cada una de </w:t>
      </w:r>
      <w:r w:rsidR="00E739AF" w:rsidRPr="0070574C">
        <w:t xml:space="preserve">las categorías de riesgo </w:t>
      </w:r>
      <w:r w:rsidRPr="0070574C">
        <w:t>evaluad</w:t>
      </w:r>
      <w:r w:rsidR="00E739AF" w:rsidRPr="0070574C">
        <w:t>as</w:t>
      </w:r>
      <w:r w:rsidRPr="0070574C">
        <w:t xml:space="preserve">. El cálculo del riesgo estimado se realizó multiplicando el valor del impacto por el valor de la probabilidad. </w:t>
      </w:r>
    </w:p>
    <w:p w14:paraId="00BBFB6E" w14:textId="77777777" w:rsidR="00450126" w:rsidRPr="0070574C" w:rsidRDefault="00450126" w:rsidP="009D09DC">
      <w:pPr>
        <w:spacing w:after="0" w:line="240" w:lineRule="auto"/>
        <w:ind w:left="-5" w:right="94"/>
      </w:pPr>
    </w:p>
    <w:tbl>
      <w:tblPr>
        <w:tblStyle w:val="Tablaconcuadrcula"/>
        <w:tblW w:w="0" w:type="auto"/>
        <w:jc w:val="center"/>
        <w:tblLook w:val="04A0" w:firstRow="1" w:lastRow="0" w:firstColumn="1" w:lastColumn="0" w:noHBand="0" w:noVBand="1"/>
      </w:tblPr>
      <w:tblGrid>
        <w:gridCol w:w="5240"/>
      </w:tblGrid>
      <w:tr w:rsidR="0051537C" w14:paraId="0DBDA970" w14:textId="77777777" w:rsidTr="0051537C">
        <w:trPr>
          <w:jc w:val="center"/>
        </w:trPr>
        <w:tc>
          <w:tcPr>
            <w:tcW w:w="5240" w:type="dxa"/>
          </w:tcPr>
          <w:p w14:paraId="79FA2DD8" w14:textId="3049769F" w:rsidR="0051537C" w:rsidRPr="0051537C" w:rsidRDefault="0051537C" w:rsidP="0051537C">
            <w:pPr>
              <w:spacing w:after="0" w:line="240" w:lineRule="auto"/>
              <w:ind w:left="0" w:right="108" w:firstLine="0"/>
              <w:jc w:val="center"/>
              <w:rPr>
                <w:b/>
                <w:bCs/>
                <w:iCs/>
              </w:rPr>
            </w:pPr>
            <w:r w:rsidRPr="0051537C">
              <w:rPr>
                <w:b/>
                <w:bCs/>
                <w:iCs/>
                <w:color w:val="002060"/>
              </w:rPr>
              <w:t>Riesgo = Probabilidad</w:t>
            </w:r>
            <w:r>
              <w:rPr>
                <w:b/>
                <w:bCs/>
                <w:iCs/>
                <w:color w:val="002060"/>
              </w:rPr>
              <w:t xml:space="preserve"> de ocurrencia</w:t>
            </w:r>
            <w:r w:rsidRPr="0051537C">
              <w:rPr>
                <w:b/>
                <w:bCs/>
                <w:iCs/>
                <w:color w:val="002060"/>
              </w:rPr>
              <w:t xml:space="preserve"> x Impacto </w:t>
            </w:r>
          </w:p>
        </w:tc>
      </w:tr>
    </w:tbl>
    <w:p w14:paraId="6A314504" w14:textId="77777777" w:rsidR="00450126" w:rsidRPr="0070574C" w:rsidRDefault="00450126" w:rsidP="009D09DC">
      <w:pPr>
        <w:spacing w:after="0" w:line="240" w:lineRule="auto"/>
        <w:ind w:left="0" w:right="108" w:firstLine="0"/>
        <w:jc w:val="center"/>
      </w:pPr>
    </w:p>
    <w:p w14:paraId="0242A49B" w14:textId="2A9082AA" w:rsidR="009D09DC" w:rsidRDefault="00450126" w:rsidP="0051537C">
      <w:pPr>
        <w:spacing w:after="0" w:line="240" w:lineRule="auto"/>
        <w:ind w:left="-5" w:right="94"/>
      </w:pPr>
      <w:r w:rsidRPr="00994004">
        <w:t>La Tabla 3 muestra el valor de riesgo resultante para cada nivel de impacto y probabilidad definidos en el SEVRI-PJ.</w:t>
      </w:r>
      <w:r w:rsidRPr="0070574C">
        <w:t xml:space="preserve"> </w:t>
      </w:r>
    </w:p>
    <w:p w14:paraId="3598B2F5" w14:textId="77777777" w:rsidR="009D09DC" w:rsidRPr="0070574C" w:rsidRDefault="009D09DC" w:rsidP="009D09DC">
      <w:pPr>
        <w:spacing w:after="0" w:line="240" w:lineRule="auto"/>
        <w:ind w:left="-5" w:right="94"/>
      </w:pPr>
    </w:p>
    <w:p w14:paraId="7183A88B" w14:textId="37053ADE" w:rsidR="00450126" w:rsidRPr="005A54DB" w:rsidRDefault="00450126" w:rsidP="005A54DB">
      <w:pPr>
        <w:pStyle w:val="Ttulo2"/>
        <w:rPr>
          <w:sz w:val="22"/>
        </w:rPr>
      </w:pPr>
      <w:bookmarkStart w:id="11" w:name="_Toc155778522"/>
      <w:r w:rsidRPr="005A54DB">
        <w:rPr>
          <w:sz w:val="22"/>
        </w:rPr>
        <w:lastRenderedPageBreak/>
        <w:t xml:space="preserve">Tabla 3: Estimación nivel de riesgo </w:t>
      </w:r>
      <w:r w:rsidR="008C59DE" w:rsidRPr="005A54DB">
        <w:rPr>
          <w:sz w:val="22"/>
        </w:rPr>
        <w:t>inherente.</w:t>
      </w:r>
      <w:bookmarkEnd w:id="11"/>
    </w:p>
    <w:p w14:paraId="62E5D01C" w14:textId="3B2B4378" w:rsidR="00450126" w:rsidRPr="0070574C" w:rsidRDefault="00450126" w:rsidP="009D09DC">
      <w:pPr>
        <w:spacing w:after="0" w:line="240" w:lineRule="auto"/>
      </w:pPr>
    </w:p>
    <w:tbl>
      <w:tblPr>
        <w:tblW w:w="8784" w:type="dxa"/>
        <w:jc w:val="center"/>
        <w:tblCellMar>
          <w:left w:w="70" w:type="dxa"/>
          <w:right w:w="70" w:type="dxa"/>
        </w:tblCellMar>
        <w:tblLook w:val="04A0" w:firstRow="1" w:lastRow="0" w:firstColumn="1" w:lastColumn="0" w:noHBand="0" w:noVBand="1"/>
      </w:tblPr>
      <w:tblGrid>
        <w:gridCol w:w="1271"/>
        <w:gridCol w:w="1717"/>
        <w:gridCol w:w="1168"/>
        <w:gridCol w:w="1021"/>
        <w:gridCol w:w="1375"/>
        <w:gridCol w:w="2232"/>
      </w:tblGrid>
      <w:tr w:rsidR="00E739AF" w:rsidRPr="0070574C" w14:paraId="4A2CF976" w14:textId="77777777" w:rsidTr="009D09DC">
        <w:trPr>
          <w:trHeight w:val="1117"/>
          <w:tblHeader/>
          <w:jc w:val="center"/>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7C56475"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Escenario de riesgo</w:t>
            </w:r>
          </w:p>
        </w:tc>
        <w:tc>
          <w:tcPr>
            <w:tcW w:w="1717" w:type="dxa"/>
            <w:tcBorders>
              <w:top w:val="single" w:sz="4" w:space="0" w:color="auto"/>
              <w:left w:val="nil"/>
              <w:bottom w:val="single" w:sz="4" w:space="0" w:color="auto"/>
              <w:right w:val="single" w:sz="4" w:space="0" w:color="auto"/>
            </w:tcBorders>
            <w:shd w:val="clear" w:color="000000" w:fill="002060"/>
            <w:vAlign w:val="center"/>
            <w:hideMark/>
          </w:tcPr>
          <w:p w14:paraId="2AABA4BD"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 de ocurrencia (PO)</w:t>
            </w:r>
          </w:p>
        </w:tc>
        <w:tc>
          <w:tcPr>
            <w:tcW w:w="1168" w:type="dxa"/>
            <w:tcBorders>
              <w:top w:val="single" w:sz="4" w:space="0" w:color="auto"/>
              <w:left w:val="nil"/>
              <w:bottom w:val="single" w:sz="4" w:space="0" w:color="auto"/>
              <w:right w:val="single" w:sz="4" w:space="0" w:color="auto"/>
            </w:tcBorders>
            <w:shd w:val="clear" w:color="000000" w:fill="002060"/>
            <w:vAlign w:val="center"/>
            <w:hideMark/>
          </w:tcPr>
          <w:p w14:paraId="15DB9E09"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p w14:paraId="254A7BAA"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(I)</w:t>
            </w:r>
          </w:p>
        </w:tc>
        <w:tc>
          <w:tcPr>
            <w:tcW w:w="2396" w:type="dxa"/>
            <w:gridSpan w:val="2"/>
            <w:tcBorders>
              <w:top w:val="single" w:sz="4" w:space="0" w:color="auto"/>
              <w:left w:val="nil"/>
              <w:right w:val="single" w:sz="4" w:space="0" w:color="000000"/>
            </w:tcBorders>
            <w:shd w:val="clear" w:color="000000" w:fill="002060"/>
            <w:vAlign w:val="center"/>
            <w:hideMark/>
          </w:tcPr>
          <w:p w14:paraId="3576EBAB"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Nivel de riesgo inherente</w:t>
            </w:r>
          </w:p>
        </w:tc>
        <w:tc>
          <w:tcPr>
            <w:tcW w:w="2232" w:type="dxa"/>
            <w:tcBorders>
              <w:top w:val="single" w:sz="4" w:space="0" w:color="auto"/>
              <w:left w:val="nil"/>
              <w:bottom w:val="single" w:sz="4" w:space="0" w:color="auto"/>
              <w:right w:val="single" w:sz="4" w:space="0" w:color="auto"/>
            </w:tcBorders>
            <w:shd w:val="clear" w:color="000000" w:fill="002060"/>
            <w:vAlign w:val="center"/>
            <w:hideMark/>
          </w:tcPr>
          <w:p w14:paraId="2E3BE0D4" w14:textId="77777777" w:rsidR="00E739AF" w:rsidRPr="0070574C" w:rsidRDefault="00E739AF" w:rsidP="009D09DC">
            <w:pPr>
              <w:spacing w:after="0" w:line="240" w:lineRule="auto"/>
              <w:ind w:left="0" w:right="0" w:firstLine="0"/>
              <w:jc w:val="center"/>
              <w:rPr>
                <w:rFonts w:eastAsia="Times New Roman"/>
                <w:b/>
                <w:bCs/>
                <w:color w:val="FFFFFF"/>
              </w:rPr>
            </w:pPr>
            <w:r w:rsidRPr="0070574C">
              <w:rPr>
                <w:rFonts w:eastAsia="Times New Roman"/>
                <w:b/>
                <w:bCs/>
                <w:color w:val="FFFFFF"/>
              </w:rPr>
              <w:t>Justificación (Probabilidad e Impacto)</w:t>
            </w:r>
          </w:p>
        </w:tc>
      </w:tr>
      <w:tr w:rsidR="00E739AF" w:rsidRPr="0070574C" w14:paraId="5798AB38" w14:textId="77777777" w:rsidTr="009D09DC">
        <w:trPr>
          <w:trHeight w:val="1774"/>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6AF28B" w14:textId="77777777" w:rsidR="00E739AF" w:rsidRPr="0070574C" w:rsidRDefault="00E739AF" w:rsidP="009D09DC">
            <w:pPr>
              <w:spacing w:after="0" w:line="240" w:lineRule="auto"/>
              <w:ind w:left="0" w:right="0" w:firstLine="0"/>
              <w:jc w:val="left"/>
              <w:rPr>
                <w:rFonts w:eastAsia="Times New Roman"/>
                <w:b/>
                <w:bCs/>
              </w:rPr>
            </w:pPr>
            <w:r w:rsidRPr="0070574C">
              <w:rPr>
                <w:rFonts w:eastAsia="Times New Roman"/>
                <w:b/>
                <w:bCs/>
              </w:rPr>
              <w:t>Se cita el riesgo</w:t>
            </w:r>
          </w:p>
        </w:tc>
        <w:tc>
          <w:tcPr>
            <w:tcW w:w="1717" w:type="dxa"/>
            <w:tcBorders>
              <w:top w:val="nil"/>
              <w:left w:val="nil"/>
              <w:bottom w:val="single" w:sz="4" w:space="0" w:color="auto"/>
              <w:right w:val="single" w:sz="4" w:space="0" w:color="auto"/>
            </w:tcBorders>
            <w:shd w:val="clear" w:color="auto" w:fill="auto"/>
            <w:vAlign w:val="center"/>
            <w:hideMark/>
          </w:tcPr>
          <w:p w14:paraId="33E78DB2" w14:textId="77777777" w:rsidR="00E739AF" w:rsidRPr="0070574C" w:rsidRDefault="00E739AF" w:rsidP="009D09DC">
            <w:pPr>
              <w:spacing w:after="0" w:line="240" w:lineRule="auto"/>
              <w:ind w:left="0" w:right="0" w:firstLine="0"/>
              <w:jc w:val="center"/>
              <w:rPr>
                <w:rFonts w:eastAsia="Times New Roman"/>
              </w:rPr>
            </w:pPr>
            <w:r w:rsidRPr="0070574C">
              <w:rPr>
                <w:rFonts w:eastAsia="Times New Roman"/>
              </w:rPr>
              <w:t>Puntaje según categorías</w:t>
            </w:r>
          </w:p>
        </w:tc>
        <w:tc>
          <w:tcPr>
            <w:tcW w:w="1168" w:type="dxa"/>
            <w:tcBorders>
              <w:top w:val="nil"/>
              <w:left w:val="nil"/>
              <w:bottom w:val="single" w:sz="4" w:space="0" w:color="auto"/>
              <w:right w:val="single" w:sz="4" w:space="0" w:color="auto"/>
            </w:tcBorders>
            <w:shd w:val="clear" w:color="auto" w:fill="auto"/>
            <w:vAlign w:val="center"/>
            <w:hideMark/>
          </w:tcPr>
          <w:p w14:paraId="5533BF47" w14:textId="77777777" w:rsidR="00E739AF" w:rsidRPr="0070574C" w:rsidRDefault="00E739AF" w:rsidP="009D09DC">
            <w:pPr>
              <w:spacing w:after="0" w:line="240" w:lineRule="auto"/>
              <w:ind w:left="0" w:right="0" w:firstLine="0"/>
              <w:jc w:val="center"/>
              <w:rPr>
                <w:rFonts w:eastAsia="Times New Roman"/>
              </w:rPr>
            </w:pPr>
            <w:r w:rsidRPr="0070574C">
              <w:rPr>
                <w:rFonts w:eastAsia="Times New Roman"/>
              </w:rPr>
              <w:t>Puntaje según categorías</w:t>
            </w:r>
          </w:p>
        </w:tc>
        <w:tc>
          <w:tcPr>
            <w:tcW w:w="1021" w:type="dxa"/>
            <w:tcBorders>
              <w:top w:val="nil"/>
              <w:left w:val="nil"/>
              <w:bottom w:val="single" w:sz="4" w:space="0" w:color="auto"/>
              <w:right w:val="single" w:sz="4" w:space="0" w:color="auto"/>
            </w:tcBorders>
            <w:shd w:val="clear" w:color="000000" w:fill="auto"/>
            <w:vAlign w:val="center"/>
            <w:hideMark/>
          </w:tcPr>
          <w:p w14:paraId="3D3DE9EC" w14:textId="77777777" w:rsidR="00E739AF" w:rsidRPr="0070574C" w:rsidRDefault="00E739AF" w:rsidP="009D09DC">
            <w:pPr>
              <w:spacing w:after="0" w:line="240" w:lineRule="auto"/>
              <w:ind w:left="0" w:right="0" w:firstLine="0"/>
              <w:jc w:val="center"/>
              <w:rPr>
                <w:rFonts w:eastAsia="Times New Roman"/>
              </w:rPr>
            </w:pPr>
            <w:r w:rsidRPr="0070574C">
              <w:rPr>
                <w:rFonts w:eastAsia="Times New Roman"/>
              </w:rPr>
              <w:t xml:space="preserve">Producto obtenido de </w:t>
            </w:r>
          </w:p>
          <w:p w14:paraId="0B43E87E" w14:textId="77777777" w:rsidR="00E739AF" w:rsidRPr="0070574C" w:rsidRDefault="00E739AF" w:rsidP="009D09DC">
            <w:pPr>
              <w:spacing w:after="0" w:line="240" w:lineRule="auto"/>
              <w:ind w:left="0" w:right="0" w:firstLine="0"/>
              <w:jc w:val="center"/>
              <w:rPr>
                <w:rFonts w:eastAsia="Times New Roman"/>
              </w:rPr>
            </w:pPr>
            <w:r w:rsidRPr="0070574C">
              <w:rPr>
                <w:rFonts w:eastAsia="Times New Roman"/>
              </w:rPr>
              <w:t>(PO x I)</w:t>
            </w:r>
          </w:p>
          <w:p w14:paraId="473AD083" w14:textId="77777777" w:rsidR="00E739AF" w:rsidRPr="0070574C" w:rsidRDefault="00E739AF" w:rsidP="009D09DC">
            <w:pPr>
              <w:spacing w:after="0" w:line="240" w:lineRule="auto"/>
              <w:ind w:left="0" w:right="0" w:firstLine="0"/>
              <w:jc w:val="center"/>
              <w:rPr>
                <w:rFonts w:eastAsia="Times New Roman"/>
              </w:rPr>
            </w:pPr>
          </w:p>
        </w:tc>
        <w:tc>
          <w:tcPr>
            <w:tcW w:w="1375" w:type="dxa"/>
            <w:tcBorders>
              <w:top w:val="nil"/>
              <w:left w:val="nil"/>
              <w:bottom w:val="single" w:sz="4" w:space="0" w:color="auto"/>
              <w:right w:val="single" w:sz="4" w:space="0" w:color="auto"/>
            </w:tcBorders>
            <w:shd w:val="clear" w:color="000000" w:fill="auto"/>
            <w:vAlign w:val="center"/>
            <w:hideMark/>
          </w:tcPr>
          <w:p w14:paraId="365E07E8" w14:textId="77777777" w:rsidR="00E739AF" w:rsidRPr="0070574C" w:rsidRDefault="00E739AF" w:rsidP="009D09DC">
            <w:pPr>
              <w:spacing w:after="0" w:line="240" w:lineRule="auto"/>
              <w:ind w:left="0" w:right="0" w:firstLine="0"/>
              <w:jc w:val="center"/>
              <w:rPr>
                <w:rFonts w:eastAsia="Times New Roman"/>
              </w:rPr>
            </w:pPr>
            <w:r w:rsidRPr="0070574C">
              <w:rPr>
                <w:rFonts w:eastAsia="Times New Roman"/>
              </w:rPr>
              <w:t>Clasificación de la categoría según el puntaje obtenido</w:t>
            </w:r>
          </w:p>
        </w:tc>
        <w:tc>
          <w:tcPr>
            <w:tcW w:w="2232" w:type="dxa"/>
            <w:tcBorders>
              <w:top w:val="nil"/>
              <w:left w:val="nil"/>
              <w:bottom w:val="single" w:sz="4" w:space="0" w:color="auto"/>
              <w:right w:val="single" w:sz="4" w:space="0" w:color="auto"/>
            </w:tcBorders>
            <w:shd w:val="clear" w:color="auto" w:fill="auto"/>
            <w:vAlign w:val="center"/>
            <w:hideMark/>
          </w:tcPr>
          <w:p w14:paraId="506232B6" w14:textId="77777777" w:rsidR="00E739AF" w:rsidRPr="0070574C" w:rsidRDefault="00E739AF" w:rsidP="009D09DC">
            <w:pPr>
              <w:spacing w:after="0" w:line="240" w:lineRule="auto"/>
              <w:ind w:left="0" w:right="0" w:firstLine="0"/>
              <w:rPr>
                <w:rFonts w:eastAsia="Times New Roman"/>
              </w:rPr>
            </w:pPr>
            <w:r w:rsidRPr="0070574C">
              <w:rPr>
                <w:rFonts w:eastAsia="Times New Roman"/>
                <w:b/>
                <w:bCs/>
              </w:rPr>
              <w:t>PO:</w:t>
            </w:r>
            <w:r w:rsidRPr="0070574C">
              <w:rPr>
                <w:rFonts w:eastAsia="Times New Roman"/>
              </w:rPr>
              <w:t xml:space="preserve"> Se anota la justificación del valor de probabilidad asignada.</w:t>
            </w:r>
          </w:p>
          <w:p w14:paraId="62404B61" w14:textId="77777777" w:rsidR="00E739AF" w:rsidRPr="0070574C" w:rsidRDefault="00E739AF" w:rsidP="009D09DC">
            <w:pPr>
              <w:spacing w:after="0" w:line="240" w:lineRule="auto"/>
              <w:ind w:left="0" w:right="0" w:firstLine="0"/>
              <w:rPr>
                <w:rFonts w:eastAsia="Times New Roman"/>
              </w:rPr>
            </w:pPr>
            <w:r w:rsidRPr="0070574C">
              <w:rPr>
                <w:rFonts w:eastAsia="Times New Roman"/>
              </w:rPr>
              <w:br/>
            </w:r>
            <w:r w:rsidRPr="0070574C">
              <w:rPr>
                <w:rFonts w:eastAsia="Times New Roman"/>
                <w:b/>
                <w:bCs/>
              </w:rPr>
              <w:t>I:</w:t>
            </w:r>
            <w:r w:rsidRPr="0070574C">
              <w:rPr>
                <w:rFonts w:eastAsia="Times New Roman"/>
              </w:rPr>
              <w:t xml:space="preserve"> Se anota la justificación del valor de impacto asignado. </w:t>
            </w:r>
          </w:p>
        </w:tc>
      </w:tr>
    </w:tbl>
    <w:p w14:paraId="20937BCB" w14:textId="77777777" w:rsidR="009D09DC" w:rsidRDefault="009D09DC" w:rsidP="009D09DC">
      <w:pPr>
        <w:spacing w:after="0" w:line="240" w:lineRule="auto"/>
        <w:ind w:left="703" w:right="94" w:firstLine="713"/>
      </w:pPr>
    </w:p>
    <w:p w14:paraId="04213854" w14:textId="51B1799E" w:rsidR="008C59DE" w:rsidRPr="0070574C" w:rsidRDefault="008C59DE" w:rsidP="009D09DC">
      <w:pPr>
        <w:spacing w:after="0" w:line="240" w:lineRule="auto"/>
        <w:ind w:left="703" w:right="94" w:firstLine="713"/>
      </w:pPr>
      <w:r w:rsidRPr="0070574C">
        <w:t>Fuente: SEVRI-PJ.</w:t>
      </w:r>
    </w:p>
    <w:p w14:paraId="1CA91EB9" w14:textId="77777777" w:rsidR="009D09DC" w:rsidRDefault="009D09DC" w:rsidP="009D09DC">
      <w:pPr>
        <w:spacing w:after="0" w:line="240" w:lineRule="auto"/>
        <w:rPr>
          <w:b/>
          <w:bCs/>
          <w:color w:val="auto"/>
        </w:rPr>
      </w:pPr>
    </w:p>
    <w:p w14:paraId="17D690A5" w14:textId="5500D99C" w:rsidR="008C59DE" w:rsidRPr="00200706" w:rsidRDefault="008C59DE" w:rsidP="009D09DC">
      <w:pPr>
        <w:spacing w:after="0" w:line="240" w:lineRule="auto"/>
        <w:rPr>
          <w:b/>
          <w:bCs/>
          <w:color w:val="auto"/>
        </w:rPr>
      </w:pPr>
      <w:r w:rsidRPr="00200706">
        <w:rPr>
          <w:b/>
          <w:bCs/>
          <w:color w:val="auto"/>
        </w:rPr>
        <w:t xml:space="preserve">Valoración de riesgos </w:t>
      </w:r>
    </w:p>
    <w:p w14:paraId="1D77C6EF" w14:textId="77777777" w:rsidR="008C59DE" w:rsidRPr="0070574C" w:rsidRDefault="008C59DE" w:rsidP="009D09DC">
      <w:pPr>
        <w:spacing w:after="0" w:line="240" w:lineRule="auto"/>
        <w:ind w:left="-5" w:right="94"/>
      </w:pPr>
    </w:p>
    <w:p w14:paraId="1717931F" w14:textId="1C197880" w:rsidR="008C59DE" w:rsidRPr="0070574C" w:rsidRDefault="008C59DE" w:rsidP="009D09DC">
      <w:pPr>
        <w:spacing w:after="0" w:line="240" w:lineRule="auto"/>
        <w:ind w:left="-5" w:right="94"/>
      </w:pPr>
      <w:r w:rsidRPr="0070574C">
        <w:t xml:space="preserve">Con base en los resultados de la fase de análisis, se realiza la valoración de riesgos al comparar el registro de las categorías de riesgos de continuidad contra la declaración del apetito de riesgo o nivel de riesgo aceptable (NRA). </w:t>
      </w:r>
    </w:p>
    <w:p w14:paraId="421EE6DB" w14:textId="77777777" w:rsidR="008C59DE" w:rsidRPr="0070574C" w:rsidRDefault="008C59DE" w:rsidP="009D09DC">
      <w:pPr>
        <w:spacing w:after="0" w:line="240" w:lineRule="auto"/>
        <w:ind w:left="-5" w:right="94"/>
      </w:pPr>
    </w:p>
    <w:p w14:paraId="14C9FF61" w14:textId="1A17F552" w:rsidR="008850C6" w:rsidRDefault="008C59DE" w:rsidP="00CA04EC">
      <w:pPr>
        <w:spacing w:after="0" w:line="240" w:lineRule="auto"/>
        <w:ind w:left="-5" w:right="94"/>
      </w:pPr>
      <w:r w:rsidRPr="0070574C">
        <w:t xml:space="preserve">El apetito es el nivel de riesgo que </w:t>
      </w:r>
      <w:r w:rsidR="0070574C" w:rsidRPr="0070574C">
        <w:t>el Poder Judicial</w:t>
      </w:r>
      <w:r w:rsidRPr="0070574C">
        <w:t xml:space="preserve"> está dispuest</w:t>
      </w:r>
      <w:r w:rsidR="005A764E">
        <w:t>o</w:t>
      </w:r>
      <w:r w:rsidRPr="0070574C">
        <w:t xml:space="preserve"> a aceptar o tolerar en cualquier punto en el tiempo, por lo que cualquier riesgo que supere ese nivel debería ser administrado a fin de reducir su impacto o probabilidad de ocurrencia, al punto de que el nuevo nivel de riesgo pueda ser aceptado. </w:t>
      </w:r>
    </w:p>
    <w:p w14:paraId="242B0888" w14:textId="77777777" w:rsidR="00CA04EC" w:rsidRDefault="00CA04EC" w:rsidP="00CA04EC">
      <w:pPr>
        <w:spacing w:after="0" w:line="240" w:lineRule="auto"/>
        <w:ind w:left="-5" w:right="94"/>
      </w:pPr>
    </w:p>
    <w:p w14:paraId="698D5805" w14:textId="1A9FCB28" w:rsidR="0070574C" w:rsidRPr="0070574C" w:rsidRDefault="0070574C" w:rsidP="009D09DC">
      <w:pPr>
        <w:pStyle w:val="Ttulo2"/>
        <w:spacing w:after="0" w:line="240" w:lineRule="auto"/>
        <w:jc w:val="both"/>
        <w:rPr>
          <w:sz w:val="22"/>
        </w:rPr>
      </w:pPr>
      <w:bookmarkStart w:id="12" w:name="_Toc155778523"/>
      <w:r w:rsidRPr="0070574C">
        <w:rPr>
          <w:sz w:val="22"/>
        </w:rPr>
        <w:t>Tabla 4: Declaración del apetito de riesgo en el Poder Judicial.</w:t>
      </w:r>
      <w:bookmarkEnd w:id="12"/>
    </w:p>
    <w:p w14:paraId="6E76A595" w14:textId="77777777" w:rsidR="0070574C" w:rsidRPr="0070574C" w:rsidRDefault="0070574C" w:rsidP="009D09DC">
      <w:pPr>
        <w:spacing w:after="0" w:line="240" w:lineRule="auto"/>
      </w:pPr>
    </w:p>
    <w:tbl>
      <w:tblPr>
        <w:tblW w:w="8923" w:type="dxa"/>
        <w:jc w:val="center"/>
        <w:tblCellMar>
          <w:left w:w="70" w:type="dxa"/>
          <w:right w:w="70" w:type="dxa"/>
        </w:tblCellMar>
        <w:tblLook w:val="04A0" w:firstRow="1" w:lastRow="0" w:firstColumn="1" w:lastColumn="0" w:noHBand="0" w:noVBand="1"/>
      </w:tblPr>
      <w:tblGrid>
        <w:gridCol w:w="421"/>
        <w:gridCol w:w="2121"/>
        <w:gridCol w:w="1417"/>
        <w:gridCol w:w="1274"/>
        <w:gridCol w:w="1278"/>
        <w:gridCol w:w="1270"/>
        <w:gridCol w:w="1142"/>
      </w:tblGrid>
      <w:tr w:rsidR="0070574C" w:rsidRPr="0070574C" w14:paraId="2FDB9902" w14:textId="77777777" w:rsidTr="009848B6">
        <w:trPr>
          <w:trHeight w:val="290"/>
          <w:jc w:val="center"/>
        </w:trPr>
        <w:tc>
          <w:tcPr>
            <w:tcW w:w="421" w:type="dxa"/>
            <w:tcBorders>
              <w:top w:val="single" w:sz="8" w:space="0" w:color="auto"/>
              <w:left w:val="single" w:sz="8" w:space="0" w:color="auto"/>
              <w:bottom w:val="nil"/>
              <w:right w:val="nil"/>
            </w:tcBorders>
            <w:shd w:val="clear" w:color="000000" w:fill="002060"/>
            <w:noWrap/>
            <w:vAlign w:val="center"/>
            <w:hideMark/>
          </w:tcPr>
          <w:p w14:paraId="58BB494D"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 </w:t>
            </w:r>
          </w:p>
        </w:tc>
        <w:tc>
          <w:tcPr>
            <w:tcW w:w="2121" w:type="dxa"/>
            <w:tcBorders>
              <w:top w:val="single" w:sz="8" w:space="0" w:color="auto"/>
              <w:left w:val="nil"/>
              <w:bottom w:val="nil"/>
              <w:right w:val="nil"/>
            </w:tcBorders>
            <w:shd w:val="clear" w:color="000000" w:fill="002060"/>
            <w:noWrap/>
            <w:vAlign w:val="center"/>
            <w:hideMark/>
          </w:tcPr>
          <w:p w14:paraId="23F7F8B3"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 </w:t>
            </w:r>
          </w:p>
        </w:tc>
        <w:tc>
          <w:tcPr>
            <w:tcW w:w="6381" w:type="dxa"/>
            <w:gridSpan w:val="5"/>
            <w:tcBorders>
              <w:top w:val="single" w:sz="8" w:space="0" w:color="auto"/>
              <w:left w:val="single" w:sz="4" w:space="0" w:color="auto"/>
              <w:bottom w:val="single" w:sz="4" w:space="0" w:color="auto"/>
              <w:right w:val="single" w:sz="8" w:space="0" w:color="000000"/>
            </w:tcBorders>
            <w:shd w:val="clear" w:color="000000" w:fill="002060"/>
            <w:noWrap/>
            <w:vAlign w:val="center"/>
            <w:hideMark/>
          </w:tcPr>
          <w:p w14:paraId="7B0CA9D0" w14:textId="77777777" w:rsidR="0070574C" w:rsidRPr="0070574C" w:rsidRDefault="0070574C"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tc>
      </w:tr>
      <w:tr w:rsidR="0070574C" w:rsidRPr="0070574C" w14:paraId="1C649A60" w14:textId="77777777" w:rsidTr="009D09DC">
        <w:trPr>
          <w:trHeight w:val="567"/>
          <w:jc w:val="center"/>
        </w:trPr>
        <w:tc>
          <w:tcPr>
            <w:tcW w:w="421" w:type="dxa"/>
            <w:tcBorders>
              <w:top w:val="nil"/>
              <w:left w:val="single" w:sz="8" w:space="0" w:color="auto"/>
              <w:bottom w:val="nil"/>
              <w:right w:val="nil"/>
            </w:tcBorders>
            <w:shd w:val="clear" w:color="000000" w:fill="002060"/>
            <w:noWrap/>
            <w:vAlign w:val="center"/>
            <w:hideMark/>
          </w:tcPr>
          <w:p w14:paraId="1689B2BA"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 </w:t>
            </w:r>
          </w:p>
        </w:tc>
        <w:tc>
          <w:tcPr>
            <w:tcW w:w="2121" w:type="dxa"/>
            <w:tcBorders>
              <w:top w:val="nil"/>
              <w:left w:val="nil"/>
              <w:bottom w:val="nil"/>
              <w:right w:val="nil"/>
            </w:tcBorders>
            <w:shd w:val="clear" w:color="000000" w:fill="002060"/>
            <w:noWrap/>
            <w:vAlign w:val="center"/>
            <w:hideMark/>
          </w:tcPr>
          <w:p w14:paraId="3B9A4A9C"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 </w:t>
            </w:r>
          </w:p>
        </w:tc>
        <w:tc>
          <w:tcPr>
            <w:tcW w:w="1417" w:type="dxa"/>
            <w:tcBorders>
              <w:top w:val="nil"/>
              <w:left w:val="single" w:sz="4" w:space="0" w:color="auto"/>
              <w:bottom w:val="single" w:sz="4" w:space="0" w:color="auto"/>
              <w:right w:val="single" w:sz="4" w:space="0" w:color="auto"/>
            </w:tcBorders>
            <w:shd w:val="clear" w:color="000000" w:fill="D9E1F2"/>
            <w:vAlign w:val="center"/>
            <w:hideMark/>
          </w:tcPr>
          <w:p w14:paraId="292D0FA0"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Muy bajo</w:t>
            </w:r>
            <w:r w:rsidRPr="0070574C">
              <w:rPr>
                <w:rFonts w:eastAsia="Times New Roman"/>
                <w:b/>
                <w:bCs/>
              </w:rPr>
              <w:br/>
              <w:t>1</w:t>
            </w:r>
          </w:p>
        </w:tc>
        <w:tc>
          <w:tcPr>
            <w:tcW w:w="1274" w:type="dxa"/>
            <w:tcBorders>
              <w:top w:val="nil"/>
              <w:left w:val="nil"/>
              <w:bottom w:val="single" w:sz="4" w:space="0" w:color="auto"/>
              <w:right w:val="single" w:sz="4" w:space="0" w:color="auto"/>
            </w:tcBorders>
            <w:shd w:val="clear" w:color="000000" w:fill="D9E1F2"/>
            <w:vAlign w:val="center"/>
            <w:hideMark/>
          </w:tcPr>
          <w:p w14:paraId="40BD3582"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Bajo</w:t>
            </w:r>
            <w:r w:rsidRPr="0070574C">
              <w:rPr>
                <w:rFonts w:eastAsia="Times New Roman"/>
                <w:b/>
                <w:bCs/>
              </w:rPr>
              <w:br/>
              <w:t>2</w:t>
            </w:r>
          </w:p>
        </w:tc>
        <w:tc>
          <w:tcPr>
            <w:tcW w:w="1278" w:type="dxa"/>
            <w:tcBorders>
              <w:top w:val="nil"/>
              <w:left w:val="nil"/>
              <w:bottom w:val="single" w:sz="4" w:space="0" w:color="auto"/>
              <w:right w:val="single" w:sz="4" w:space="0" w:color="auto"/>
            </w:tcBorders>
            <w:shd w:val="clear" w:color="000000" w:fill="D9E1F2"/>
            <w:vAlign w:val="center"/>
            <w:hideMark/>
          </w:tcPr>
          <w:p w14:paraId="35BA8189"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Moderado</w:t>
            </w:r>
            <w:r w:rsidRPr="0070574C">
              <w:rPr>
                <w:rFonts w:eastAsia="Times New Roman"/>
                <w:b/>
                <w:bCs/>
              </w:rPr>
              <w:br/>
              <w:t>3</w:t>
            </w:r>
          </w:p>
        </w:tc>
        <w:tc>
          <w:tcPr>
            <w:tcW w:w="1270" w:type="dxa"/>
            <w:tcBorders>
              <w:top w:val="nil"/>
              <w:left w:val="nil"/>
              <w:bottom w:val="single" w:sz="4" w:space="0" w:color="auto"/>
              <w:right w:val="single" w:sz="4" w:space="0" w:color="auto"/>
            </w:tcBorders>
            <w:shd w:val="clear" w:color="000000" w:fill="D9E1F2"/>
            <w:vAlign w:val="center"/>
            <w:hideMark/>
          </w:tcPr>
          <w:p w14:paraId="4F083F48"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Alto</w:t>
            </w:r>
            <w:r w:rsidRPr="0070574C">
              <w:rPr>
                <w:rFonts w:eastAsia="Times New Roman"/>
                <w:b/>
                <w:bCs/>
              </w:rPr>
              <w:br/>
              <w:t>4</w:t>
            </w:r>
          </w:p>
        </w:tc>
        <w:tc>
          <w:tcPr>
            <w:tcW w:w="1142" w:type="dxa"/>
            <w:tcBorders>
              <w:top w:val="nil"/>
              <w:left w:val="nil"/>
              <w:bottom w:val="single" w:sz="4" w:space="0" w:color="auto"/>
              <w:right w:val="single" w:sz="8" w:space="0" w:color="auto"/>
            </w:tcBorders>
            <w:shd w:val="clear" w:color="000000" w:fill="D9E1F2"/>
            <w:vAlign w:val="center"/>
            <w:hideMark/>
          </w:tcPr>
          <w:p w14:paraId="0A70972F"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Muy alto</w:t>
            </w:r>
            <w:r w:rsidRPr="0070574C">
              <w:rPr>
                <w:rFonts w:eastAsia="Times New Roman"/>
                <w:b/>
                <w:bCs/>
              </w:rPr>
              <w:br/>
              <w:t>5</w:t>
            </w:r>
          </w:p>
        </w:tc>
      </w:tr>
      <w:tr w:rsidR="0070574C" w:rsidRPr="0070574C" w14:paraId="3282053F" w14:textId="77777777" w:rsidTr="009D09DC">
        <w:trPr>
          <w:trHeight w:val="567"/>
          <w:jc w:val="center"/>
        </w:trPr>
        <w:tc>
          <w:tcPr>
            <w:tcW w:w="421" w:type="dxa"/>
            <w:vMerge w:val="restart"/>
            <w:tcBorders>
              <w:top w:val="single" w:sz="4" w:space="0" w:color="auto"/>
              <w:left w:val="single" w:sz="8" w:space="0" w:color="auto"/>
              <w:bottom w:val="single" w:sz="8" w:space="0" w:color="000000"/>
              <w:right w:val="single" w:sz="4" w:space="0" w:color="auto"/>
            </w:tcBorders>
            <w:shd w:val="clear" w:color="000000" w:fill="002060"/>
            <w:noWrap/>
            <w:textDirection w:val="btLr"/>
            <w:vAlign w:val="center"/>
            <w:hideMark/>
          </w:tcPr>
          <w:p w14:paraId="5A832678" w14:textId="77777777" w:rsidR="0070574C" w:rsidRPr="0070574C" w:rsidRDefault="0070574C"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w:t>
            </w:r>
          </w:p>
        </w:tc>
        <w:tc>
          <w:tcPr>
            <w:tcW w:w="2121" w:type="dxa"/>
            <w:tcBorders>
              <w:top w:val="single" w:sz="4" w:space="0" w:color="auto"/>
              <w:left w:val="nil"/>
              <w:bottom w:val="single" w:sz="4" w:space="0" w:color="auto"/>
              <w:right w:val="single" w:sz="4" w:space="0" w:color="auto"/>
            </w:tcBorders>
            <w:shd w:val="clear" w:color="000000" w:fill="D9E1F2"/>
            <w:vAlign w:val="center"/>
            <w:hideMark/>
          </w:tcPr>
          <w:p w14:paraId="7467C260"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Muy probable</w:t>
            </w:r>
            <w:r w:rsidRPr="0070574C">
              <w:rPr>
                <w:rFonts w:eastAsia="Times New Roman"/>
                <w:b/>
                <w:bCs/>
              </w:rPr>
              <w:br/>
              <w:t>90</w:t>
            </w:r>
          </w:p>
        </w:tc>
        <w:tc>
          <w:tcPr>
            <w:tcW w:w="1417" w:type="dxa"/>
            <w:tcBorders>
              <w:top w:val="nil"/>
              <w:left w:val="nil"/>
              <w:bottom w:val="single" w:sz="4" w:space="0" w:color="auto"/>
              <w:right w:val="single" w:sz="4" w:space="0" w:color="auto"/>
            </w:tcBorders>
            <w:shd w:val="clear" w:color="000000" w:fill="00B050"/>
            <w:noWrap/>
            <w:vAlign w:val="center"/>
            <w:hideMark/>
          </w:tcPr>
          <w:p w14:paraId="4B98D596"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90</w:t>
            </w:r>
          </w:p>
        </w:tc>
        <w:tc>
          <w:tcPr>
            <w:tcW w:w="1274" w:type="dxa"/>
            <w:tcBorders>
              <w:top w:val="nil"/>
              <w:left w:val="nil"/>
              <w:bottom w:val="single" w:sz="4" w:space="0" w:color="auto"/>
              <w:right w:val="single" w:sz="4" w:space="0" w:color="auto"/>
            </w:tcBorders>
            <w:shd w:val="clear" w:color="000000" w:fill="FFFF00"/>
            <w:noWrap/>
            <w:vAlign w:val="center"/>
            <w:hideMark/>
          </w:tcPr>
          <w:p w14:paraId="4146A6F2"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180</w:t>
            </w:r>
          </w:p>
        </w:tc>
        <w:tc>
          <w:tcPr>
            <w:tcW w:w="1278" w:type="dxa"/>
            <w:tcBorders>
              <w:top w:val="nil"/>
              <w:left w:val="nil"/>
              <w:bottom w:val="single" w:sz="4" w:space="0" w:color="auto"/>
              <w:right w:val="single" w:sz="4" w:space="0" w:color="auto"/>
            </w:tcBorders>
            <w:shd w:val="clear" w:color="000000" w:fill="FF0000"/>
            <w:noWrap/>
            <w:vAlign w:val="center"/>
            <w:hideMark/>
          </w:tcPr>
          <w:p w14:paraId="4E7F6861"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270</w:t>
            </w:r>
          </w:p>
        </w:tc>
        <w:tc>
          <w:tcPr>
            <w:tcW w:w="1270" w:type="dxa"/>
            <w:tcBorders>
              <w:top w:val="nil"/>
              <w:left w:val="nil"/>
              <w:bottom w:val="single" w:sz="4" w:space="0" w:color="auto"/>
              <w:right w:val="single" w:sz="4" w:space="0" w:color="auto"/>
            </w:tcBorders>
            <w:shd w:val="clear" w:color="000000" w:fill="FF0000"/>
            <w:noWrap/>
            <w:vAlign w:val="center"/>
            <w:hideMark/>
          </w:tcPr>
          <w:p w14:paraId="08D4429C"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360</w:t>
            </w:r>
          </w:p>
        </w:tc>
        <w:tc>
          <w:tcPr>
            <w:tcW w:w="1142" w:type="dxa"/>
            <w:tcBorders>
              <w:top w:val="nil"/>
              <w:left w:val="nil"/>
              <w:bottom w:val="single" w:sz="4" w:space="0" w:color="auto"/>
              <w:right w:val="single" w:sz="8" w:space="0" w:color="auto"/>
            </w:tcBorders>
            <w:shd w:val="clear" w:color="000000" w:fill="FF0000"/>
            <w:vAlign w:val="center"/>
            <w:hideMark/>
          </w:tcPr>
          <w:p w14:paraId="520C0754" w14:textId="77777777" w:rsidR="0070574C" w:rsidRPr="0070574C" w:rsidRDefault="0070574C" w:rsidP="009D09DC">
            <w:pPr>
              <w:spacing w:after="0" w:line="240" w:lineRule="auto"/>
              <w:ind w:left="0" w:right="0" w:firstLine="0"/>
              <w:jc w:val="center"/>
              <w:rPr>
                <w:rFonts w:eastAsia="Times New Roman"/>
                <w:b/>
                <w:bCs/>
                <w:color w:val="auto"/>
              </w:rPr>
            </w:pPr>
            <w:r w:rsidRPr="0070574C">
              <w:rPr>
                <w:rFonts w:eastAsia="Times New Roman"/>
                <w:b/>
                <w:bCs/>
                <w:color w:val="auto"/>
              </w:rPr>
              <w:t>450</w:t>
            </w:r>
          </w:p>
        </w:tc>
      </w:tr>
      <w:tr w:rsidR="0070574C" w:rsidRPr="0070574C" w14:paraId="13D91A68" w14:textId="77777777" w:rsidTr="009D09DC">
        <w:trPr>
          <w:trHeight w:val="567"/>
          <w:jc w:val="center"/>
        </w:trPr>
        <w:tc>
          <w:tcPr>
            <w:tcW w:w="421" w:type="dxa"/>
            <w:vMerge/>
            <w:tcBorders>
              <w:top w:val="single" w:sz="4" w:space="0" w:color="auto"/>
              <w:left w:val="single" w:sz="8" w:space="0" w:color="auto"/>
              <w:bottom w:val="single" w:sz="8" w:space="0" w:color="000000"/>
              <w:right w:val="single" w:sz="4" w:space="0" w:color="auto"/>
            </w:tcBorders>
            <w:vAlign w:val="center"/>
            <w:hideMark/>
          </w:tcPr>
          <w:p w14:paraId="411012A9" w14:textId="77777777" w:rsidR="0070574C" w:rsidRPr="0070574C" w:rsidRDefault="0070574C" w:rsidP="009D09DC">
            <w:pPr>
              <w:spacing w:after="0" w:line="240" w:lineRule="auto"/>
              <w:ind w:left="0" w:right="0" w:firstLine="0"/>
              <w:jc w:val="left"/>
              <w:rPr>
                <w:rFonts w:eastAsia="Times New Roman"/>
                <w:b/>
                <w:bCs/>
                <w:color w:val="FFFFFF"/>
              </w:rPr>
            </w:pPr>
          </w:p>
        </w:tc>
        <w:tc>
          <w:tcPr>
            <w:tcW w:w="2121" w:type="dxa"/>
            <w:tcBorders>
              <w:top w:val="nil"/>
              <w:left w:val="nil"/>
              <w:bottom w:val="single" w:sz="4" w:space="0" w:color="auto"/>
              <w:right w:val="single" w:sz="4" w:space="0" w:color="auto"/>
            </w:tcBorders>
            <w:shd w:val="clear" w:color="000000" w:fill="D9E1F2"/>
            <w:vAlign w:val="center"/>
            <w:hideMark/>
          </w:tcPr>
          <w:p w14:paraId="20A8AFE5"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Bastante probable</w:t>
            </w:r>
            <w:r w:rsidRPr="0070574C">
              <w:rPr>
                <w:rFonts w:eastAsia="Times New Roman"/>
                <w:b/>
                <w:bCs/>
              </w:rPr>
              <w:br/>
              <w:t>70</w:t>
            </w:r>
          </w:p>
        </w:tc>
        <w:tc>
          <w:tcPr>
            <w:tcW w:w="1417" w:type="dxa"/>
            <w:tcBorders>
              <w:top w:val="nil"/>
              <w:left w:val="nil"/>
              <w:bottom w:val="single" w:sz="4" w:space="0" w:color="auto"/>
              <w:right w:val="single" w:sz="4" w:space="0" w:color="auto"/>
            </w:tcBorders>
            <w:shd w:val="clear" w:color="000000" w:fill="00B050"/>
            <w:noWrap/>
            <w:vAlign w:val="center"/>
            <w:hideMark/>
          </w:tcPr>
          <w:p w14:paraId="02709726"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70</w:t>
            </w:r>
          </w:p>
        </w:tc>
        <w:tc>
          <w:tcPr>
            <w:tcW w:w="1274" w:type="dxa"/>
            <w:tcBorders>
              <w:top w:val="nil"/>
              <w:left w:val="nil"/>
              <w:bottom w:val="single" w:sz="4" w:space="0" w:color="auto"/>
              <w:right w:val="single" w:sz="4" w:space="0" w:color="auto"/>
            </w:tcBorders>
            <w:shd w:val="clear" w:color="000000" w:fill="FFFF00"/>
            <w:noWrap/>
            <w:vAlign w:val="center"/>
            <w:hideMark/>
          </w:tcPr>
          <w:p w14:paraId="34632DB3"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140</w:t>
            </w:r>
          </w:p>
        </w:tc>
        <w:tc>
          <w:tcPr>
            <w:tcW w:w="1278" w:type="dxa"/>
            <w:tcBorders>
              <w:top w:val="nil"/>
              <w:left w:val="nil"/>
              <w:bottom w:val="single" w:sz="4" w:space="0" w:color="auto"/>
              <w:right w:val="single" w:sz="4" w:space="0" w:color="auto"/>
            </w:tcBorders>
            <w:shd w:val="clear" w:color="000000" w:fill="FFFF00"/>
            <w:noWrap/>
            <w:vAlign w:val="center"/>
            <w:hideMark/>
          </w:tcPr>
          <w:p w14:paraId="5BDCFBE7"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210</w:t>
            </w:r>
          </w:p>
        </w:tc>
        <w:tc>
          <w:tcPr>
            <w:tcW w:w="1270" w:type="dxa"/>
            <w:tcBorders>
              <w:top w:val="nil"/>
              <w:left w:val="nil"/>
              <w:bottom w:val="single" w:sz="4" w:space="0" w:color="auto"/>
              <w:right w:val="single" w:sz="4" w:space="0" w:color="auto"/>
            </w:tcBorders>
            <w:shd w:val="clear" w:color="000000" w:fill="FF0000"/>
            <w:vAlign w:val="center"/>
            <w:hideMark/>
          </w:tcPr>
          <w:p w14:paraId="47B8AF86"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280</w:t>
            </w:r>
          </w:p>
        </w:tc>
        <w:tc>
          <w:tcPr>
            <w:tcW w:w="1142" w:type="dxa"/>
            <w:tcBorders>
              <w:top w:val="nil"/>
              <w:left w:val="nil"/>
              <w:bottom w:val="single" w:sz="4" w:space="0" w:color="auto"/>
              <w:right w:val="single" w:sz="8" w:space="0" w:color="auto"/>
            </w:tcBorders>
            <w:shd w:val="clear" w:color="000000" w:fill="FF0000"/>
            <w:noWrap/>
            <w:vAlign w:val="center"/>
            <w:hideMark/>
          </w:tcPr>
          <w:p w14:paraId="13328305" w14:textId="77777777" w:rsidR="0070574C" w:rsidRPr="0070574C" w:rsidRDefault="0070574C" w:rsidP="009D09DC">
            <w:pPr>
              <w:spacing w:after="0" w:line="240" w:lineRule="auto"/>
              <w:ind w:left="0" w:right="0" w:firstLine="0"/>
              <w:jc w:val="center"/>
              <w:rPr>
                <w:rFonts w:eastAsia="Times New Roman"/>
                <w:b/>
                <w:bCs/>
                <w:color w:val="auto"/>
              </w:rPr>
            </w:pPr>
            <w:r w:rsidRPr="0070574C">
              <w:rPr>
                <w:rFonts w:eastAsia="Times New Roman"/>
                <w:b/>
                <w:bCs/>
                <w:color w:val="auto"/>
              </w:rPr>
              <w:t>350</w:t>
            </w:r>
          </w:p>
        </w:tc>
      </w:tr>
      <w:tr w:rsidR="0070574C" w:rsidRPr="0070574C" w14:paraId="29518434" w14:textId="77777777" w:rsidTr="009D09DC">
        <w:trPr>
          <w:trHeight w:val="567"/>
          <w:jc w:val="center"/>
        </w:trPr>
        <w:tc>
          <w:tcPr>
            <w:tcW w:w="421" w:type="dxa"/>
            <w:vMerge/>
            <w:tcBorders>
              <w:top w:val="single" w:sz="4" w:space="0" w:color="auto"/>
              <w:left w:val="single" w:sz="8" w:space="0" w:color="auto"/>
              <w:bottom w:val="single" w:sz="8" w:space="0" w:color="000000"/>
              <w:right w:val="single" w:sz="4" w:space="0" w:color="auto"/>
            </w:tcBorders>
            <w:vAlign w:val="center"/>
            <w:hideMark/>
          </w:tcPr>
          <w:p w14:paraId="0AD6B51E" w14:textId="77777777" w:rsidR="0070574C" w:rsidRPr="0070574C" w:rsidRDefault="0070574C" w:rsidP="009D09DC">
            <w:pPr>
              <w:spacing w:after="0" w:line="240" w:lineRule="auto"/>
              <w:ind w:left="0" w:right="0" w:firstLine="0"/>
              <w:jc w:val="left"/>
              <w:rPr>
                <w:rFonts w:eastAsia="Times New Roman"/>
                <w:b/>
                <w:bCs/>
                <w:color w:val="FFFFFF"/>
              </w:rPr>
            </w:pPr>
          </w:p>
        </w:tc>
        <w:tc>
          <w:tcPr>
            <w:tcW w:w="2121" w:type="dxa"/>
            <w:tcBorders>
              <w:top w:val="nil"/>
              <w:left w:val="nil"/>
              <w:bottom w:val="single" w:sz="4" w:space="0" w:color="auto"/>
              <w:right w:val="single" w:sz="4" w:space="0" w:color="auto"/>
            </w:tcBorders>
            <w:shd w:val="clear" w:color="000000" w:fill="D9E1F2"/>
            <w:vAlign w:val="center"/>
            <w:hideMark/>
          </w:tcPr>
          <w:p w14:paraId="69EEEF40"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Probable</w:t>
            </w:r>
            <w:r w:rsidRPr="0070574C">
              <w:rPr>
                <w:rFonts w:eastAsia="Times New Roman"/>
                <w:b/>
                <w:bCs/>
              </w:rPr>
              <w:br/>
              <w:t>50</w:t>
            </w:r>
          </w:p>
        </w:tc>
        <w:tc>
          <w:tcPr>
            <w:tcW w:w="1417" w:type="dxa"/>
            <w:tcBorders>
              <w:top w:val="nil"/>
              <w:left w:val="nil"/>
              <w:bottom w:val="single" w:sz="4" w:space="0" w:color="auto"/>
              <w:right w:val="single" w:sz="4" w:space="0" w:color="auto"/>
            </w:tcBorders>
            <w:shd w:val="clear" w:color="000000" w:fill="00B050"/>
            <w:noWrap/>
            <w:vAlign w:val="center"/>
            <w:hideMark/>
          </w:tcPr>
          <w:p w14:paraId="0E5D62AA"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50</w:t>
            </w:r>
          </w:p>
        </w:tc>
        <w:tc>
          <w:tcPr>
            <w:tcW w:w="1274" w:type="dxa"/>
            <w:tcBorders>
              <w:top w:val="nil"/>
              <w:left w:val="nil"/>
              <w:bottom w:val="single" w:sz="4" w:space="0" w:color="auto"/>
              <w:right w:val="single" w:sz="4" w:space="0" w:color="auto"/>
            </w:tcBorders>
            <w:shd w:val="clear" w:color="000000" w:fill="00B050"/>
            <w:noWrap/>
            <w:vAlign w:val="center"/>
            <w:hideMark/>
          </w:tcPr>
          <w:p w14:paraId="2F9EC344"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100</w:t>
            </w:r>
          </w:p>
        </w:tc>
        <w:tc>
          <w:tcPr>
            <w:tcW w:w="1278" w:type="dxa"/>
            <w:tcBorders>
              <w:top w:val="nil"/>
              <w:left w:val="nil"/>
              <w:bottom w:val="single" w:sz="4" w:space="0" w:color="auto"/>
              <w:right w:val="single" w:sz="4" w:space="0" w:color="auto"/>
            </w:tcBorders>
            <w:shd w:val="clear" w:color="000000" w:fill="FFFF00"/>
            <w:vAlign w:val="center"/>
            <w:hideMark/>
          </w:tcPr>
          <w:p w14:paraId="78B5C152"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150</w:t>
            </w:r>
          </w:p>
        </w:tc>
        <w:tc>
          <w:tcPr>
            <w:tcW w:w="1270" w:type="dxa"/>
            <w:tcBorders>
              <w:top w:val="nil"/>
              <w:left w:val="nil"/>
              <w:bottom w:val="single" w:sz="4" w:space="0" w:color="auto"/>
              <w:right w:val="single" w:sz="4" w:space="0" w:color="auto"/>
            </w:tcBorders>
            <w:shd w:val="clear" w:color="000000" w:fill="FFFF00"/>
            <w:vAlign w:val="center"/>
            <w:hideMark/>
          </w:tcPr>
          <w:p w14:paraId="6FC65AC7"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200</w:t>
            </w:r>
          </w:p>
        </w:tc>
        <w:tc>
          <w:tcPr>
            <w:tcW w:w="1142" w:type="dxa"/>
            <w:tcBorders>
              <w:top w:val="nil"/>
              <w:left w:val="nil"/>
              <w:bottom w:val="single" w:sz="4" w:space="0" w:color="auto"/>
              <w:right w:val="single" w:sz="8" w:space="0" w:color="auto"/>
            </w:tcBorders>
            <w:shd w:val="clear" w:color="000000" w:fill="FF0000"/>
            <w:noWrap/>
            <w:vAlign w:val="center"/>
            <w:hideMark/>
          </w:tcPr>
          <w:p w14:paraId="27956507"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250</w:t>
            </w:r>
          </w:p>
        </w:tc>
      </w:tr>
      <w:tr w:rsidR="0070574C" w:rsidRPr="0070574C" w14:paraId="678E2D03" w14:textId="77777777" w:rsidTr="009D09DC">
        <w:trPr>
          <w:trHeight w:val="567"/>
          <w:jc w:val="center"/>
        </w:trPr>
        <w:tc>
          <w:tcPr>
            <w:tcW w:w="421" w:type="dxa"/>
            <w:vMerge/>
            <w:tcBorders>
              <w:top w:val="single" w:sz="4" w:space="0" w:color="auto"/>
              <w:left w:val="single" w:sz="8" w:space="0" w:color="auto"/>
              <w:bottom w:val="single" w:sz="8" w:space="0" w:color="000000"/>
              <w:right w:val="single" w:sz="4" w:space="0" w:color="auto"/>
            </w:tcBorders>
            <w:vAlign w:val="center"/>
            <w:hideMark/>
          </w:tcPr>
          <w:p w14:paraId="37497D62" w14:textId="77777777" w:rsidR="0070574C" w:rsidRPr="0070574C" w:rsidRDefault="0070574C" w:rsidP="009D09DC">
            <w:pPr>
              <w:spacing w:after="0" w:line="240" w:lineRule="auto"/>
              <w:ind w:left="0" w:right="0" w:firstLine="0"/>
              <w:jc w:val="left"/>
              <w:rPr>
                <w:rFonts w:eastAsia="Times New Roman"/>
                <w:b/>
                <w:bCs/>
                <w:color w:val="FFFFFF"/>
              </w:rPr>
            </w:pPr>
          </w:p>
        </w:tc>
        <w:tc>
          <w:tcPr>
            <w:tcW w:w="2121" w:type="dxa"/>
            <w:tcBorders>
              <w:top w:val="nil"/>
              <w:left w:val="nil"/>
              <w:bottom w:val="single" w:sz="4" w:space="0" w:color="auto"/>
              <w:right w:val="single" w:sz="4" w:space="0" w:color="auto"/>
            </w:tcBorders>
            <w:shd w:val="clear" w:color="000000" w:fill="D9E1F2"/>
            <w:vAlign w:val="center"/>
            <w:hideMark/>
          </w:tcPr>
          <w:p w14:paraId="195BDED0"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Poco probable</w:t>
            </w:r>
            <w:r w:rsidRPr="0070574C">
              <w:rPr>
                <w:rFonts w:eastAsia="Times New Roman"/>
                <w:b/>
                <w:bCs/>
              </w:rPr>
              <w:br/>
              <w:t>30</w:t>
            </w:r>
          </w:p>
        </w:tc>
        <w:tc>
          <w:tcPr>
            <w:tcW w:w="1417" w:type="dxa"/>
            <w:tcBorders>
              <w:top w:val="nil"/>
              <w:left w:val="nil"/>
              <w:bottom w:val="single" w:sz="4" w:space="0" w:color="auto"/>
              <w:right w:val="single" w:sz="4" w:space="0" w:color="auto"/>
            </w:tcBorders>
            <w:shd w:val="clear" w:color="000000" w:fill="00B050"/>
            <w:noWrap/>
            <w:vAlign w:val="center"/>
            <w:hideMark/>
          </w:tcPr>
          <w:p w14:paraId="747F8C9A"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30</w:t>
            </w:r>
          </w:p>
        </w:tc>
        <w:tc>
          <w:tcPr>
            <w:tcW w:w="1274" w:type="dxa"/>
            <w:tcBorders>
              <w:top w:val="nil"/>
              <w:left w:val="nil"/>
              <w:bottom w:val="single" w:sz="4" w:space="0" w:color="auto"/>
              <w:right w:val="single" w:sz="4" w:space="0" w:color="auto"/>
            </w:tcBorders>
            <w:shd w:val="clear" w:color="000000" w:fill="00B050"/>
            <w:noWrap/>
            <w:vAlign w:val="center"/>
            <w:hideMark/>
          </w:tcPr>
          <w:p w14:paraId="5C41F53E"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60</w:t>
            </w:r>
          </w:p>
        </w:tc>
        <w:tc>
          <w:tcPr>
            <w:tcW w:w="1278" w:type="dxa"/>
            <w:tcBorders>
              <w:top w:val="nil"/>
              <w:left w:val="nil"/>
              <w:bottom w:val="single" w:sz="4" w:space="0" w:color="auto"/>
              <w:right w:val="single" w:sz="4" w:space="0" w:color="auto"/>
            </w:tcBorders>
            <w:shd w:val="clear" w:color="000000" w:fill="00B050"/>
            <w:noWrap/>
            <w:vAlign w:val="center"/>
            <w:hideMark/>
          </w:tcPr>
          <w:p w14:paraId="696A2AC1"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90</w:t>
            </w:r>
          </w:p>
        </w:tc>
        <w:tc>
          <w:tcPr>
            <w:tcW w:w="1270" w:type="dxa"/>
            <w:tcBorders>
              <w:top w:val="nil"/>
              <w:left w:val="nil"/>
              <w:bottom w:val="single" w:sz="4" w:space="0" w:color="auto"/>
              <w:right w:val="single" w:sz="4" w:space="0" w:color="auto"/>
            </w:tcBorders>
            <w:shd w:val="clear" w:color="000000" w:fill="FFFF00"/>
            <w:noWrap/>
            <w:vAlign w:val="center"/>
            <w:hideMark/>
          </w:tcPr>
          <w:p w14:paraId="28F72926"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120</w:t>
            </w:r>
          </w:p>
        </w:tc>
        <w:tc>
          <w:tcPr>
            <w:tcW w:w="1142" w:type="dxa"/>
            <w:tcBorders>
              <w:top w:val="nil"/>
              <w:left w:val="nil"/>
              <w:bottom w:val="single" w:sz="4" w:space="0" w:color="auto"/>
              <w:right w:val="single" w:sz="8" w:space="0" w:color="auto"/>
            </w:tcBorders>
            <w:shd w:val="clear" w:color="000000" w:fill="FFFF00"/>
            <w:noWrap/>
            <w:vAlign w:val="center"/>
            <w:hideMark/>
          </w:tcPr>
          <w:p w14:paraId="2CF25406"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150</w:t>
            </w:r>
          </w:p>
        </w:tc>
      </w:tr>
      <w:tr w:rsidR="0070574C" w:rsidRPr="0070574C" w14:paraId="0F839988" w14:textId="77777777" w:rsidTr="009D09DC">
        <w:trPr>
          <w:trHeight w:val="567"/>
          <w:jc w:val="center"/>
        </w:trPr>
        <w:tc>
          <w:tcPr>
            <w:tcW w:w="421" w:type="dxa"/>
            <w:vMerge/>
            <w:tcBorders>
              <w:top w:val="single" w:sz="4" w:space="0" w:color="auto"/>
              <w:left w:val="single" w:sz="8" w:space="0" w:color="auto"/>
              <w:bottom w:val="single" w:sz="8" w:space="0" w:color="000000"/>
              <w:right w:val="single" w:sz="4" w:space="0" w:color="auto"/>
            </w:tcBorders>
            <w:vAlign w:val="center"/>
            <w:hideMark/>
          </w:tcPr>
          <w:p w14:paraId="5461CD31" w14:textId="77777777" w:rsidR="0070574C" w:rsidRPr="0070574C" w:rsidRDefault="0070574C" w:rsidP="009D09DC">
            <w:pPr>
              <w:spacing w:after="0" w:line="240" w:lineRule="auto"/>
              <w:ind w:left="0" w:right="0" w:firstLine="0"/>
              <w:jc w:val="left"/>
              <w:rPr>
                <w:rFonts w:eastAsia="Times New Roman"/>
                <w:b/>
                <w:bCs/>
                <w:color w:val="FFFFFF"/>
              </w:rPr>
            </w:pPr>
          </w:p>
        </w:tc>
        <w:tc>
          <w:tcPr>
            <w:tcW w:w="2121" w:type="dxa"/>
            <w:tcBorders>
              <w:top w:val="nil"/>
              <w:left w:val="nil"/>
              <w:bottom w:val="single" w:sz="8" w:space="0" w:color="auto"/>
              <w:right w:val="single" w:sz="4" w:space="0" w:color="auto"/>
            </w:tcBorders>
            <w:shd w:val="clear" w:color="000000" w:fill="D9E1F2"/>
            <w:vAlign w:val="center"/>
            <w:hideMark/>
          </w:tcPr>
          <w:p w14:paraId="4709A95E"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Improbable</w:t>
            </w:r>
            <w:r w:rsidRPr="0070574C">
              <w:rPr>
                <w:rFonts w:eastAsia="Times New Roman"/>
                <w:b/>
                <w:bCs/>
              </w:rPr>
              <w:br/>
              <w:t>10</w:t>
            </w:r>
          </w:p>
        </w:tc>
        <w:tc>
          <w:tcPr>
            <w:tcW w:w="1417" w:type="dxa"/>
            <w:tcBorders>
              <w:top w:val="nil"/>
              <w:left w:val="nil"/>
              <w:bottom w:val="single" w:sz="8" w:space="0" w:color="auto"/>
              <w:right w:val="single" w:sz="4" w:space="0" w:color="auto"/>
            </w:tcBorders>
            <w:shd w:val="clear" w:color="000000" w:fill="00B050"/>
            <w:noWrap/>
            <w:vAlign w:val="center"/>
            <w:hideMark/>
          </w:tcPr>
          <w:p w14:paraId="58B34973"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10</w:t>
            </w:r>
          </w:p>
        </w:tc>
        <w:tc>
          <w:tcPr>
            <w:tcW w:w="1274" w:type="dxa"/>
            <w:tcBorders>
              <w:top w:val="nil"/>
              <w:left w:val="nil"/>
              <w:bottom w:val="single" w:sz="8" w:space="0" w:color="auto"/>
              <w:right w:val="single" w:sz="4" w:space="0" w:color="auto"/>
            </w:tcBorders>
            <w:shd w:val="clear" w:color="000000" w:fill="00B050"/>
            <w:noWrap/>
            <w:vAlign w:val="center"/>
            <w:hideMark/>
          </w:tcPr>
          <w:p w14:paraId="7115937F"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20</w:t>
            </w:r>
          </w:p>
        </w:tc>
        <w:tc>
          <w:tcPr>
            <w:tcW w:w="1278" w:type="dxa"/>
            <w:tcBorders>
              <w:top w:val="nil"/>
              <w:left w:val="nil"/>
              <w:bottom w:val="single" w:sz="8" w:space="0" w:color="auto"/>
              <w:right w:val="single" w:sz="4" w:space="0" w:color="auto"/>
            </w:tcBorders>
            <w:shd w:val="clear" w:color="000000" w:fill="00B050"/>
            <w:noWrap/>
            <w:vAlign w:val="center"/>
            <w:hideMark/>
          </w:tcPr>
          <w:p w14:paraId="63C85D5B"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30</w:t>
            </w:r>
          </w:p>
        </w:tc>
        <w:tc>
          <w:tcPr>
            <w:tcW w:w="1270" w:type="dxa"/>
            <w:tcBorders>
              <w:top w:val="nil"/>
              <w:left w:val="nil"/>
              <w:bottom w:val="single" w:sz="8" w:space="0" w:color="auto"/>
              <w:right w:val="single" w:sz="4" w:space="0" w:color="auto"/>
            </w:tcBorders>
            <w:shd w:val="clear" w:color="000000" w:fill="00B050"/>
            <w:noWrap/>
            <w:vAlign w:val="center"/>
            <w:hideMark/>
          </w:tcPr>
          <w:p w14:paraId="18B24D65"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40</w:t>
            </w:r>
          </w:p>
        </w:tc>
        <w:tc>
          <w:tcPr>
            <w:tcW w:w="1142" w:type="dxa"/>
            <w:tcBorders>
              <w:top w:val="nil"/>
              <w:left w:val="nil"/>
              <w:bottom w:val="single" w:sz="8" w:space="0" w:color="auto"/>
              <w:right w:val="single" w:sz="8" w:space="0" w:color="auto"/>
            </w:tcBorders>
            <w:shd w:val="clear" w:color="000000" w:fill="00B050"/>
            <w:noWrap/>
            <w:vAlign w:val="center"/>
            <w:hideMark/>
          </w:tcPr>
          <w:p w14:paraId="0B4FCD4C"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50</w:t>
            </w:r>
          </w:p>
        </w:tc>
      </w:tr>
    </w:tbl>
    <w:p w14:paraId="5A930A5F" w14:textId="77777777" w:rsidR="0070574C" w:rsidRPr="0070574C" w:rsidRDefault="0070574C" w:rsidP="009D09DC">
      <w:pPr>
        <w:spacing w:after="0" w:line="240" w:lineRule="auto"/>
        <w:ind w:right="94" w:firstLine="698"/>
      </w:pPr>
      <w:r w:rsidRPr="0070574C">
        <w:t>Fuente: SEVRI-PJ.</w:t>
      </w:r>
    </w:p>
    <w:p w14:paraId="3F3AED55" w14:textId="70BCECA8" w:rsidR="00E739AF" w:rsidRPr="0070574C" w:rsidRDefault="00E739AF" w:rsidP="009D09DC">
      <w:pPr>
        <w:pStyle w:val="Ttulo1"/>
        <w:spacing w:after="0" w:line="240" w:lineRule="auto"/>
        <w:rPr>
          <w:sz w:val="22"/>
        </w:rPr>
      </w:pPr>
    </w:p>
    <w:p w14:paraId="310064EA" w14:textId="77777777" w:rsidR="0070574C" w:rsidRPr="0070574C" w:rsidRDefault="0070574C" w:rsidP="009D09DC">
      <w:pPr>
        <w:spacing w:after="0" w:line="240" w:lineRule="auto"/>
        <w:ind w:left="-5" w:right="94"/>
      </w:pPr>
      <w:r w:rsidRPr="0070574C">
        <w:t xml:space="preserve">De acuerdo con lo establecido en el SEVRI-PJ, el apetito de riesgo definido por el Poder Judicial serán aquellos riesgos ubicados en los niveles “Muy bajo” y “Bajo”, tal como se muestra en la Tabla 5. Estos riesgos podrían ser aceptados por la institución sin necesidad de implementar controles adicionales, aunque se deben monitorear igualmente ante los cambios en el contexto externo e interno que puedan requerir la revisión del análisis realizado. </w:t>
      </w:r>
    </w:p>
    <w:p w14:paraId="1ACFCD37" w14:textId="77777777" w:rsidR="0070574C" w:rsidRPr="0070574C" w:rsidRDefault="0070574C" w:rsidP="009D09DC">
      <w:pPr>
        <w:spacing w:after="0" w:line="240" w:lineRule="auto"/>
      </w:pPr>
    </w:p>
    <w:p w14:paraId="74CABAE2" w14:textId="0C628DDC" w:rsidR="0070574C" w:rsidRPr="004C379C" w:rsidRDefault="0070574C" w:rsidP="009D09DC">
      <w:pPr>
        <w:pStyle w:val="Ttulo2"/>
        <w:spacing w:after="0" w:line="240" w:lineRule="auto"/>
        <w:jc w:val="both"/>
        <w:rPr>
          <w:sz w:val="22"/>
        </w:rPr>
      </w:pPr>
      <w:bookmarkStart w:id="13" w:name="_Toc155778524"/>
      <w:r w:rsidRPr="004C379C">
        <w:rPr>
          <w:sz w:val="22"/>
        </w:rPr>
        <w:t>Tabla 5: Intervalo de categorización para el nivel de riesgo inherente.</w:t>
      </w:r>
      <w:bookmarkEnd w:id="13"/>
      <w:r w:rsidRPr="004C379C">
        <w:rPr>
          <w:sz w:val="22"/>
        </w:rPr>
        <w:t xml:space="preserve">  </w:t>
      </w:r>
    </w:p>
    <w:p w14:paraId="207060F2" w14:textId="77777777" w:rsidR="0070574C" w:rsidRPr="0070574C" w:rsidRDefault="0070574C" w:rsidP="009D09DC">
      <w:pPr>
        <w:spacing w:after="0" w:line="240" w:lineRule="auto"/>
      </w:pPr>
    </w:p>
    <w:tbl>
      <w:tblPr>
        <w:tblW w:w="6437" w:type="dxa"/>
        <w:jc w:val="center"/>
        <w:tblCellMar>
          <w:left w:w="70" w:type="dxa"/>
          <w:right w:w="70" w:type="dxa"/>
        </w:tblCellMar>
        <w:tblLook w:val="04A0" w:firstRow="1" w:lastRow="0" w:firstColumn="1" w:lastColumn="0" w:noHBand="0" w:noVBand="1"/>
      </w:tblPr>
      <w:tblGrid>
        <w:gridCol w:w="2917"/>
        <w:gridCol w:w="3520"/>
      </w:tblGrid>
      <w:tr w:rsidR="0070574C" w:rsidRPr="0070574C" w14:paraId="40D6F757" w14:textId="77777777" w:rsidTr="009848B6">
        <w:trPr>
          <w:trHeight w:val="540"/>
          <w:jc w:val="center"/>
        </w:trPr>
        <w:tc>
          <w:tcPr>
            <w:tcW w:w="29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243ECAC"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Intervalo</w:t>
            </w:r>
          </w:p>
        </w:tc>
        <w:tc>
          <w:tcPr>
            <w:tcW w:w="3520" w:type="dxa"/>
            <w:tcBorders>
              <w:top w:val="single" w:sz="8" w:space="0" w:color="auto"/>
              <w:left w:val="nil"/>
              <w:bottom w:val="single" w:sz="4" w:space="0" w:color="auto"/>
              <w:right w:val="single" w:sz="8" w:space="0" w:color="auto"/>
            </w:tcBorders>
            <w:shd w:val="clear" w:color="auto" w:fill="auto"/>
            <w:noWrap/>
            <w:vAlign w:val="center"/>
            <w:hideMark/>
          </w:tcPr>
          <w:p w14:paraId="52DB4445" w14:textId="77777777" w:rsidR="0070574C" w:rsidRPr="0070574C" w:rsidRDefault="0070574C" w:rsidP="009D09DC">
            <w:pPr>
              <w:spacing w:after="0" w:line="240" w:lineRule="auto"/>
              <w:ind w:left="0" w:right="0" w:firstLine="0"/>
              <w:jc w:val="center"/>
              <w:rPr>
                <w:rFonts w:eastAsia="Times New Roman"/>
                <w:b/>
                <w:bCs/>
              </w:rPr>
            </w:pPr>
            <w:r w:rsidRPr="0070574C">
              <w:rPr>
                <w:rFonts w:eastAsia="Times New Roman"/>
                <w:b/>
                <w:bCs/>
              </w:rPr>
              <w:t>Nivel de Riesgo Inherente</w:t>
            </w:r>
          </w:p>
        </w:tc>
      </w:tr>
      <w:tr w:rsidR="0070574C" w:rsidRPr="0070574C" w14:paraId="33C20603" w14:textId="77777777" w:rsidTr="009848B6">
        <w:trPr>
          <w:trHeight w:val="540"/>
          <w:jc w:val="center"/>
        </w:trPr>
        <w:tc>
          <w:tcPr>
            <w:tcW w:w="2917" w:type="dxa"/>
            <w:tcBorders>
              <w:top w:val="nil"/>
              <w:left w:val="single" w:sz="8" w:space="0" w:color="auto"/>
              <w:bottom w:val="single" w:sz="4" w:space="0" w:color="auto"/>
              <w:right w:val="single" w:sz="4" w:space="0" w:color="auto"/>
            </w:tcBorders>
            <w:shd w:val="clear" w:color="000000" w:fill="00B050"/>
            <w:noWrap/>
            <w:vAlign w:val="center"/>
            <w:hideMark/>
          </w:tcPr>
          <w:p w14:paraId="11DB8A24"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0 &lt; X &lt;= 119</w:t>
            </w:r>
          </w:p>
        </w:tc>
        <w:tc>
          <w:tcPr>
            <w:tcW w:w="3520" w:type="dxa"/>
            <w:tcBorders>
              <w:top w:val="nil"/>
              <w:left w:val="nil"/>
              <w:bottom w:val="single" w:sz="4" w:space="0" w:color="auto"/>
              <w:right w:val="single" w:sz="8" w:space="0" w:color="auto"/>
            </w:tcBorders>
            <w:shd w:val="clear" w:color="000000" w:fill="00B050"/>
            <w:noWrap/>
            <w:vAlign w:val="center"/>
            <w:hideMark/>
          </w:tcPr>
          <w:p w14:paraId="2E4F5022" w14:textId="0240B6C6" w:rsidR="0070574C" w:rsidRPr="0070574C" w:rsidRDefault="0070574C" w:rsidP="009D09DC">
            <w:pPr>
              <w:spacing w:after="0" w:line="240" w:lineRule="auto"/>
              <w:ind w:left="0" w:right="0" w:firstLine="0"/>
              <w:jc w:val="center"/>
              <w:rPr>
                <w:rFonts w:eastAsia="Times New Roman"/>
              </w:rPr>
            </w:pPr>
            <w:r w:rsidRPr="0070574C">
              <w:rPr>
                <w:rFonts w:eastAsia="Times New Roman"/>
              </w:rPr>
              <w:t>Bajo /</w:t>
            </w:r>
            <w:r w:rsidR="005A764E">
              <w:rPr>
                <w:rFonts w:eastAsia="Times New Roman"/>
              </w:rPr>
              <w:t xml:space="preserve"> </w:t>
            </w:r>
            <w:r w:rsidRPr="0070574C">
              <w:rPr>
                <w:rFonts w:eastAsia="Times New Roman"/>
              </w:rPr>
              <w:t>Muy bajo</w:t>
            </w:r>
          </w:p>
        </w:tc>
      </w:tr>
      <w:tr w:rsidR="0070574C" w:rsidRPr="0070574C" w14:paraId="2D4488E6" w14:textId="77777777" w:rsidTr="009848B6">
        <w:trPr>
          <w:trHeight w:val="540"/>
          <w:jc w:val="center"/>
        </w:trPr>
        <w:tc>
          <w:tcPr>
            <w:tcW w:w="2917" w:type="dxa"/>
            <w:tcBorders>
              <w:top w:val="nil"/>
              <w:left w:val="single" w:sz="8" w:space="0" w:color="auto"/>
              <w:bottom w:val="single" w:sz="4" w:space="0" w:color="auto"/>
              <w:right w:val="single" w:sz="4" w:space="0" w:color="auto"/>
            </w:tcBorders>
            <w:shd w:val="clear" w:color="000000" w:fill="FFFF00"/>
            <w:noWrap/>
            <w:vAlign w:val="center"/>
            <w:hideMark/>
          </w:tcPr>
          <w:p w14:paraId="356D7CE1"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120 &lt;= X &lt;= 249</w:t>
            </w:r>
          </w:p>
        </w:tc>
        <w:tc>
          <w:tcPr>
            <w:tcW w:w="3520" w:type="dxa"/>
            <w:tcBorders>
              <w:top w:val="nil"/>
              <w:left w:val="nil"/>
              <w:bottom w:val="single" w:sz="4" w:space="0" w:color="auto"/>
              <w:right w:val="single" w:sz="8" w:space="0" w:color="auto"/>
            </w:tcBorders>
            <w:shd w:val="clear" w:color="000000" w:fill="FFFF00"/>
            <w:noWrap/>
            <w:vAlign w:val="center"/>
            <w:hideMark/>
          </w:tcPr>
          <w:p w14:paraId="445C8AC5"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Medio</w:t>
            </w:r>
          </w:p>
        </w:tc>
      </w:tr>
      <w:tr w:rsidR="0070574C" w:rsidRPr="0070574C" w14:paraId="102456E9" w14:textId="77777777" w:rsidTr="009848B6">
        <w:trPr>
          <w:trHeight w:val="540"/>
          <w:jc w:val="center"/>
        </w:trPr>
        <w:tc>
          <w:tcPr>
            <w:tcW w:w="2917" w:type="dxa"/>
            <w:tcBorders>
              <w:top w:val="nil"/>
              <w:left w:val="single" w:sz="8" w:space="0" w:color="auto"/>
              <w:bottom w:val="single" w:sz="8" w:space="0" w:color="auto"/>
              <w:right w:val="single" w:sz="4" w:space="0" w:color="auto"/>
            </w:tcBorders>
            <w:shd w:val="clear" w:color="000000" w:fill="FF0000"/>
            <w:noWrap/>
            <w:vAlign w:val="center"/>
            <w:hideMark/>
          </w:tcPr>
          <w:p w14:paraId="3944B785"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250 &lt;= X &lt;= 450</w:t>
            </w:r>
          </w:p>
        </w:tc>
        <w:tc>
          <w:tcPr>
            <w:tcW w:w="3520" w:type="dxa"/>
            <w:tcBorders>
              <w:top w:val="nil"/>
              <w:left w:val="nil"/>
              <w:bottom w:val="single" w:sz="8" w:space="0" w:color="auto"/>
              <w:right w:val="single" w:sz="8" w:space="0" w:color="auto"/>
            </w:tcBorders>
            <w:shd w:val="clear" w:color="000000" w:fill="FF0000"/>
            <w:noWrap/>
            <w:vAlign w:val="center"/>
            <w:hideMark/>
          </w:tcPr>
          <w:p w14:paraId="1C414C99" w14:textId="77777777" w:rsidR="0070574C" w:rsidRPr="0070574C" w:rsidRDefault="0070574C" w:rsidP="009D09DC">
            <w:pPr>
              <w:spacing w:after="0" w:line="240" w:lineRule="auto"/>
              <w:ind w:left="0" w:right="0" w:firstLine="0"/>
              <w:jc w:val="center"/>
              <w:rPr>
                <w:rFonts w:eastAsia="Times New Roman"/>
              </w:rPr>
            </w:pPr>
            <w:r w:rsidRPr="0070574C">
              <w:rPr>
                <w:rFonts w:eastAsia="Times New Roman"/>
              </w:rPr>
              <w:t>Alto</w:t>
            </w:r>
          </w:p>
        </w:tc>
      </w:tr>
    </w:tbl>
    <w:p w14:paraId="5D26ED81" w14:textId="77777777" w:rsidR="0070574C" w:rsidRPr="0070574C" w:rsidRDefault="0070574C" w:rsidP="009D09DC">
      <w:pPr>
        <w:spacing w:after="0" w:line="240" w:lineRule="auto"/>
        <w:ind w:left="703" w:right="94" w:firstLine="713"/>
      </w:pPr>
    </w:p>
    <w:p w14:paraId="397244EE" w14:textId="77777777" w:rsidR="0070574C" w:rsidRPr="0070574C" w:rsidRDefault="0070574C" w:rsidP="009D09DC">
      <w:pPr>
        <w:spacing w:after="0" w:line="240" w:lineRule="auto"/>
        <w:ind w:left="703" w:right="94" w:firstLine="713"/>
      </w:pPr>
      <w:r w:rsidRPr="0070574C">
        <w:t>Fuente: SEVRI-PJ.</w:t>
      </w:r>
    </w:p>
    <w:p w14:paraId="6FCB3AD8" w14:textId="77777777" w:rsidR="0070574C" w:rsidRPr="0070574C" w:rsidRDefault="0070574C" w:rsidP="009D09DC">
      <w:pPr>
        <w:spacing w:after="0" w:line="240" w:lineRule="auto"/>
        <w:ind w:left="703" w:right="94" w:firstLine="713"/>
      </w:pPr>
    </w:p>
    <w:p w14:paraId="43A79413" w14:textId="0D5886CF" w:rsidR="00450126" w:rsidRPr="0070574C" w:rsidRDefault="00450126" w:rsidP="009D09DC">
      <w:pPr>
        <w:spacing w:after="0" w:line="240" w:lineRule="auto"/>
        <w:ind w:left="-5" w:right="94"/>
      </w:pPr>
      <w:r w:rsidRPr="0070574C">
        <w:t xml:space="preserve">La importancia de esta etapa es que permite comprender el riesgo obtenido mediante el análisis y ayuda a la toma de decisiones, proporcionando contexto sobre cuáles son los riesgos que superan el criterio de aceptación de la </w:t>
      </w:r>
      <w:r w:rsidR="0070574C">
        <w:t>i</w:t>
      </w:r>
      <w:r w:rsidRPr="0070574C">
        <w:t>nstitución y se deben administrar, según su respectiva prioridad. Con este conocimiento se pueden establecer los planes y estrategias para salvaguardar la vida de las personas y mitigar los impactos de un evento disruptivo en los procesos</w:t>
      </w:r>
      <w:r w:rsidR="005A764E">
        <w:t xml:space="preserve"> o servicios</w:t>
      </w:r>
      <w:r w:rsidRPr="0070574C">
        <w:t xml:space="preserve"> críticos del Poder Judicial. </w:t>
      </w:r>
    </w:p>
    <w:p w14:paraId="2B47A8C1" w14:textId="7721C0B0" w:rsidR="003E7268" w:rsidRPr="0070574C" w:rsidRDefault="003E7268" w:rsidP="009D09DC">
      <w:pPr>
        <w:spacing w:after="0" w:line="240" w:lineRule="auto"/>
      </w:pPr>
    </w:p>
    <w:p w14:paraId="64EA1234" w14:textId="77777777" w:rsidR="003E7268" w:rsidRPr="0070574C" w:rsidRDefault="003E7268" w:rsidP="009D09DC">
      <w:pPr>
        <w:spacing w:after="0" w:line="240" w:lineRule="auto"/>
      </w:pPr>
    </w:p>
    <w:p w14:paraId="0DE24A86" w14:textId="7DC6757A" w:rsidR="00B23A65" w:rsidRPr="00900DA4" w:rsidRDefault="003E7268" w:rsidP="009D09DC">
      <w:pPr>
        <w:pStyle w:val="Ttulo1"/>
        <w:spacing w:after="0" w:line="240" w:lineRule="auto"/>
        <w:rPr>
          <w:b/>
          <w:bCs/>
          <w:color w:val="002060"/>
          <w:sz w:val="32"/>
          <w:szCs w:val="32"/>
        </w:rPr>
      </w:pPr>
      <w:bookmarkStart w:id="14" w:name="_Toc155778525"/>
      <w:r w:rsidRPr="00900DA4">
        <w:rPr>
          <w:b/>
          <w:bCs/>
          <w:color w:val="002060"/>
          <w:sz w:val="32"/>
          <w:szCs w:val="32"/>
        </w:rPr>
        <w:t xml:space="preserve">7. </w:t>
      </w:r>
      <w:r w:rsidRPr="00900DA4">
        <w:rPr>
          <w:b/>
          <w:bCs/>
          <w:color w:val="002060"/>
          <w:sz w:val="32"/>
          <w:szCs w:val="32"/>
        </w:rPr>
        <w:tab/>
      </w:r>
      <w:r w:rsidR="00C719CC" w:rsidRPr="00900DA4">
        <w:rPr>
          <w:b/>
          <w:bCs/>
          <w:color w:val="002060"/>
          <w:sz w:val="32"/>
          <w:szCs w:val="32"/>
        </w:rPr>
        <w:t xml:space="preserve">Identificación </w:t>
      </w:r>
      <w:r w:rsidR="00117494" w:rsidRPr="00900DA4">
        <w:rPr>
          <w:b/>
          <w:bCs/>
          <w:color w:val="002060"/>
          <w:sz w:val="32"/>
          <w:szCs w:val="32"/>
        </w:rPr>
        <w:t xml:space="preserve">y análisis </w:t>
      </w:r>
      <w:r w:rsidR="00C719CC" w:rsidRPr="00900DA4">
        <w:rPr>
          <w:b/>
          <w:bCs/>
          <w:color w:val="002060"/>
          <w:sz w:val="32"/>
          <w:szCs w:val="32"/>
        </w:rPr>
        <w:t>de riesgos</w:t>
      </w:r>
      <w:bookmarkEnd w:id="14"/>
      <w:r w:rsidR="00C719CC" w:rsidRPr="00900DA4">
        <w:rPr>
          <w:b/>
          <w:bCs/>
          <w:color w:val="002060"/>
          <w:sz w:val="32"/>
          <w:szCs w:val="32"/>
        </w:rPr>
        <w:t xml:space="preserve"> </w:t>
      </w:r>
    </w:p>
    <w:p w14:paraId="091921D9" w14:textId="0B3B5291" w:rsidR="00BF4E36" w:rsidRPr="0070574C" w:rsidRDefault="00BF4E36" w:rsidP="009D09DC">
      <w:pPr>
        <w:spacing w:after="0" w:line="240" w:lineRule="auto"/>
        <w:ind w:left="-5" w:right="94"/>
      </w:pPr>
    </w:p>
    <w:p w14:paraId="07950FDD" w14:textId="2278AF81" w:rsidR="00C207E1" w:rsidRPr="0070574C" w:rsidRDefault="009214CC" w:rsidP="009D09DC">
      <w:pPr>
        <w:spacing w:after="0" w:line="240" w:lineRule="auto"/>
        <w:ind w:left="-5" w:right="94"/>
      </w:pPr>
      <w:r w:rsidRPr="0070574C">
        <w:t xml:space="preserve">En el análisis de riesgos realizado en el año 2020 por el personal de los despachos y oficinas dueñas de procesos críticos se identificaron los diferentes factores </w:t>
      </w:r>
      <w:r w:rsidR="007923FB">
        <w:t xml:space="preserve">o fuentes de riesgo </w:t>
      </w:r>
      <w:r w:rsidRPr="0070574C">
        <w:t>que podrían impedir la continuidad de los servicios</w:t>
      </w:r>
      <w:r w:rsidR="00C207E1" w:rsidRPr="0070574C">
        <w:t xml:space="preserve">; esto es: riesgos de disrupción, tomando en cuenta que, según lo cita la Norma INTE G130:2022, </w:t>
      </w:r>
      <w:r w:rsidR="00C207E1" w:rsidRPr="0070574C">
        <w:rPr>
          <w:i/>
          <w:iCs/>
        </w:rPr>
        <w:t>“El riesgo a menudo se caracteriza por la referencia a potenciales eventos y consecuencias"</w:t>
      </w:r>
      <w:r w:rsidR="00AE005A" w:rsidRPr="0070574C">
        <w:rPr>
          <w:i/>
          <w:iCs/>
        </w:rPr>
        <w:t xml:space="preserve"> </w:t>
      </w:r>
      <w:r w:rsidR="00AE005A" w:rsidRPr="0070574C">
        <w:t xml:space="preserve">o como lo indica la normativa de control interno, la </w:t>
      </w:r>
      <w:r w:rsidR="00AE005A" w:rsidRPr="0070574C">
        <w:rPr>
          <w:i/>
          <w:iCs/>
        </w:rPr>
        <w:t>“probabilidad de que ocurran eventos de origen interno o externo, que tendrían consecuencias sobre el cumplimiento de los objetivos institucionales o de la oficina en particular”.</w:t>
      </w:r>
    </w:p>
    <w:p w14:paraId="53D9A39D" w14:textId="5F668ECE" w:rsidR="009214CC" w:rsidRPr="0070574C" w:rsidRDefault="009214CC" w:rsidP="009D09DC">
      <w:pPr>
        <w:spacing w:after="0" w:line="240" w:lineRule="auto"/>
        <w:ind w:left="-5" w:right="94"/>
      </w:pPr>
    </w:p>
    <w:p w14:paraId="2D83E98A" w14:textId="5D920F8F" w:rsidR="000655BB" w:rsidRPr="0070574C" w:rsidRDefault="009214CC" w:rsidP="009D09DC">
      <w:pPr>
        <w:spacing w:after="0" w:line="240" w:lineRule="auto"/>
        <w:ind w:left="-5" w:right="94"/>
      </w:pPr>
      <w:r w:rsidRPr="0070574C">
        <w:t>La identificación correspondiente se retom</w:t>
      </w:r>
      <w:r w:rsidR="00117494" w:rsidRPr="0070574C">
        <w:t>ó</w:t>
      </w:r>
      <w:r w:rsidRPr="0070574C">
        <w:t xml:space="preserve"> en este </w:t>
      </w:r>
      <w:r w:rsidR="00117494" w:rsidRPr="0070574C">
        <w:t>informe</w:t>
      </w:r>
      <w:r w:rsidRPr="0070574C">
        <w:t xml:space="preserve"> </w:t>
      </w:r>
      <w:r w:rsidR="00117494" w:rsidRPr="0070574C">
        <w:t>con la cuantificación de</w:t>
      </w:r>
      <w:r w:rsidRPr="0070574C">
        <w:t xml:space="preserve"> la recurrencia </w:t>
      </w:r>
      <w:r w:rsidR="000655BB" w:rsidRPr="0070574C">
        <w:t>de</w:t>
      </w:r>
      <w:r w:rsidRPr="0070574C">
        <w:t xml:space="preserve"> cada factor </w:t>
      </w:r>
      <w:r w:rsidR="007923FB">
        <w:t xml:space="preserve">o fuente </w:t>
      </w:r>
      <w:r w:rsidR="000655BB" w:rsidRPr="0070574C">
        <w:t xml:space="preserve">al momento de ser citado por las personas expertas según cada proceso o servicio. Posteriormente, </w:t>
      </w:r>
      <w:r w:rsidR="00645336" w:rsidRPr="0070574C">
        <w:t>los factores de disrupción</w:t>
      </w:r>
      <w:r w:rsidR="000655BB" w:rsidRPr="0070574C">
        <w:t xml:space="preserve"> se categoriz</w:t>
      </w:r>
      <w:r w:rsidR="00645336" w:rsidRPr="0070574C">
        <w:t>aron</w:t>
      </w:r>
      <w:r w:rsidR="000655BB" w:rsidRPr="0070574C">
        <w:t xml:space="preserve"> en escenarios de riesgo según el </w:t>
      </w:r>
      <w:r w:rsidR="00645336" w:rsidRPr="0070574C">
        <w:t>origen</w:t>
      </w:r>
      <w:r w:rsidR="000655BB" w:rsidRPr="0070574C">
        <w:t xml:space="preserve"> </w:t>
      </w:r>
      <w:r w:rsidR="00645336" w:rsidRPr="0070574C">
        <w:t>o consecuencia</w:t>
      </w:r>
      <w:r w:rsidR="000655BB" w:rsidRPr="0070574C">
        <w:t xml:space="preserve">; de lo cual han salido a la luz cinco tipos: </w:t>
      </w:r>
      <w:r w:rsidR="000655BB" w:rsidRPr="0070574C">
        <w:rPr>
          <w:b/>
          <w:bCs/>
        </w:rPr>
        <w:t>a)</w:t>
      </w:r>
      <w:r w:rsidR="000655BB" w:rsidRPr="0070574C">
        <w:t xml:space="preserve"> riesgos asociados a “Indisponibilidad del recurso humano”, </w:t>
      </w:r>
      <w:r w:rsidR="000655BB" w:rsidRPr="0070574C">
        <w:rPr>
          <w:b/>
          <w:bCs/>
        </w:rPr>
        <w:t>b)</w:t>
      </w:r>
      <w:r w:rsidR="000655BB" w:rsidRPr="0070574C">
        <w:t xml:space="preserve"> riesgos asociados a la “Indisponibilidad de la infraestructura física”; </w:t>
      </w:r>
      <w:r w:rsidR="000655BB" w:rsidRPr="0070574C">
        <w:rPr>
          <w:b/>
          <w:bCs/>
        </w:rPr>
        <w:t>c)</w:t>
      </w:r>
      <w:r w:rsidR="000655BB" w:rsidRPr="0070574C">
        <w:t xml:space="preserve"> riesgos </w:t>
      </w:r>
      <w:r w:rsidR="00645336" w:rsidRPr="0070574C">
        <w:t>vinculados a la</w:t>
      </w:r>
      <w:r w:rsidR="000655BB" w:rsidRPr="0070574C">
        <w:t xml:space="preserve"> “Indisponibilidad tecnológica”; </w:t>
      </w:r>
      <w:r w:rsidR="000655BB" w:rsidRPr="0070574C">
        <w:rPr>
          <w:b/>
          <w:bCs/>
        </w:rPr>
        <w:t>d)</w:t>
      </w:r>
      <w:r w:rsidR="000655BB" w:rsidRPr="0070574C">
        <w:t xml:space="preserve"> riesgos de continuidad derivados de “Dependencia de proveedores externos” y </w:t>
      </w:r>
      <w:r w:rsidR="000655BB" w:rsidRPr="0070574C">
        <w:rPr>
          <w:b/>
          <w:bCs/>
        </w:rPr>
        <w:t>e)</w:t>
      </w:r>
      <w:r w:rsidR="000655BB" w:rsidRPr="0070574C">
        <w:t xml:space="preserve"> riesgos de continuidad por “Carencia de insumos”. </w:t>
      </w:r>
    </w:p>
    <w:p w14:paraId="64B99861" w14:textId="77777777" w:rsidR="000655BB" w:rsidRPr="0070574C" w:rsidRDefault="000655BB" w:rsidP="009D09DC">
      <w:pPr>
        <w:spacing w:after="0" w:line="240" w:lineRule="auto"/>
        <w:ind w:left="-5" w:right="94"/>
      </w:pPr>
    </w:p>
    <w:p w14:paraId="7C816DB1" w14:textId="0ACC3616" w:rsidR="009214CC" w:rsidRPr="0070574C" w:rsidRDefault="000655BB" w:rsidP="009D09DC">
      <w:pPr>
        <w:spacing w:after="0" w:line="240" w:lineRule="auto"/>
        <w:ind w:left="-5" w:right="94"/>
      </w:pPr>
      <w:r w:rsidRPr="0070574C">
        <w:t>El resultado de la cuantificación se muestra en la siguiente tabla, donde se presenta la frecuencia</w:t>
      </w:r>
      <w:r w:rsidR="007923FB">
        <w:t xml:space="preserve"> o recurrencia</w:t>
      </w:r>
      <w:r w:rsidR="00AE005A" w:rsidRPr="0070574C">
        <w:t>;</w:t>
      </w:r>
      <w:r w:rsidRPr="0070574C">
        <w:t xml:space="preserve"> esto es, la cantidad de veces que el riesgo </w:t>
      </w:r>
      <w:r w:rsidR="00645336" w:rsidRPr="0070574C">
        <w:t xml:space="preserve">de disrupción </w:t>
      </w:r>
      <w:r w:rsidRPr="0070574C">
        <w:t xml:space="preserve">fue </w:t>
      </w:r>
      <w:r w:rsidR="00117494" w:rsidRPr="0070574C">
        <w:t>identificado y citado</w:t>
      </w:r>
      <w:r w:rsidRPr="0070574C">
        <w:t xml:space="preserve">; además </w:t>
      </w:r>
      <w:r w:rsidR="00117494" w:rsidRPr="0070574C">
        <w:t>s</w:t>
      </w:r>
      <w:r w:rsidRPr="0070574C">
        <w:t xml:space="preserve">e presenta su distribución porcentual con respecto al total general y se ha resaltado en color los riesgos para los cuales se tiene conocimiento de su materialización. </w:t>
      </w:r>
      <w:r w:rsidR="009214CC" w:rsidRPr="0070574C">
        <w:t xml:space="preserve"> </w:t>
      </w:r>
    </w:p>
    <w:p w14:paraId="647975C2" w14:textId="7E524E19" w:rsidR="00C46477" w:rsidRPr="0070574C" w:rsidRDefault="00C46477" w:rsidP="009D09DC">
      <w:pPr>
        <w:spacing w:after="0" w:line="240" w:lineRule="auto"/>
        <w:ind w:left="-5" w:right="94"/>
      </w:pPr>
    </w:p>
    <w:p w14:paraId="368B0075" w14:textId="6B1C38FF" w:rsidR="009214CC" w:rsidRDefault="009214CC" w:rsidP="009D09DC">
      <w:pPr>
        <w:pStyle w:val="Ttulo2"/>
        <w:spacing w:after="0" w:line="240" w:lineRule="auto"/>
        <w:jc w:val="both"/>
        <w:rPr>
          <w:sz w:val="22"/>
        </w:rPr>
      </w:pPr>
      <w:bookmarkStart w:id="15" w:name="_Toc155778526"/>
      <w:r w:rsidRPr="00994004">
        <w:rPr>
          <w:sz w:val="22"/>
        </w:rPr>
        <w:t xml:space="preserve">Tabla </w:t>
      </w:r>
      <w:r w:rsidR="00994004" w:rsidRPr="00994004">
        <w:rPr>
          <w:sz w:val="22"/>
        </w:rPr>
        <w:t>6</w:t>
      </w:r>
      <w:r w:rsidRPr="00994004">
        <w:rPr>
          <w:sz w:val="22"/>
        </w:rPr>
        <w:t>. Identificación de riesgos</w:t>
      </w:r>
      <w:r w:rsidRPr="0070574C">
        <w:rPr>
          <w:sz w:val="22"/>
        </w:rPr>
        <w:t xml:space="preserve"> de continuidad en el Poder Judicial.</w:t>
      </w:r>
      <w:bookmarkEnd w:id="15"/>
      <w:r w:rsidRPr="0070574C">
        <w:rPr>
          <w:sz w:val="22"/>
        </w:rPr>
        <w:t xml:space="preserve"> </w:t>
      </w:r>
    </w:p>
    <w:p w14:paraId="34C38087" w14:textId="77777777" w:rsidR="00994004" w:rsidRPr="00994004" w:rsidRDefault="00994004" w:rsidP="009D09DC">
      <w:pPr>
        <w:spacing w:after="0" w:line="240" w:lineRule="auto"/>
      </w:pPr>
    </w:p>
    <w:tbl>
      <w:tblPr>
        <w:tblW w:w="9187" w:type="dxa"/>
        <w:jc w:val="center"/>
        <w:tblCellMar>
          <w:left w:w="70" w:type="dxa"/>
          <w:right w:w="70" w:type="dxa"/>
        </w:tblCellMar>
        <w:tblLook w:val="04A0" w:firstRow="1" w:lastRow="0" w:firstColumn="1" w:lastColumn="0" w:noHBand="0" w:noVBand="1"/>
      </w:tblPr>
      <w:tblGrid>
        <w:gridCol w:w="6232"/>
        <w:gridCol w:w="1375"/>
        <w:gridCol w:w="1580"/>
      </w:tblGrid>
      <w:tr w:rsidR="009214CC" w:rsidRPr="00CA04EC" w14:paraId="5465A9F1" w14:textId="77777777" w:rsidTr="00C65BAC">
        <w:trPr>
          <w:trHeight w:val="640"/>
          <w:tblHeader/>
          <w:jc w:val="center"/>
        </w:trPr>
        <w:tc>
          <w:tcPr>
            <w:tcW w:w="623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24F7BA4"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Factores de riesgo / Escenarios de riesgo</w:t>
            </w:r>
          </w:p>
        </w:tc>
        <w:tc>
          <w:tcPr>
            <w:tcW w:w="1375" w:type="dxa"/>
            <w:tcBorders>
              <w:top w:val="single" w:sz="4" w:space="0" w:color="auto"/>
              <w:left w:val="nil"/>
              <w:bottom w:val="single" w:sz="4" w:space="0" w:color="auto"/>
              <w:right w:val="single" w:sz="4" w:space="0" w:color="auto"/>
            </w:tcBorders>
            <w:shd w:val="clear" w:color="000000" w:fill="002060"/>
            <w:vAlign w:val="center"/>
            <w:hideMark/>
          </w:tcPr>
          <w:p w14:paraId="7E4716F2"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Frecuencia</w:t>
            </w:r>
          </w:p>
        </w:tc>
        <w:tc>
          <w:tcPr>
            <w:tcW w:w="1580" w:type="dxa"/>
            <w:tcBorders>
              <w:top w:val="single" w:sz="4" w:space="0" w:color="auto"/>
              <w:left w:val="nil"/>
              <w:bottom w:val="single" w:sz="4" w:space="0" w:color="auto"/>
              <w:right w:val="single" w:sz="4" w:space="0" w:color="auto"/>
            </w:tcBorders>
            <w:shd w:val="clear" w:color="000000" w:fill="002060"/>
            <w:vAlign w:val="center"/>
            <w:hideMark/>
          </w:tcPr>
          <w:p w14:paraId="08482FFD"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Distribución porcentual</w:t>
            </w:r>
          </w:p>
        </w:tc>
      </w:tr>
      <w:tr w:rsidR="009214CC" w:rsidRPr="00CA04EC" w14:paraId="3D28CACA"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B3562C2"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14:paraId="2A1A8F0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57ED1418"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r>
      <w:tr w:rsidR="009214CC" w:rsidRPr="00CA04EC" w14:paraId="6F080812"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000000" w:fill="0070C0"/>
            <w:vAlign w:val="center"/>
            <w:hideMark/>
          </w:tcPr>
          <w:p w14:paraId="60F87AB4"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Indisponibilidad del recurso humano</w:t>
            </w:r>
          </w:p>
        </w:tc>
        <w:tc>
          <w:tcPr>
            <w:tcW w:w="1375" w:type="dxa"/>
            <w:tcBorders>
              <w:top w:val="nil"/>
              <w:left w:val="nil"/>
              <w:bottom w:val="single" w:sz="4" w:space="0" w:color="auto"/>
              <w:right w:val="single" w:sz="4" w:space="0" w:color="auto"/>
            </w:tcBorders>
            <w:shd w:val="clear" w:color="000000" w:fill="0070C0"/>
            <w:vAlign w:val="center"/>
            <w:hideMark/>
          </w:tcPr>
          <w:p w14:paraId="378824A2"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c>
          <w:tcPr>
            <w:tcW w:w="1580" w:type="dxa"/>
            <w:tcBorders>
              <w:top w:val="nil"/>
              <w:left w:val="nil"/>
              <w:bottom w:val="single" w:sz="4" w:space="0" w:color="auto"/>
              <w:right w:val="single" w:sz="4" w:space="0" w:color="auto"/>
            </w:tcBorders>
            <w:shd w:val="clear" w:color="000000" w:fill="0070C0"/>
            <w:vAlign w:val="center"/>
            <w:hideMark/>
          </w:tcPr>
          <w:p w14:paraId="7CF21B23"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r>
      <w:tr w:rsidR="009214CC" w:rsidRPr="00CA04EC" w14:paraId="2AF253DE"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22A8C35" w14:textId="28090D5C"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Enfermedades por plagas (zancudos, ratas, murciélagos, cucarachas, etc.). </w:t>
            </w:r>
          </w:p>
        </w:tc>
        <w:tc>
          <w:tcPr>
            <w:tcW w:w="1375" w:type="dxa"/>
            <w:tcBorders>
              <w:top w:val="nil"/>
              <w:left w:val="nil"/>
              <w:bottom w:val="single" w:sz="4" w:space="0" w:color="auto"/>
              <w:right w:val="single" w:sz="4" w:space="0" w:color="auto"/>
            </w:tcBorders>
            <w:shd w:val="clear" w:color="auto" w:fill="auto"/>
            <w:vAlign w:val="center"/>
            <w:hideMark/>
          </w:tcPr>
          <w:p w14:paraId="555195D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14:paraId="35EEF323"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3363361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D88306F"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Retraso en el traslado del personal.</w:t>
            </w:r>
          </w:p>
        </w:tc>
        <w:tc>
          <w:tcPr>
            <w:tcW w:w="1375" w:type="dxa"/>
            <w:tcBorders>
              <w:top w:val="nil"/>
              <w:left w:val="nil"/>
              <w:bottom w:val="single" w:sz="4" w:space="0" w:color="auto"/>
              <w:right w:val="single" w:sz="4" w:space="0" w:color="auto"/>
            </w:tcBorders>
            <w:shd w:val="clear" w:color="auto" w:fill="auto"/>
            <w:vAlign w:val="center"/>
            <w:hideMark/>
          </w:tcPr>
          <w:p w14:paraId="5CB6E26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14:paraId="6F1929BD"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062702D8"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01DEE24"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 xml:space="preserve">Obstrucción de vías o vías inhabilitadas. </w:t>
            </w:r>
          </w:p>
        </w:tc>
        <w:tc>
          <w:tcPr>
            <w:tcW w:w="1375" w:type="dxa"/>
            <w:tcBorders>
              <w:top w:val="nil"/>
              <w:left w:val="nil"/>
              <w:bottom w:val="single" w:sz="4" w:space="0" w:color="auto"/>
              <w:right w:val="single" w:sz="4" w:space="0" w:color="auto"/>
            </w:tcBorders>
            <w:shd w:val="clear" w:color="auto" w:fill="auto"/>
            <w:vAlign w:val="center"/>
            <w:hideMark/>
          </w:tcPr>
          <w:p w14:paraId="174584E4" w14:textId="77777777" w:rsidR="009214CC" w:rsidRPr="00CA04EC" w:rsidRDefault="009214CC" w:rsidP="009D09DC">
            <w:pPr>
              <w:spacing w:after="0" w:line="240" w:lineRule="auto"/>
              <w:ind w:left="0" w:right="0" w:firstLine="0"/>
              <w:jc w:val="center"/>
              <w:rPr>
                <w:rFonts w:eastAsia="Times New Roman"/>
                <w:color w:val="auto"/>
                <w:sz w:val="20"/>
                <w:szCs w:val="20"/>
              </w:rPr>
            </w:pPr>
            <w:r w:rsidRPr="00CA04EC">
              <w:rPr>
                <w:rFonts w:eastAsia="Times New Roman"/>
                <w:color w:val="auto"/>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6107DFF1" w14:textId="77777777" w:rsidR="009214CC" w:rsidRPr="00CA04EC" w:rsidRDefault="009214CC" w:rsidP="009D09DC">
            <w:pPr>
              <w:spacing w:after="0" w:line="240" w:lineRule="auto"/>
              <w:ind w:left="0" w:right="0" w:firstLine="0"/>
              <w:jc w:val="center"/>
              <w:rPr>
                <w:rFonts w:eastAsia="Times New Roman"/>
                <w:color w:val="auto"/>
                <w:sz w:val="20"/>
                <w:szCs w:val="20"/>
              </w:rPr>
            </w:pPr>
            <w:r w:rsidRPr="00CA04EC">
              <w:rPr>
                <w:rFonts w:eastAsia="Times New Roman"/>
                <w:color w:val="auto"/>
                <w:sz w:val="20"/>
                <w:szCs w:val="20"/>
              </w:rPr>
              <w:t>0,8%</w:t>
            </w:r>
          </w:p>
        </w:tc>
      </w:tr>
      <w:tr w:rsidR="009214CC" w:rsidRPr="00CA04EC" w14:paraId="7F8EE53D"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A4B970"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del personal informático.</w:t>
            </w:r>
          </w:p>
        </w:tc>
        <w:tc>
          <w:tcPr>
            <w:tcW w:w="1375" w:type="dxa"/>
            <w:tcBorders>
              <w:top w:val="single" w:sz="4" w:space="0" w:color="auto"/>
              <w:left w:val="nil"/>
              <w:bottom w:val="single" w:sz="4" w:space="0" w:color="auto"/>
              <w:right w:val="single" w:sz="4" w:space="0" w:color="auto"/>
            </w:tcBorders>
            <w:shd w:val="clear" w:color="000000" w:fill="FFFF00"/>
            <w:vAlign w:val="center"/>
            <w:hideMark/>
          </w:tcPr>
          <w:p w14:paraId="476AD48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7</w:t>
            </w:r>
          </w:p>
        </w:tc>
        <w:tc>
          <w:tcPr>
            <w:tcW w:w="1580" w:type="dxa"/>
            <w:tcBorders>
              <w:top w:val="single" w:sz="4" w:space="0" w:color="auto"/>
              <w:left w:val="nil"/>
              <w:bottom w:val="single" w:sz="4" w:space="0" w:color="auto"/>
              <w:right w:val="single" w:sz="4" w:space="0" w:color="auto"/>
            </w:tcBorders>
            <w:shd w:val="clear" w:color="000000" w:fill="FFFF00"/>
            <w:vAlign w:val="center"/>
            <w:hideMark/>
          </w:tcPr>
          <w:p w14:paraId="68682CE3"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1,3%</w:t>
            </w:r>
          </w:p>
        </w:tc>
      </w:tr>
      <w:tr w:rsidR="009214CC" w:rsidRPr="00CA04EC" w14:paraId="4644BE40"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7FD6121"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Falta de personal capacitado o especializado.</w:t>
            </w:r>
          </w:p>
        </w:tc>
        <w:tc>
          <w:tcPr>
            <w:tcW w:w="1375" w:type="dxa"/>
            <w:tcBorders>
              <w:top w:val="single" w:sz="4" w:space="0" w:color="auto"/>
              <w:left w:val="nil"/>
              <w:bottom w:val="single" w:sz="4" w:space="0" w:color="auto"/>
              <w:right w:val="single" w:sz="4" w:space="0" w:color="auto"/>
            </w:tcBorders>
            <w:shd w:val="clear" w:color="000000" w:fill="FFC000"/>
            <w:vAlign w:val="center"/>
            <w:hideMark/>
          </w:tcPr>
          <w:p w14:paraId="3E83EE2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10</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14:paraId="66542CBA"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1,9%</w:t>
            </w:r>
          </w:p>
        </w:tc>
      </w:tr>
      <w:tr w:rsidR="009214CC" w:rsidRPr="00CA04EC" w14:paraId="6B2CEE1C" w14:textId="77777777" w:rsidTr="00C65BAC">
        <w:trPr>
          <w:trHeight w:val="290"/>
          <w:jc w:val="center"/>
        </w:trPr>
        <w:tc>
          <w:tcPr>
            <w:tcW w:w="6232" w:type="dxa"/>
            <w:tcBorders>
              <w:top w:val="single" w:sz="4" w:space="0" w:color="auto"/>
              <w:left w:val="single" w:sz="4" w:space="0" w:color="auto"/>
              <w:bottom w:val="single" w:sz="8" w:space="0" w:color="auto"/>
              <w:right w:val="single" w:sz="4" w:space="0" w:color="auto"/>
            </w:tcBorders>
            <w:shd w:val="clear" w:color="000000" w:fill="FF0000"/>
            <w:noWrap/>
            <w:vAlign w:val="center"/>
            <w:hideMark/>
          </w:tcPr>
          <w:p w14:paraId="56437F8E"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o carencia del personal.</w:t>
            </w:r>
          </w:p>
        </w:tc>
        <w:tc>
          <w:tcPr>
            <w:tcW w:w="1375" w:type="dxa"/>
            <w:tcBorders>
              <w:top w:val="single" w:sz="4" w:space="0" w:color="auto"/>
              <w:left w:val="nil"/>
              <w:bottom w:val="single" w:sz="8" w:space="0" w:color="auto"/>
              <w:right w:val="single" w:sz="4" w:space="0" w:color="auto"/>
            </w:tcBorders>
            <w:shd w:val="clear" w:color="000000" w:fill="FF0000"/>
            <w:vAlign w:val="center"/>
            <w:hideMark/>
          </w:tcPr>
          <w:p w14:paraId="7681506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47</w:t>
            </w:r>
          </w:p>
        </w:tc>
        <w:tc>
          <w:tcPr>
            <w:tcW w:w="1580" w:type="dxa"/>
            <w:tcBorders>
              <w:top w:val="single" w:sz="4" w:space="0" w:color="auto"/>
              <w:left w:val="nil"/>
              <w:bottom w:val="single" w:sz="8" w:space="0" w:color="auto"/>
              <w:right w:val="single" w:sz="4" w:space="0" w:color="auto"/>
            </w:tcBorders>
            <w:shd w:val="clear" w:color="000000" w:fill="FF0000"/>
            <w:vAlign w:val="center"/>
            <w:hideMark/>
          </w:tcPr>
          <w:p w14:paraId="59F6C693"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8,9%</w:t>
            </w:r>
          </w:p>
        </w:tc>
      </w:tr>
      <w:tr w:rsidR="009214CC" w:rsidRPr="00CA04EC" w14:paraId="0572E220"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B799EA" w14:textId="77777777" w:rsidR="009214CC" w:rsidRPr="00CA04EC" w:rsidRDefault="009214CC" w:rsidP="009D09DC">
            <w:pPr>
              <w:spacing w:after="0" w:line="240" w:lineRule="auto"/>
              <w:ind w:left="0" w:right="0" w:firstLine="0"/>
              <w:jc w:val="left"/>
              <w:rPr>
                <w:rFonts w:eastAsia="Times New Roman"/>
                <w:b/>
                <w:bCs/>
                <w:sz w:val="20"/>
                <w:szCs w:val="20"/>
              </w:rPr>
            </w:pPr>
            <w:r w:rsidRPr="00CA04EC">
              <w:rPr>
                <w:rFonts w:eastAsia="Times New Roman"/>
                <w:b/>
                <w:bCs/>
                <w:sz w:val="20"/>
                <w:szCs w:val="20"/>
              </w:rPr>
              <w:t>Subtotal del escenario</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5F9875A8"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74</w:t>
            </w:r>
          </w:p>
        </w:tc>
        <w:tc>
          <w:tcPr>
            <w:tcW w:w="1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6E68B17"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14,0%</w:t>
            </w:r>
          </w:p>
        </w:tc>
      </w:tr>
      <w:tr w:rsidR="009214CC" w:rsidRPr="00CA04EC" w14:paraId="619B0FA2"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359A757"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14:paraId="4175738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51DE8B83"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r>
      <w:tr w:rsidR="009214CC" w:rsidRPr="00CA04EC" w14:paraId="532B19ED"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000000" w:fill="0070C0"/>
            <w:vAlign w:val="center"/>
            <w:hideMark/>
          </w:tcPr>
          <w:p w14:paraId="14B39B09"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Indisponibilidad de la infraestructura física</w:t>
            </w:r>
          </w:p>
        </w:tc>
        <w:tc>
          <w:tcPr>
            <w:tcW w:w="1375" w:type="dxa"/>
            <w:tcBorders>
              <w:top w:val="nil"/>
              <w:left w:val="nil"/>
              <w:bottom w:val="single" w:sz="4" w:space="0" w:color="auto"/>
              <w:right w:val="single" w:sz="4" w:space="0" w:color="auto"/>
            </w:tcBorders>
            <w:shd w:val="clear" w:color="000000" w:fill="0070C0"/>
            <w:vAlign w:val="center"/>
            <w:hideMark/>
          </w:tcPr>
          <w:p w14:paraId="494F724C"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c>
          <w:tcPr>
            <w:tcW w:w="1580" w:type="dxa"/>
            <w:tcBorders>
              <w:top w:val="nil"/>
              <w:left w:val="nil"/>
              <w:bottom w:val="single" w:sz="4" w:space="0" w:color="auto"/>
              <w:right w:val="single" w:sz="4" w:space="0" w:color="auto"/>
            </w:tcBorders>
            <w:shd w:val="clear" w:color="000000" w:fill="0070C0"/>
            <w:vAlign w:val="center"/>
            <w:hideMark/>
          </w:tcPr>
          <w:p w14:paraId="07E0B923"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r>
      <w:tr w:rsidR="009214CC" w:rsidRPr="00CA04EC" w14:paraId="64BF1C76"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78E8B5D"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Instalaciones inadecuadas para necesidades específicas.</w:t>
            </w:r>
          </w:p>
        </w:tc>
        <w:tc>
          <w:tcPr>
            <w:tcW w:w="1375" w:type="dxa"/>
            <w:tcBorders>
              <w:top w:val="nil"/>
              <w:left w:val="nil"/>
              <w:bottom w:val="single" w:sz="4" w:space="0" w:color="auto"/>
              <w:right w:val="single" w:sz="4" w:space="0" w:color="auto"/>
            </w:tcBorders>
            <w:shd w:val="clear" w:color="auto" w:fill="auto"/>
            <w:vAlign w:val="center"/>
            <w:hideMark/>
          </w:tcPr>
          <w:p w14:paraId="728548B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14:paraId="7E42D3AA"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65FB0798"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2B3D6E0" w14:textId="0A8FA170" w:rsidR="009214CC" w:rsidRPr="00CA04EC" w:rsidRDefault="009009C8" w:rsidP="009D09DC">
            <w:pPr>
              <w:spacing w:after="0" w:line="240" w:lineRule="auto"/>
              <w:ind w:left="0" w:right="0" w:firstLine="0"/>
              <w:rPr>
                <w:rFonts w:eastAsia="Times New Roman"/>
                <w:sz w:val="20"/>
                <w:szCs w:val="20"/>
              </w:rPr>
            </w:pPr>
            <w:r w:rsidRPr="00CA04EC">
              <w:rPr>
                <w:rFonts w:eastAsia="Times New Roman"/>
                <w:sz w:val="20"/>
                <w:szCs w:val="20"/>
              </w:rPr>
              <w:t>Indisponibilidad</w:t>
            </w:r>
            <w:r w:rsidR="009214CC" w:rsidRPr="00CA04EC">
              <w:rPr>
                <w:rFonts w:eastAsia="Times New Roman"/>
                <w:sz w:val="20"/>
                <w:szCs w:val="20"/>
              </w:rPr>
              <w:t xml:space="preserve"> de acceso físico.</w:t>
            </w:r>
          </w:p>
        </w:tc>
        <w:tc>
          <w:tcPr>
            <w:tcW w:w="1375" w:type="dxa"/>
            <w:tcBorders>
              <w:top w:val="nil"/>
              <w:left w:val="nil"/>
              <w:bottom w:val="single" w:sz="4" w:space="0" w:color="auto"/>
              <w:right w:val="single" w:sz="4" w:space="0" w:color="auto"/>
            </w:tcBorders>
            <w:shd w:val="clear" w:color="auto" w:fill="auto"/>
            <w:vAlign w:val="center"/>
            <w:hideMark/>
          </w:tcPr>
          <w:p w14:paraId="18471A75"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5</w:t>
            </w:r>
          </w:p>
        </w:tc>
        <w:tc>
          <w:tcPr>
            <w:tcW w:w="1580" w:type="dxa"/>
            <w:tcBorders>
              <w:top w:val="nil"/>
              <w:left w:val="nil"/>
              <w:bottom w:val="single" w:sz="4" w:space="0" w:color="auto"/>
              <w:right w:val="single" w:sz="4" w:space="0" w:color="auto"/>
            </w:tcBorders>
            <w:shd w:val="clear" w:color="auto" w:fill="auto"/>
            <w:vAlign w:val="center"/>
            <w:hideMark/>
          </w:tcPr>
          <w:p w14:paraId="7ACEAE20"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0,9%</w:t>
            </w:r>
          </w:p>
        </w:tc>
      </w:tr>
      <w:tr w:rsidR="009214CC" w:rsidRPr="00CA04EC" w14:paraId="62DDE030"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6A5F49BA"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Motines o vandalismo.</w:t>
            </w:r>
          </w:p>
        </w:tc>
        <w:tc>
          <w:tcPr>
            <w:tcW w:w="1375" w:type="dxa"/>
            <w:tcBorders>
              <w:top w:val="nil"/>
              <w:left w:val="nil"/>
              <w:bottom w:val="single" w:sz="4" w:space="0" w:color="auto"/>
              <w:right w:val="single" w:sz="4" w:space="0" w:color="auto"/>
            </w:tcBorders>
            <w:shd w:val="clear" w:color="auto" w:fill="auto"/>
            <w:vAlign w:val="center"/>
            <w:hideMark/>
          </w:tcPr>
          <w:p w14:paraId="649C59E8" w14:textId="77777777" w:rsidR="009214CC" w:rsidRPr="00CA04EC" w:rsidRDefault="009214CC" w:rsidP="009D09DC">
            <w:pPr>
              <w:spacing w:after="0" w:line="240" w:lineRule="auto"/>
              <w:ind w:left="0" w:right="0" w:firstLine="0"/>
              <w:jc w:val="center"/>
              <w:rPr>
                <w:rFonts w:eastAsia="Times New Roman"/>
                <w:color w:val="auto"/>
                <w:sz w:val="20"/>
                <w:szCs w:val="20"/>
              </w:rPr>
            </w:pPr>
            <w:r w:rsidRPr="00CA04EC">
              <w:rPr>
                <w:rFonts w:eastAsia="Times New Roman"/>
                <w:color w:val="auto"/>
                <w:sz w:val="20"/>
                <w:szCs w:val="20"/>
              </w:rPr>
              <w:t>6</w:t>
            </w:r>
          </w:p>
        </w:tc>
        <w:tc>
          <w:tcPr>
            <w:tcW w:w="1580" w:type="dxa"/>
            <w:tcBorders>
              <w:top w:val="nil"/>
              <w:left w:val="nil"/>
              <w:bottom w:val="single" w:sz="4" w:space="0" w:color="auto"/>
              <w:right w:val="single" w:sz="4" w:space="0" w:color="auto"/>
            </w:tcBorders>
            <w:shd w:val="clear" w:color="auto" w:fill="auto"/>
            <w:vAlign w:val="center"/>
            <w:hideMark/>
          </w:tcPr>
          <w:p w14:paraId="5D32045A" w14:textId="77777777" w:rsidR="009214CC" w:rsidRPr="00CA04EC" w:rsidRDefault="009214CC" w:rsidP="009D09DC">
            <w:pPr>
              <w:spacing w:after="0" w:line="240" w:lineRule="auto"/>
              <w:ind w:left="0" w:right="0" w:firstLine="0"/>
              <w:jc w:val="center"/>
              <w:rPr>
                <w:rFonts w:eastAsia="Times New Roman"/>
                <w:color w:val="auto"/>
                <w:sz w:val="20"/>
                <w:szCs w:val="20"/>
              </w:rPr>
            </w:pPr>
            <w:r w:rsidRPr="00CA04EC">
              <w:rPr>
                <w:rFonts w:eastAsia="Times New Roman"/>
                <w:color w:val="auto"/>
                <w:sz w:val="20"/>
                <w:szCs w:val="20"/>
              </w:rPr>
              <w:t>1,1%</w:t>
            </w:r>
          </w:p>
        </w:tc>
      </w:tr>
      <w:tr w:rsidR="009214CC" w:rsidRPr="00CA04EC" w14:paraId="7D1CA900"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4EE7610"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de las instalaciones.</w:t>
            </w:r>
          </w:p>
        </w:tc>
        <w:tc>
          <w:tcPr>
            <w:tcW w:w="1375" w:type="dxa"/>
            <w:tcBorders>
              <w:top w:val="nil"/>
              <w:left w:val="nil"/>
              <w:bottom w:val="single" w:sz="4" w:space="0" w:color="auto"/>
              <w:right w:val="single" w:sz="4" w:space="0" w:color="auto"/>
            </w:tcBorders>
            <w:shd w:val="clear" w:color="auto" w:fill="auto"/>
            <w:vAlign w:val="center"/>
            <w:hideMark/>
          </w:tcPr>
          <w:p w14:paraId="7B3441D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7</w:t>
            </w:r>
          </w:p>
        </w:tc>
        <w:tc>
          <w:tcPr>
            <w:tcW w:w="1580" w:type="dxa"/>
            <w:tcBorders>
              <w:top w:val="nil"/>
              <w:left w:val="nil"/>
              <w:bottom w:val="single" w:sz="4" w:space="0" w:color="auto"/>
              <w:right w:val="single" w:sz="4" w:space="0" w:color="auto"/>
            </w:tcBorders>
            <w:shd w:val="clear" w:color="auto" w:fill="auto"/>
            <w:vAlign w:val="center"/>
            <w:hideMark/>
          </w:tcPr>
          <w:p w14:paraId="1ECEC30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1,3%</w:t>
            </w:r>
          </w:p>
        </w:tc>
      </w:tr>
      <w:tr w:rsidR="009214CC" w:rsidRPr="00CA04EC" w14:paraId="33E5591F"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F8C4D73"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Desastres industriales o en el espacio de trabajo.</w:t>
            </w:r>
          </w:p>
        </w:tc>
        <w:tc>
          <w:tcPr>
            <w:tcW w:w="1375" w:type="dxa"/>
            <w:tcBorders>
              <w:top w:val="nil"/>
              <w:left w:val="nil"/>
              <w:bottom w:val="single" w:sz="4" w:space="0" w:color="auto"/>
              <w:right w:val="single" w:sz="4" w:space="0" w:color="auto"/>
            </w:tcBorders>
            <w:shd w:val="clear" w:color="auto" w:fill="auto"/>
            <w:vAlign w:val="center"/>
            <w:hideMark/>
          </w:tcPr>
          <w:p w14:paraId="548416B5"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40</w:t>
            </w:r>
          </w:p>
        </w:tc>
        <w:tc>
          <w:tcPr>
            <w:tcW w:w="1580" w:type="dxa"/>
            <w:tcBorders>
              <w:top w:val="nil"/>
              <w:left w:val="nil"/>
              <w:bottom w:val="single" w:sz="4" w:space="0" w:color="auto"/>
              <w:right w:val="single" w:sz="4" w:space="0" w:color="auto"/>
            </w:tcBorders>
            <w:shd w:val="clear" w:color="auto" w:fill="auto"/>
            <w:vAlign w:val="center"/>
            <w:hideMark/>
          </w:tcPr>
          <w:p w14:paraId="6A68071A"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7,5%</w:t>
            </w:r>
          </w:p>
        </w:tc>
      </w:tr>
      <w:tr w:rsidR="009214CC" w:rsidRPr="00CA04EC" w14:paraId="256FF1DC"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098CA97"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Fuego.</w:t>
            </w:r>
          </w:p>
        </w:tc>
        <w:tc>
          <w:tcPr>
            <w:tcW w:w="1375" w:type="dxa"/>
            <w:tcBorders>
              <w:top w:val="nil"/>
              <w:left w:val="nil"/>
              <w:bottom w:val="single" w:sz="4" w:space="0" w:color="auto"/>
              <w:right w:val="single" w:sz="4" w:space="0" w:color="auto"/>
            </w:tcBorders>
            <w:shd w:val="clear" w:color="auto" w:fill="auto"/>
            <w:vAlign w:val="center"/>
            <w:hideMark/>
          </w:tcPr>
          <w:p w14:paraId="00A0AB8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42</w:t>
            </w:r>
          </w:p>
        </w:tc>
        <w:tc>
          <w:tcPr>
            <w:tcW w:w="1580" w:type="dxa"/>
            <w:tcBorders>
              <w:top w:val="nil"/>
              <w:left w:val="nil"/>
              <w:bottom w:val="single" w:sz="4" w:space="0" w:color="auto"/>
              <w:right w:val="single" w:sz="4" w:space="0" w:color="auto"/>
            </w:tcBorders>
            <w:shd w:val="clear" w:color="auto" w:fill="auto"/>
            <w:vAlign w:val="center"/>
            <w:hideMark/>
          </w:tcPr>
          <w:p w14:paraId="2EE1BF2D"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7,9%</w:t>
            </w:r>
          </w:p>
        </w:tc>
      </w:tr>
      <w:tr w:rsidR="009214CC" w:rsidRPr="00CA04EC" w14:paraId="0F125544"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29E3B35"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Ataque externo (terrorismo, explosivos, secuestro).</w:t>
            </w:r>
          </w:p>
        </w:tc>
        <w:tc>
          <w:tcPr>
            <w:tcW w:w="1375" w:type="dxa"/>
            <w:tcBorders>
              <w:top w:val="nil"/>
              <w:left w:val="nil"/>
              <w:bottom w:val="single" w:sz="4" w:space="0" w:color="auto"/>
              <w:right w:val="single" w:sz="4" w:space="0" w:color="auto"/>
            </w:tcBorders>
            <w:shd w:val="clear" w:color="auto" w:fill="auto"/>
            <w:vAlign w:val="center"/>
            <w:hideMark/>
          </w:tcPr>
          <w:p w14:paraId="1B523DE1"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43</w:t>
            </w:r>
          </w:p>
        </w:tc>
        <w:tc>
          <w:tcPr>
            <w:tcW w:w="1580" w:type="dxa"/>
            <w:tcBorders>
              <w:top w:val="nil"/>
              <w:left w:val="nil"/>
              <w:bottom w:val="single" w:sz="4" w:space="0" w:color="auto"/>
              <w:right w:val="single" w:sz="4" w:space="0" w:color="auto"/>
            </w:tcBorders>
            <w:shd w:val="clear" w:color="auto" w:fill="auto"/>
            <w:vAlign w:val="center"/>
            <w:hideMark/>
          </w:tcPr>
          <w:p w14:paraId="3D1CA5D3"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8,1%</w:t>
            </w:r>
          </w:p>
        </w:tc>
      </w:tr>
      <w:tr w:rsidR="003C4F76" w:rsidRPr="00CA04EC" w14:paraId="17EAFAF0"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D5DBB5D"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Desastres naturales.</w:t>
            </w:r>
          </w:p>
        </w:tc>
        <w:tc>
          <w:tcPr>
            <w:tcW w:w="1375" w:type="dxa"/>
            <w:tcBorders>
              <w:top w:val="single" w:sz="4" w:space="0" w:color="auto"/>
              <w:left w:val="nil"/>
              <w:bottom w:val="single" w:sz="4" w:space="0" w:color="auto"/>
              <w:right w:val="single" w:sz="4" w:space="0" w:color="auto"/>
            </w:tcBorders>
            <w:shd w:val="clear" w:color="000000" w:fill="FF0000"/>
            <w:vAlign w:val="center"/>
            <w:hideMark/>
          </w:tcPr>
          <w:p w14:paraId="1FE9B85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44</w:t>
            </w:r>
          </w:p>
        </w:tc>
        <w:tc>
          <w:tcPr>
            <w:tcW w:w="1580" w:type="dxa"/>
            <w:tcBorders>
              <w:top w:val="single" w:sz="4" w:space="0" w:color="auto"/>
              <w:left w:val="nil"/>
              <w:bottom w:val="single" w:sz="4" w:space="0" w:color="auto"/>
              <w:right w:val="single" w:sz="4" w:space="0" w:color="auto"/>
            </w:tcBorders>
            <w:shd w:val="clear" w:color="000000" w:fill="FF0000"/>
            <w:vAlign w:val="center"/>
            <w:hideMark/>
          </w:tcPr>
          <w:p w14:paraId="64512450"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8,3%</w:t>
            </w:r>
          </w:p>
        </w:tc>
      </w:tr>
      <w:tr w:rsidR="009214CC" w:rsidRPr="00CA04EC" w14:paraId="2E750F41" w14:textId="77777777" w:rsidTr="00C65BAC">
        <w:trPr>
          <w:trHeight w:val="290"/>
          <w:jc w:val="center"/>
        </w:trPr>
        <w:tc>
          <w:tcPr>
            <w:tcW w:w="6232" w:type="dxa"/>
            <w:tcBorders>
              <w:top w:val="single" w:sz="4" w:space="0" w:color="auto"/>
              <w:left w:val="single" w:sz="4" w:space="0" w:color="auto"/>
              <w:bottom w:val="single" w:sz="8" w:space="0" w:color="auto"/>
              <w:right w:val="single" w:sz="4" w:space="0" w:color="auto"/>
            </w:tcBorders>
            <w:shd w:val="clear" w:color="000000" w:fill="FF0000"/>
            <w:noWrap/>
            <w:vAlign w:val="center"/>
            <w:hideMark/>
          </w:tcPr>
          <w:p w14:paraId="2CA995EA"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Daños por agua.</w:t>
            </w:r>
          </w:p>
        </w:tc>
        <w:tc>
          <w:tcPr>
            <w:tcW w:w="1375" w:type="dxa"/>
            <w:tcBorders>
              <w:top w:val="single" w:sz="4" w:space="0" w:color="auto"/>
              <w:left w:val="nil"/>
              <w:bottom w:val="single" w:sz="8" w:space="0" w:color="auto"/>
              <w:right w:val="single" w:sz="4" w:space="0" w:color="auto"/>
            </w:tcBorders>
            <w:shd w:val="clear" w:color="000000" w:fill="FF0000"/>
            <w:vAlign w:val="center"/>
            <w:hideMark/>
          </w:tcPr>
          <w:p w14:paraId="00E90BDA"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45</w:t>
            </w:r>
          </w:p>
        </w:tc>
        <w:tc>
          <w:tcPr>
            <w:tcW w:w="1580" w:type="dxa"/>
            <w:tcBorders>
              <w:top w:val="single" w:sz="4" w:space="0" w:color="auto"/>
              <w:left w:val="nil"/>
              <w:bottom w:val="single" w:sz="8" w:space="0" w:color="auto"/>
              <w:right w:val="single" w:sz="4" w:space="0" w:color="auto"/>
            </w:tcBorders>
            <w:shd w:val="clear" w:color="000000" w:fill="FF0000"/>
            <w:vAlign w:val="center"/>
            <w:hideMark/>
          </w:tcPr>
          <w:p w14:paraId="07785582"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8,5%</w:t>
            </w:r>
          </w:p>
        </w:tc>
      </w:tr>
      <w:tr w:rsidR="009214CC" w:rsidRPr="00CA04EC" w14:paraId="6A36077F"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D70A57" w14:textId="77777777" w:rsidR="009214CC" w:rsidRPr="00CA04EC" w:rsidRDefault="009214CC" w:rsidP="009D09DC">
            <w:pPr>
              <w:spacing w:after="0" w:line="240" w:lineRule="auto"/>
              <w:ind w:left="0" w:right="0" w:firstLine="0"/>
              <w:rPr>
                <w:rFonts w:eastAsia="Times New Roman"/>
                <w:b/>
                <w:bCs/>
                <w:sz w:val="20"/>
                <w:szCs w:val="20"/>
              </w:rPr>
            </w:pPr>
            <w:r w:rsidRPr="00CA04EC">
              <w:rPr>
                <w:rFonts w:eastAsia="Times New Roman"/>
                <w:b/>
                <w:bCs/>
                <w:sz w:val="20"/>
                <w:szCs w:val="20"/>
              </w:rPr>
              <w:t>Subtotal del escenario</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63B48601"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235</w:t>
            </w:r>
          </w:p>
        </w:tc>
        <w:tc>
          <w:tcPr>
            <w:tcW w:w="1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F85C728"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44,3%</w:t>
            </w:r>
          </w:p>
        </w:tc>
      </w:tr>
      <w:tr w:rsidR="009214CC" w:rsidRPr="00CA04EC" w14:paraId="006972FF"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754B" w14:textId="77777777" w:rsidR="009214CC" w:rsidRPr="00CA04EC" w:rsidRDefault="009214CC" w:rsidP="009D09DC">
            <w:pPr>
              <w:spacing w:after="0" w:line="240" w:lineRule="auto"/>
              <w:ind w:left="0" w:right="0" w:firstLine="0"/>
              <w:jc w:val="left"/>
              <w:rPr>
                <w:rFonts w:eastAsia="Times New Roman"/>
                <w:color w:val="auto"/>
                <w:sz w:val="20"/>
                <w:szCs w:val="20"/>
              </w:rPr>
            </w:pPr>
            <w:r w:rsidRPr="00CA04EC">
              <w:rPr>
                <w:rFonts w:eastAsia="Times New Roman"/>
                <w:color w:val="auto"/>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33029623" w14:textId="77777777" w:rsidR="009214CC" w:rsidRPr="00CA04EC" w:rsidRDefault="009214CC" w:rsidP="009D09DC">
            <w:pPr>
              <w:spacing w:after="0" w:line="240" w:lineRule="auto"/>
              <w:ind w:left="0" w:right="0" w:firstLine="0"/>
              <w:jc w:val="center"/>
              <w:rPr>
                <w:rFonts w:eastAsia="Times New Roman"/>
                <w:color w:val="FF0000"/>
                <w:sz w:val="20"/>
                <w:szCs w:val="20"/>
              </w:rPr>
            </w:pPr>
            <w:r w:rsidRPr="00CA04EC">
              <w:rPr>
                <w:rFonts w:eastAsia="Times New Roman"/>
                <w:color w:val="FF0000"/>
                <w:sz w:val="20"/>
                <w:szCs w:val="20"/>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5469908" w14:textId="77777777" w:rsidR="009214CC" w:rsidRPr="00CA04EC" w:rsidRDefault="009214CC" w:rsidP="009D09DC">
            <w:pPr>
              <w:spacing w:after="0" w:line="240" w:lineRule="auto"/>
              <w:ind w:left="0" w:right="0" w:firstLine="0"/>
              <w:jc w:val="center"/>
              <w:rPr>
                <w:rFonts w:eastAsia="Times New Roman"/>
                <w:color w:val="FF0000"/>
                <w:sz w:val="20"/>
                <w:szCs w:val="20"/>
              </w:rPr>
            </w:pPr>
            <w:r w:rsidRPr="00CA04EC">
              <w:rPr>
                <w:rFonts w:eastAsia="Times New Roman"/>
                <w:color w:val="FF0000"/>
                <w:sz w:val="20"/>
                <w:szCs w:val="20"/>
              </w:rPr>
              <w:t> </w:t>
            </w:r>
          </w:p>
        </w:tc>
      </w:tr>
      <w:tr w:rsidR="009214CC" w:rsidRPr="00CA04EC" w14:paraId="5020258C"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000000" w:fill="0070C0"/>
            <w:vAlign w:val="center"/>
            <w:hideMark/>
          </w:tcPr>
          <w:p w14:paraId="686D3EC1"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Indisponibilidad tecnológica</w:t>
            </w:r>
          </w:p>
        </w:tc>
        <w:tc>
          <w:tcPr>
            <w:tcW w:w="1375" w:type="dxa"/>
            <w:tcBorders>
              <w:top w:val="nil"/>
              <w:left w:val="nil"/>
              <w:bottom w:val="single" w:sz="4" w:space="0" w:color="auto"/>
              <w:right w:val="single" w:sz="4" w:space="0" w:color="auto"/>
            </w:tcBorders>
            <w:shd w:val="clear" w:color="000000" w:fill="0070C0"/>
            <w:vAlign w:val="center"/>
            <w:hideMark/>
          </w:tcPr>
          <w:p w14:paraId="420D7311"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c>
          <w:tcPr>
            <w:tcW w:w="1580" w:type="dxa"/>
            <w:tcBorders>
              <w:top w:val="nil"/>
              <w:left w:val="nil"/>
              <w:bottom w:val="single" w:sz="4" w:space="0" w:color="auto"/>
              <w:right w:val="single" w:sz="4" w:space="0" w:color="auto"/>
            </w:tcBorders>
            <w:shd w:val="clear" w:color="000000" w:fill="0070C0"/>
            <w:vAlign w:val="center"/>
            <w:hideMark/>
          </w:tcPr>
          <w:p w14:paraId="19042C31"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r>
      <w:tr w:rsidR="009214CC" w:rsidRPr="00CA04EC" w14:paraId="179E919C"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C4D4C37"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Falta de permisos de acceso a sistemas</w:t>
            </w:r>
          </w:p>
        </w:tc>
        <w:tc>
          <w:tcPr>
            <w:tcW w:w="1375" w:type="dxa"/>
            <w:tcBorders>
              <w:top w:val="nil"/>
              <w:left w:val="nil"/>
              <w:bottom w:val="single" w:sz="4" w:space="0" w:color="auto"/>
              <w:right w:val="single" w:sz="4" w:space="0" w:color="auto"/>
            </w:tcBorders>
            <w:shd w:val="clear" w:color="auto" w:fill="auto"/>
            <w:vAlign w:val="center"/>
            <w:hideMark/>
          </w:tcPr>
          <w:p w14:paraId="3C71CA73"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747069FA"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3403294F"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944D5D4"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Desactualización de sistemas o bases de datos.</w:t>
            </w:r>
          </w:p>
        </w:tc>
        <w:tc>
          <w:tcPr>
            <w:tcW w:w="1375" w:type="dxa"/>
            <w:tcBorders>
              <w:top w:val="nil"/>
              <w:left w:val="nil"/>
              <w:bottom w:val="single" w:sz="4" w:space="0" w:color="auto"/>
              <w:right w:val="single" w:sz="4" w:space="0" w:color="auto"/>
            </w:tcBorders>
            <w:shd w:val="clear" w:color="auto" w:fill="auto"/>
            <w:vAlign w:val="center"/>
            <w:hideMark/>
          </w:tcPr>
          <w:p w14:paraId="20CBFCC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4CAD6B88"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5A1AEE0A"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8547A90"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Sobrecarga eléctrica.</w:t>
            </w:r>
          </w:p>
        </w:tc>
        <w:tc>
          <w:tcPr>
            <w:tcW w:w="1375" w:type="dxa"/>
            <w:tcBorders>
              <w:top w:val="nil"/>
              <w:left w:val="nil"/>
              <w:bottom w:val="single" w:sz="4" w:space="0" w:color="auto"/>
              <w:right w:val="single" w:sz="4" w:space="0" w:color="auto"/>
            </w:tcBorders>
            <w:shd w:val="clear" w:color="auto" w:fill="auto"/>
            <w:vAlign w:val="center"/>
            <w:hideMark/>
          </w:tcPr>
          <w:p w14:paraId="5BEECF5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7395EFB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3B6001A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62AE174"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de los sistemas de información.</w:t>
            </w:r>
          </w:p>
        </w:tc>
        <w:tc>
          <w:tcPr>
            <w:tcW w:w="1375" w:type="dxa"/>
            <w:tcBorders>
              <w:top w:val="nil"/>
              <w:left w:val="nil"/>
              <w:bottom w:val="single" w:sz="4" w:space="0" w:color="auto"/>
              <w:right w:val="single" w:sz="4" w:space="0" w:color="auto"/>
            </w:tcBorders>
            <w:shd w:val="clear" w:color="auto" w:fill="auto"/>
            <w:vAlign w:val="center"/>
            <w:hideMark/>
          </w:tcPr>
          <w:p w14:paraId="4618079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5</w:t>
            </w:r>
          </w:p>
        </w:tc>
        <w:tc>
          <w:tcPr>
            <w:tcW w:w="1580" w:type="dxa"/>
            <w:tcBorders>
              <w:top w:val="nil"/>
              <w:left w:val="nil"/>
              <w:bottom w:val="single" w:sz="4" w:space="0" w:color="auto"/>
              <w:right w:val="single" w:sz="4" w:space="0" w:color="auto"/>
            </w:tcBorders>
            <w:shd w:val="clear" w:color="auto" w:fill="auto"/>
            <w:vAlign w:val="center"/>
            <w:hideMark/>
          </w:tcPr>
          <w:p w14:paraId="22E80DA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0,9%</w:t>
            </w:r>
          </w:p>
        </w:tc>
      </w:tr>
      <w:tr w:rsidR="009214CC" w:rsidRPr="00CA04EC" w14:paraId="1DB1669F"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D2B480A"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Falla de sistemas o plataformas de operación</w:t>
            </w:r>
          </w:p>
        </w:tc>
        <w:tc>
          <w:tcPr>
            <w:tcW w:w="1375" w:type="dxa"/>
            <w:tcBorders>
              <w:top w:val="single" w:sz="4" w:space="0" w:color="auto"/>
              <w:left w:val="nil"/>
              <w:bottom w:val="single" w:sz="4" w:space="0" w:color="auto"/>
              <w:right w:val="single" w:sz="4" w:space="0" w:color="auto"/>
            </w:tcBorders>
            <w:shd w:val="clear" w:color="000000" w:fill="FF0000"/>
            <w:vAlign w:val="center"/>
            <w:hideMark/>
          </w:tcPr>
          <w:p w14:paraId="30779D9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6</w:t>
            </w:r>
          </w:p>
        </w:tc>
        <w:tc>
          <w:tcPr>
            <w:tcW w:w="1580" w:type="dxa"/>
            <w:tcBorders>
              <w:top w:val="single" w:sz="4" w:space="0" w:color="auto"/>
              <w:left w:val="nil"/>
              <w:bottom w:val="single" w:sz="4" w:space="0" w:color="auto"/>
              <w:right w:val="single" w:sz="4" w:space="0" w:color="auto"/>
            </w:tcBorders>
            <w:shd w:val="clear" w:color="000000" w:fill="FF0000"/>
            <w:vAlign w:val="center"/>
            <w:hideMark/>
          </w:tcPr>
          <w:p w14:paraId="77E4C04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1,1%</w:t>
            </w:r>
          </w:p>
        </w:tc>
      </w:tr>
      <w:tr w:rsidR="009214CC" w:rsidRPr="00CA04EC" w14:paraId="13589D34"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9BA9AEF"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Falla de servicios de comunicaciones</w:t>
            </w:r>
          </w:p>
        </w:tc>
        <w:tc>
          <w:tcPr>
            <w:tcW w:w="1375" w:type="dxa"/>
            <w:tcBorders>
              <w:top w:val="single" w:sz="4" w:space="0" w:color="auto"/>
              <w:left w:val="nil"/>
              <w:bottom w:val="single" w:sz="4" w:space="0" w:color="auto"/>
              <w:right w:val="single" w:sz="4" w:space="0" w:color="auto"/>
            </w:tcBorders>
            <w:shd w:val="clear" w:color="000000" w:fill="FF0000"/>
            <w:vAlign w:val="center"/>
            <w:hideMark/>
          </w:tcPr>
          <w:p w14:paraId="46D68D01"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28</w:t>
            </w:r>
          </w:p>
        </w:tc>
        <w:tc>
          <w:tcPr>
            <w:tcW w:w="1580" w:type="dxa"/>
            <w:tcBorders>
              <w:top w:val="single" w:sz="4" w:space="0" w:color="auto"/>
              <w:left w:val="nil"/>
              <w:bottom w:val="single" w:sz="4" w:space="0" w:color="auto"/>
              <w:right w:val="single" w:sz="4" w:space="0" w:color="auto"/>
            </w:tcBorders>
            <w:shd w:val="clear" w:color="000000" w:fill="FF0000"/>
            <w:vAlign w:val="center"/>
            <w:hideMark/>
          </w:tcPr>
          <w:p w14:paraId="2FEC3276"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5,3%</w:t>
            </w:r>
          </w:p>
        </w:tc>
      </w:tr>
      <w:tr w:rsidR="009214CC" w:rsidRPr="00CA04EC" w14:paraId="5673949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993A08B"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 xml:space="preserve">Acceso no autorizado a la infraestructura tecnológica y de comunicación que soporta el proceso. </w:t>
            </w:r>
          </w:p>
        </w:tc>
        <w:tc>
          <w:tcPr>
            <w:tcW w:w="1375" w:type="dxa"/>
            <w:tcBorders>
              <w:top w:val="nil"/>
              <w:left w:val="nil"/>
              <w:bottom w:val="single" w:sz="4" w:space="0" w:color="auto"/>
              <w:right w:val="single" w:sz="4" w:space="0" w:color="auto"/>
            </w:tcBorders>
            <w:shd w:val="clear" w:color="auto" w:fill="auto"/>
            <w:vAlign w:val="center"/>
            <w:hideMark/>
          </w:tcPr>
          <w:p w14:paraId="3F82C75E"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36</w:t>
            </w:r>
          </w:p>
        </w:tc>
        <w:tc>
          <w:tcPr>
            <w:tcW w:w="1580" w:type="dxa"/>
            <w:tcBorders>
              <w:top w:val="nil"/>
              <w:left w:val="nil"/>
              <w:bottom w:val="single" w:sz="4" w:space="0" w:color="auto"/>
              <w:right w:val="single" w:sz="4" w:space="0" w:color="auto"/>
            </w:tcBorders>
            <w:shd w:val="clear" w:color="auto" w:fill="auto"/>
            <w:vAlign w:val="center"/>
            <w:hideMark/>
          </w:tcPr>
          <w:p w14:paraId="172736F2"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6,8%</w:t>
            </w:r>
          </w:p>
        </w:tc>
      </w:tr>
      <w:tr w:rsidR="009214CC" w:rsidRPr="00CA04EC" w14:paraId="2B634048" w14:textId="77777777" w:rsidTr="00C65BAC">
        <w:trPr>
          <w:trHeight w:val="1400"/>
          <w:jc w:val="center"/>
        </w:trPr>
        <w:tc>
          <w:tcPr>
            <w:tcW w:w="623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17506D"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lastRenderedPageBreak/>
              <w:t xml:space="preserve">Amenazas tecnológicas (destrucción de la información, averías de origen físico o lógico, caída del sistema por agotamiento de recursos, degradación de los soportes de almacenamiento de información, errores de mantenimiento, errores de configuración, manipulación de la configuración, abuso de privilegios de acceso, denegación de servicio, vulnerabilidades de los programas). </w:t>
            </w:r>
          </w:p>
        </w:tc>
        <w:tc>
          <w:tcPr>
            <w:tcW w:w="1375" w:type="dxa"/>
            <w:tcBorders>
              <w:top w:val="single" w:sz="4" w:space="0" w:color="auto"/>
              <w:left w:val="nil"/>
              <w:bottom w:val="single" w:sz="4" w:space="0" w:color="auto"/>
              <w:right w:val="single" w:sz="4" w:space="0" w:color="auto"/>
            </w:tcBorders>
            <w:shd w:val="clear" w:color="auto" w:fill="FFFF00"/>
            <w:vAlign w:val="center"/>
            <w:hideMark/>
          </w:tcPr>
          <w:p w14:paraId="38751F98"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40</w:t>
            </w:r>
          </w:p>
        </w:tc>
        <w:tc>
          <w:tcPr>
            <w:tcW w:w="1580" w:type="dxa"/>
            <w:tcBorders>
              <w:top w:val="single" w:sz="4" w:space="0" w:color="auto"/>
              <w:left w:val="nil"/>
              <w:bottom w:val="single" w:sz="4" w:space="0" w:color="auto"/>
              <w:right w:val="single" w:sz="4" w:space="0" w:color="auto"/>
            </w:tcBorders>
            <w:shd w:val="clear" w:color="auto" w:fill="FFFF00"/>
            <w:vAlign w:val="center"/>
            <w:hideMark/>
          </w:tcPr>
          <w:p w14:paraId="0049D454"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7,5%</w:t>
            </w:r>
          </w:p>
        </w:tc>
      </w:tr>
      <w:tr w:rsidR="009214CC" w:rsidRPr="00CA04EC" w14:paraId="075DA38D" w14:textId="77777777" w:rsidTr="00C65BAC">
        <w:trPr>
          <w:trHeight w:val="290"/>
          <w:jc w:val="center"/>
        </w:trPr>
        <w:tc>
          <w:tcPr>
            <w:tcW w:w="6232" w:type="dxa"/>
            <w:tcBorders>
              <w:top w:val="single" w:sz="4" w:space="0" w:color="auto"/>
              <w:left w:val="single" w:sz="4" w:space="0" w:color="auto"/>
              <w:bottom w:val="single" w:sz="8" w:space="0" w:color="auto"/>
              <w:right w:val="single" w:sz="4" w:space="0" w:color="auto"/>
            </w:tcBorders>
            <w:shd w:val="clear" w:color="000000" w:fill="FF0000"/>
            <w:noWrap/>
            <w:vAlign w:val="center"/>
            <w:hideMark/>
          </w:tcPr>
          <w:p w14:paraId="19A5D29E"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Corte del suministro eléctrico.</w:t>
            </w:r>
          </w:p>
        </w:tc>
        <w:tc>
          <w:tcPr>
            <w:tcW w:w="1375" w:type="dxa"/>
            <w:tcBorders>
              <w:top w:val="single" w:sz="4" w:space="0" w:color="auto"/>
              <w:left w:val="nil"/>
              <w:bottom w:val="single" w:sz="8" w:space="0" w:color="auto"/>
              <w:right w:val="single" w:sz="4" w:space="0" w:color="auto"/>
            </w:tcBorders>
            <w:shd w:val="clear" w:color="000000" w:fill="FF0000"/>
            <w:vAlign w:val="center"/>
            <w:hideMark/>
          </w:tcPr>
          <w:p w14:paraId="098DABB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43</w:t>
            </w:r>
          </w:p>
        </w:tc>
        <w:tc>
          <w:tcPr>
            <w:tcW w:w="1580" w:type="dxa"/>
            <w:tcBorders>
              <w:top w:val="single" w:sz="4" w:space="0" w:color="auto"/>
              <w:left w:val="nil"/>
              <w:bottom w:val="single" w:sz="8" w:space="0" w:color="auto"/>
              <w:right w:val="single" w:sz="4" w:space="0" w:color="auto"/>
            </w:tcBorders>
            <w:shd w:val="clear" w:color="000000" w:fill="FF0000"/>
            <w:vAlign w:val="center"/>
            <w:hideMark/>
          </w:tcPr>
          <w:p w14:paraId="1B00C3A0"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8,1%</w:t>
            </w:r>
          </w:p>
        </w:tc>
      </w:tr>
      <w:tr w:rsidR="009214CC" w:rsidRPr="00CA04EC" w14:paraId="45C2F9D2"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E580435" w14:textId="77777777" w:rsidR="009214CC" w:rsidRPr="00CA04EC" w:rsidRDefault="009214CC" w:rsidP="009D09DC">
            <w:pPr>
              <w:spacing w:after="0" w:line="240" w:lineRule="auto"/>
              <w:ind w:left="0" w:right="0" w:firstLine="0"/>
              <w:rPr>
                <w:rFonts w:eastAsia="Times New Roman"/>
                <w:b/>
                <w:bCs/>
                <w:sz w:val="20"/>
                <w:szCs w:val="20"/>
              </w:rPr>
            </w:pPr>
            <w:r w:rsidRPr="00CA04EC">
              <w:rPr>
                <w:rFonts w:eastAsia="Times New Roman"/>
                <w:b/>
                <w:bCs/>
                <w:sz w:val="20"/>
                <w:szCs w:val="20"/>
              </w:rPr>
              <w:t>Subtotal del escenario</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01A630A3"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167</w:t>
            </w:r>
          </w:p>
        </w:tc>
        <w:tc>
          <w:tcPr>
            <w:tcW w:w="1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FA48659"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31,5%</w:t>
            </w:r>
          </w:p>
        </w:tc>
      </w:tr>
      <w:tr w:rsidR="009214CC" w:rsidRPr="00CA04EC" w14:paraId="7DC1C2CD"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6CB66" w14:textId="77777777" w:rsidR="009214CC" w:rsidRPr="00CA04EC" w:rsidRDefault="009214CC" w:rsidP="009D09DC">
            <w:pPr>
              <w:spacing w:after="0" w:line="240" w:lineRule="auto"/>
              <w:ind w:left="0" w:right="0" w:firstLine="0"/>
              <w:jc w:val="left"/>
              <w:rPr>
                <w:rFonts w:eastAsia="Times New Roman"/>
                <w:sz w:val="20"/>
                <w:szCs w:val="20"/>
              </w:rPr>
            </w:pPr>
            <w:r w:rsidRPr="00CA04EC">
              <w:rPr>
                <w:rFonts w:eastAsia="Times New Roman"/>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0DE5E74B"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7E6D68D"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r>
      <w:tr w:rsidR="009214CC" w:rsidRPr="00CA04EC" w14:paraId="449F32E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000000" w:fill="0070C0"/>
            <w:vAlign w:val="center"/>
            <w:hideMark/>
          </w:tcPr>
          <w:p w14:paraId="0D5B1BAD"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Dependencia de proveedores externos</w:t>
            </w:r>
          </w:p>
        </w:tc>
        <w:tc>
          <w:tcPr>
            <w:tcW w:w="1375" w:type="dxa"/>
            <w:tcBorders>
              <w:top w:val="nil"/>
              <w:left w:val="nil"/>
              <w:bottom w:val="single" w:sz="4" w:space="0" w:color="auto"/>
              <w:right w:val="single" w:sz="4" w:space="0" w:color="auto"/>
            </w:tcBorders>
            <w:shd w:val="clear" w:color="000000" w:fill="0070C0"/>
            <w:vAlign w:val="center"/>
            <w:hideMark/>
          </w:tcPr>
          <w:p w14:paraId="7B417038"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c>
          <w:tcPr>
            <w:tcW w:w="1580" w:type="dxa"/>
            <w:tcBorders>
              <w:top w:val="nil"/>
              <w:left w:val="nil"/>
              <w:bottom w:val="single" w:sz="4" w:space="0" w:color="auto"/>
              <w:right w:val="single" w:sz="4" w:space="0" w:color="auto"/>
            </w:tcBorders>
            <w:shd w:val="clear" w:color="000000" w:fill="0070C0"/>
            <w:vAlign w:val="center"/>
            <w:hideMark/>
          </w:tcPr>
          <w:p w14:paraId="187B1346"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r>
      <w:tr w:rsidR="009214CC" w:rsidRPr="00CA04EC" w14:paraId="2C0407F2"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A6FC266"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Falta de seguridad externa o interna.</w:t>
            </w:r>
          </w:p>
        </w:tc>
        <w:tc>
          <w:tcPr>
            <w:tcW w:w="1375" w:type="dxa"/>
            <w:tcBorders>
              <w:top w:val="nil"/>
              <w:left w:val="nil"/>
              <w:bottom w:val="single" w:sz="4" w:space="0" w:color="auto"/>
              <w:right w:val="single" w:sz="4" w:space="0" w:color="auto"/>
            </w:tcBorders>
            <w:shd w:val="clear" w:color="auto" w:fill="auto"/>
            <w:vAlign w:val="center"/>
            <w:hideMark/>
          </w:tcPr>
          <w:p w14:paraId="1C8182A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2F7EBC21"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7C8FB48C"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1B18D1B"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Ruptura de las relaciones con la agencia de Administración para el Control de Drogas (DEA).</w:t>
            </w:r>
          </w:p>
        </w:tc>
        <w:tc>
          <w:tcPr>
            <w:tcW w:w="1375" w:type="dxa"/>
            <w:tcBorders>
              <w:top w:val="nil"/>
              <w:left w:val="nil"/>
              <w:bottom w:val="single" w:sz="4" w:space="0" w:color="auto"/>
              <w:right w:val="single" w:sz="4" w:space="0" w:color="auto"/>
            </w:tcBorders>
            <w:shd w:val="clear" w:color="auto" w:fill="auto"/>
            <w:vAlign w:val="center"/>
            <w:hideMark/>
          </w:tcPr>
          <w:p w14:paraId="037F1583"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3D68E7C1"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350B2765"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00E4C1B"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Incumplimiento del proveedor especialista para realizar reparaciones. </w:t>
            </w:r>
          </w:p>
        </w:tc>
        <w:tc>
          <w:tcPr>
            <w:tcW w:w="1375" w:type="dxa"/>
            <w:tcBorders>
              <w:top w:val="nil"/>
              <w:left w:val="nil"/>
              <w:bottom w:val="single" w:sz="4" w:space="0" w:color="auto"/>
              <w:right w:val="single" w:sz="4" w:space="0" w:color="auto"/>
            </w:tcBorders>
            <w:shd w:val="clear" w:color="auto" w:fill="auto"/>
            <w:vAlign w:val="center"/>
            <w:hideMark/>
          </w:tcPr>
          <w:p w14:paraId="2F8A7B5B"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2</w:t>
            </w:r>
          </w:p>
        </w:tc>
        <w:tc>
          <w:tcPr>
            <w:tcW w:w="1580" w:type="dxa"/>
            <w:tcBorders>
              <w:top w:val="nil"/>
              <w:left w:val="nil"/>
              <w:bottom w:val="single" w:sz="4" w:space="0" w:color="auto"/>
              <w:right w:val="single" w:sz="4" w:space="0" w:color="auto"/>
            </w:tcBorders>
            <w:shd w:val="clear" w:color="auto" w:fill="auto"/>
            <w:vAlign w:val="center"/>
            <w:hideMark/>
          </w:tcPr>
          <w:p w14:paraId="6EAB19D6"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0,4%</w:t>
            </w:r>
          </w:p>
        </w:tc>
      </w:tr>
      <w:tr w:rsidR="009214CC" w:rsidRPr="00CA04EC" w14:paraId="1D6BD4B0"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7F322E3" w14:textId="71BF7A18" w:rsidR="009214CC" w:rsidRPr="00CA04EC" w:rsidRDefault="009009C8" w:rsidP="009D09DC">
            <w:pPr>
              <w:spacing w:after="0" w:line="240" w:lineRule="auto"/>
              <w:ind w:left="0" w:right="0" w:firstLine="0"/>
              <w:rPr>
                <w:rFonts w:eastAsia="Times New Roman"/>
                <w:sz w:val="20"/>
                <w:szCs w:val="20"/>
              </w:rPr>
            </w:pPr>
            <w:r w:rsidRPr="00CA04EC">
              <w:rPr>
                <w:rFonts w:eastAsia="Times New Roman"/>
                <w:sz w:val="20"/>
                <w:szCs w:val="20"/>
              </w:rPr>
              <w:t>Indisponibilidad</w:t>
            </w:r>
            <w:r w:rsidR="009214CC" w:rsidRPr="00CA04EC">
              <w:rPr>
                <w:rFonts w:eastAsia="Times New Roman"/>
                <w:sz w:val="20"/>
                <w:szCs w:val="20"/>
              </w:rPr>
              <w:t xml:space="preserve"> del proveedor del servicio</w:t>
            </w:r>
          </w:p>
        </w:tc>
        <w:tc>
          <w:tcPr>
            <w:tcW w:w="1375" w:type="dxa"/>
            <w:tcBorders>
              <w:top w:val="nil"/>
              <w:left w:val="nil"/>
              <w:bottom w:val="single" w:sz="4" w:space="0" w:color="auto"/>
              <w:right w:val="single" w:sz="4" w:space="0" w:color="auto"/>
            </w:tcBorders>
            <w:shd w:val="clear" w:color="auto" w:fill="auto"/>
            <w:vAlign w:val="center"/>
            <w:hideMark/>
          </w:tcPr>
          <w:p w14:paraId="158E261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14:paraId="09585970"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68498254"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CCB23DA"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Indisponibilidad del proveedor de los sistemas de la DTIC. </w:t>
            </w:r>
          </w:p>
        </w:tc>
        <w:tc>
          <w:tcPr>
            <w:tcW w:w="1375" w:type="dxa"/>
            <w:tcBorders>
              <w:top w:val="nil"/>
              <w:left w:val="nil"/>
              <w:bottom w:val="single" w:sz="4" w:space="0" w:color="auto"/>
              <w:right w:val="single" w:sz="4" w:space="0" w:color="auto"/>
            </w:tcBorders>
            <w:shd w:val="clear" w:color="auto" w:fill="auto"/>
            <w:vAlign w:val="center"/>
            <w:hideMark/>
          </w:tcPr>
          <w:p w14:paraId="282B39B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14:paraId="1D51DAF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2DFCF056"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719B97D"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Interrupción de servicios públicos básicos.</w:t>
            </w:r>
          </w:p>
        </w:tc>
        <w:tc>
          <w:tcPr>
            <w:tcW w:w="1375" w:type="dxa"/>
            <w:tcBorders>
              <w:top w:val="single" w:sz="4" w:space="0" w:color="auto"/>
              <w:left w:val="nil"/>
              <w:bottom w:val="single" w:sz="4" w:space="0" w:color="auto"/>
              <w:right w:val="single" w:sz="4" w:space="0" w:color="auto"/>
            </w:tcBorders>
            <w:shd w:val="clear" w:color="000000" w:fill="FF0000"/>
            <w:vAlign w:val="center"/>
            <w:hideMark/>
          </w:tcPr>
          <w:p w14:paraId="60EDDC9B"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3</w:t>
            </w:r>
          </w:p>
        </w:tc>
        <w:tc>
          <w:tcPr>
            <w:tcW w:w="1580" w:type="dxa"/>
            <w:tcBorders>
              <w:top w:val="single" w:sz="4" w:space="0" w:color="auto"/>
              <w:left w:val="nil"/>
              <w:bottom w:val="single" w:sz="4" w:space="0" w:color="auto"/>
              <w:right w:val="single" w:sz="4" w:space="0" w:color="auto"/>
            </w:tcBorders>
            <w:shd w:val="clear" w:color="000000" w:fill="FF0000"/>
            <w:vAlign w:val="center"/>
            <w:hideMark/>
          </w:tcPr>
          <w:p w14:paraId="20350B3D"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0,6%</w:t>
            </w:r>
          </w:p>
        </w:tc>
      </w:tr>
      <w:tr w:rsidR="009214CC" w:rsidRPr="00CA04EC" w14:paraId="357BAE57"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B9CF087"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Falta de combustible</w:t>
            </w:r>
          </w:p>
        </w:tc>
        <w:tc>
          <w:tcPr>
            <w:tcW w:w="1375" w:type="dxa"/>
            <w:tcBorders>
              <w:top w:val="nil"/>
              <w:left w:val="nil"/>
              <w:bottom w:val="single" w:sz="4" w:space="0" w:color="auto"/>
              <w:right w:val="single" w:sz="4" w:space="0" w:color="auto"/>
            </w:tcBorders>
            <w:shd w:val="clear" w:color="auto" w:fill="auto"/>
            <w:vAlign w:val="center"/>
            <w:hideMark/>
          </w:tcPr>
          <w:p w14:paraId="2EC44A5A"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3B653A55"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2F4A2D98" w14:textId="77777777" w:rsidTr="00C65BAC">
        <w:trPr>
          <w:trHeight w:val="29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64DC02D0"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Incumplimiento del proveedor de hospedaje CODISA. </w:t>
            </w:r>
          </w:p>
        </w:tc>
        <w:tc>
          <w:tcPr>
            <w:tcW w:w="1375" w:type="dxa"/>
            <w:tcBorders>
              <w:top w:val="nil"/>
              <w:left w:val="nil"/>
              <w:bottom w:val="single" w:sz="4" w:space="0" w:color="auto"/>
              <w:right w:val="single" w:sz="4" w:space="0" w:color="auto"/>
            </w:tcBorders>
            <w:shd w:val="clear" w:color="auto" w:fill="auto"/>
            <w:vAlign w:val="center"/>
            <w:hideMark/>
          </w:tcPr>
          <w:p w14:paraId="6764E32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246AC66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7A5A72FA"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C3E155" w14:textId="77777777" w:rsidR="009214CC" w:rsidRPr="00CA04EC" w:rsidRDefault="009214CC" w:rsidP="009D09DC">
            <w:pPr>
              <w:spacing w:after="0" w:line="240" w:lineRule="auto"/>
              <w:ind w:left="0" w:right="0" w:firstLine="0"/>
              <w:rPr>
                <w:rFonts w:eastAsia="Times New Roman"/>
                <w:b/>
                <w:bCs/>
                <w:sz w:val="20"/>
                <w:szCs w:val="20"/>
              </w:rPr>
            </w:pPr>
            <w:r w:rsidRPr="00CA04EC">
              <w:rPr>
                <w:rFonts w:eastAsia="Times New Roman"/>
                <w:b/>
                <w:bCs/>
                <w:sz w:val="20"/>
                <w:szCs w:val="20"/>
              </w:rPr>
              <w:t>Subtotal del escenario</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34A84DCD"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21</w:t>
            </w:r>
          </w:p>
        </w:tc>
        <w:tc>
          <w:tcPr>
            <w:tcW w:w="1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7BD75BC"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4,0%</w:t>
            </w:r>
          </w:p>
        </w:tc>
      </w:tr>
      <w:tr w:rsidR="009214CC" w:rsidRPr="00CA04EC" w14:paraId="25C2B2C7"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DE2C"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5ECD39D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230D0B0"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r>
      <w:tr w:rsidR="009214CC" w:rsidRPr="00CA04EC" w14:paraId="6378D150"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000000" w:fill="0070C0"/>
            <w:vAlign w:val="center"/>
            <w:hideMark/>
          </w:tcPr>
          <w:p w14:paraId="395130AC"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Carencia de insumos</w:t>
            </w:r>
          </w:p>
        </w:tc>
        <w:tc>
          <w:tcPr>
            <w:tcW w:w="1375" w:type="dxa"/>
            <w:tcBorders>
              <w:top w:val="nil"/>
              <w:left w:val="nil"/>
              <w:bottom w:val="single" w:sz="4" w:space="0" w:color="auto"/>
              <w:right w:val="single" w:sz="4" w:space="0" w:color="auto"/>
            </w:tcBorders>
            <w:shd w:val="clear" w:color="000000" w:fill="0070C0"/>
            <w:vAlign w:val="center"/>
            <w:hideMark/>
          </w:tcPr>
          <w:p w14:paraId="7AC4FFB0"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c>
          <w:tcPr>
            <w:tcW w:w="1580" w:type="dxa"/>
            <w:tcBorders>
              <w:top w:val="nil"/>
              <w:left w:val="nil"/>
              <w:bottom w:val="single" w:sz="4" w:space="0" w:color="auto"/>
              <w:right w:val="single" w:sz="4" w:space="0" w:color="auto"/>
            </w:tcBorders>
            <w:shd w:val="clear" w:color="000000" w:fill="0070C0"/>
            <w:vAlign w:val="center"/>
            <w:hideMark/>
          </w:tcPr>
          <w:p w14:paraId="7291EE88" w14:textId="77777777" w:rsidR="009214CC" w:rsidRPr="00CA04EC" w:rsidRDefault="009214CC" w:rsidP="009D09DC">
            <w:pPr>
              <w:spacing w:after="0" w:line="240" w:lineRule="auto"/>
              <w:ind w:left="0" w:right="0" w:firstLine="0"/>
              <w:jc w:val="center"/>
              <w:rPr>
                <w:rFonts w:eastAsia="Times New Roman"/>
                <w:b/>
                <w:bCs/>
                <w:color w:val="FFFFFF"/>
                <w:sz w:val="20"/>
                <w:szCs w:val="20"/>
              </w:rPr>
            </w:pPr>
            <w:r w:rsidRPr="00CA04EC">
              <w:rPr>
                <w:rFonts w:eastAsia="Times New Roman"/>
                <w:b/>
                <w:bCs/>
                <w:color w:val="FFFFFF"/>
                <w:sz w:val="20"/>
                <w:szCs w:val="20"/>
              </w:rPr>
              <w:t> </w:t>
            </w:r>
          </w:p>
        </w:tc>
      </w:tr>
      <w:tr w:rsidR="009214CC" w:rsidRPr="00CA04EC" w14:paraId="2CC1BE44"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D02D849"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Falta de reactivos, estándares, otros insumos. </w:t>
            </w:r>
          </w:p>
        </w:tc>
        <w:tc>
          <w:tcPr>
            <w:tcW w:w="1375" w:type="dxa"/>
            <w:tcBorders>
              <w:top w:val="nil"/>
              <w:left w:val="nil"/>
              <w:bottom w:val="single" w:sz="4" w:space="0" w:color="auto"/>
              <w:right w:val="single" w:sz="4" w:space="0" w:color="auto"/>
            </w:tcBorders>
            <w:shd w:val="clear" w:color="auto" w:fill="auto"/>
            <w:vAlign w:val="center"/>
            <w:hideMark/>
          </w:tcPr>
          <w:p w14:paraId="6130236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0ECB6A8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18C6437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FAD03A8"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Falta de repuestos</w:t>
            </w:r>
          </w:p>
        </w:tc>
        <w:tc>
          <w:tcPr>
            <w:tcW w:w="1375" w:type="dxa"/>
            <w:tcBorders>
              <w:top w:val="nil"/>
              <w:left w:val="nil"/>
              <w:bottom w:val="single" w:sz="4" w:space="0" w:color="auto"/>
              <w:right w:val="single" w:sz="4" w:space="0" w:color="auto"/>
            </w:tcBorders>
            <w:shd w:val="clear" w:color="auto" w:fill="auto"/>
            <w:vAlign w:val="center"/>
            <w:hideMark/>
          </w:tcPr>
          <w:p w14:paraId="4B720C6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715303D0"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75353F08"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91609B7"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de insumos</w:t>
            </w:r>
          </w:p>
        </w:tc>
        <w:tc>
          <w:tcPr>
            <w:tcW w:w="1375" w:type="dxa"/>
            <w:tcBorders>
              <w:top w:val="nil"/>
              <w:left w:val="nil"/>
              <w:bottom w:val="single" w:sz="4" w:space="0" w:color="auto"/>
              <w:right w:val="single" w:sz="4" w:space="0" w:color="auto"/>
            </w:tcBorders>
            <w:shd w:val="clear" w:color="auto" w:fill="auto"/>
            <w:vAlign w:val="center"/>
            <w:hideMark/>
          </w:tcPr>
          <w:p w14:paraId="2D7F65C8"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0B707B4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06BE9FC4"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6C00E9E"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Robo de equipos.</w:t>
            </w:r>
          </w:p>
        </w:tc>
        <w:tc>
          <w:tcPr>
            <w:tcW w:w="1375" w:type="dxa"/>
            <w:tcBorders>
              <w:top w:val="nil"/>
              <w:left w:val="nil"/>
              <w:bottom w:val="single" w:sz="4" w:space="0" w:color="auto"/>
              <w:right w:val="single" w:sz="4" w:space="0" w:color="auto"/>
            </w:tcBorders>
            <w:shd w:val="clear" w:color="auto" w:fill="auto"/>
            <w:vAlign w:val="center"/>
            <w:hideMark/>
          </w:tcPr>
          <w:p w14:paraId="60FD8ED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14:paraId="7A5E17A9"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0,2%</w:t>
            </w:r>
          </w:p>
        </w:tc>
      </w:tr>
      <w:tr w:rsidR="009214CC" w:rsidRPr="00CA04EC" w14:paraId="34C625C0"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A03CEEF"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Unidades insuficientes (vehículos).</w:t>
            </w:r>
          </w:p>
        </w:tc>
        <w:tc>
          <w:tcPr>
            <w:tcW w:w="1375" w:type="dxa"/>
            <w:tcBorders>
              <w:top w:val="nil"/>
              <w:left w:val="nil"/>
              <w:bottom w:val="single" w:sz="4" w:space="0" w:color="auto"/>
              <w:right w:val="single" w:sz="4" w:space="0" w:color="auto"/>
            </w:tcBorders>
            <w:shd w:val="clear" w:color="auto" w:fill="auto"/>
            <w:vAlign w:val="center"/>
            <w:hideMark/>
          </w:tcPr>
          <w:p w14:paraId="5F269185"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2</w:t>
            </w:r>
          </w:p>
        </w:tc>
        <w:tc>
          <w:tcPr>
            <w:tcW w:w="1580" w:type="dxa"/>
            <w:tcBorders>
              <w:top w:val="nil"/>
              <w:left w:val="nil"/>
              <w:bottom w:val="single" w:sz="4" w:space="0" w:color="auto"/>
              <w:right w:val="single" w:sz="4" w:space="0" w:color="auto"/>
            </w:tcBorders>
            <w:shd w:val="clear" w:color="auto" w:fill="auto"/>
            <w:vAlign w:val="center"/>
            <w:hideMark/>
          </w:tcPr>
          <w:p w14:paraId="65A98E5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0,4%</w:t>
            </w:r>
          </w:p>
        </w:tc>
      </w:tr>
      <w:tr w:rsidR="009214CC" w:rsidRPr="00CA04EC" w14:paraId="3CAE9BAD"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0A30C8B"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Carencia de equipo adecuado y necesario.</w:t>
            </w:r>
          </w:p>
        </w:tc>
        <w:tc>
          <w:tcPr>
            <w:tcW w:w="1375" w:type="dxa"/>
            <w:tcBorders>
              <w:top w:val="nil"/>
              <w:left w:val="nil"/>
              <w:bottom w:val="single" w:sz="4" w:space="0" w:color="auto"/>
              <w:right w:val="single" w:sz="4" w:space="0" w:color="auto"/>
            </w:tcBorders>
            <w:shd w:val="clear" w:color="auto" w:fill="auto"/>
            <w:vAlign w:val="center"/>
            <w:hideMark/>
          </w:tcPr>
          <w:p w14:paraId="7A250982"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79EAB855"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588DD097"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1970D00"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xml:space="preserve">Falta de presupuesto. </w:t>
            </w:r>
          </w:p>
        </w:tc>
        <w:tc>
          <w:tcPr>
            <w:tcW w:w="1375" w:type="dxa"/>
            <w:tcBorders>
              <w:top w:val="nil"/>
              <w:left w:val="nil"/>
              <w:bottom w:val="single" w:sz="4" w:space="0" w:color="auto"/>
              <w:right w:val="single" w:sz="4" w:space="0" w:color="auto"/>
            </w:tcBorders>
            <w:shd w:val="clear" w:color="auto" w:fill="auto"/>
            <w:vAlign w:val="center"/>
            <w:hideMark/>
          </w:tcPr>
          <w:p w14:paraId="6ADA619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56DF88BE"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768CC121" w14:textId="77777777" w:rsidTr="00C65BAC">
        <w:trPr>
          <w:trHeight w:val="28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3881C74"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Indisponibilidad de la información</w:t>
            </w:r>
          </w:p>
        </w:tc>
        <w:tc>
          <w:tcPr>
            <w:tcW w:w="1375" w:type="dxa"/>
            <w:tcBorders>
              <w:top w:val="nil"/>
              <w:left w:val="nil"/>
              <w:bottom w:val="single" w:sz="4" w:space="0" w:color="auto"/>
              <w:right w:val="single" w:sz="4" w:space="0" w:color="auto"/>
            </w:tcBorders>
            <w:shd w:val="clear" w:color="auto" w:fill="auto"/>
            <w:vAlign w:val="center"/>
            <w:hideMark/>
          </w:tcPr>
          <w:p w14:paraId="27B861B0"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4</w:t>
            </w:r>
          </w:p>
        </w:tc>
        <w:tc>
          <w:tcPr>
            <w:tcW w:w="1580" w:type="dxa"/>
            <w:tcBorders>
              <w:top w:val="nil"/>
              <w:left w:val="nil"/>
              <w:bottom w:val="single" w:sz="4" w:space="0" w:color="auto"/>
              <w:right w:val="single" w:sz="4" w:space="0" w:color="auto"/>
            </w:tcBorders>
            <w:shd w:val="clear" w:color="auto" w:fill="auto"/>
            <w:vAlign w:val="center"/>
            <w:hideMark/>
          </w:tcPr>
          <w:p w14:paraId="678864B7"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0,8%</w:t>
            </w:r>
          </w:p>
        </w:tc>
      </w:tr>
      <w:tr w:rsidR="009214CC" w:rsidRPr="00CA04EC" w14:paraId="07E912C9" w14:textId="77777777" w:rsidTr="00C65BAC">
        <w:trPr>
          <w:trHeight w:val="280"/>
          <w:jc w:val="center"/>
        </w:trPr>
        <w:tc>
          <w:tcPr>
            <w:tcW w:w="623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0DA0A79" w14:textId="45E1A569"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Falla de equipos base o soporte (</w:t>
            </w:r>
            <w:r w:rsidR="009009C8" w:rsidRPr="00CA04EC">
              <w:rPr>
                <w:rFonts w:eastAsia="Times New Roman"/>
                <w:color w:val="auto"/>
                <w:sz w:val="20"/>
                <w:szCs w:val="20"/>
              </w:rPr>
              <w:t>aires acondicionados</w:t>
            </w:r>
            <w:r w:rsidRPr="00CA04EC">
              <w:rPr>
                <w:rFonts w:eastAsia="Times New Roman"/>
                <w:color w:val="auto"/>
                <w:sz w:val="20"/>
                <w:szCs w:val="20"/>
              </w:rPr>
              <w:t>, alarmas, control de acceso).</w:t>
            </w:r>
          </w:p>
        </w:tc>
        <w:tc>
          <w:tcPr>
            <w:tcW w:w="1375" w:type="dxa"/>
            <w:tcBorders>
              <w:top w:val="single" w:sz="4" w:space="0" w:color="auto"/>
              <w:left w:val="nil"/>
              <w:bottom w:val="single" w:sz="4" w:space="0" w:color="auto"/>
              <w:right w:val="single" w:sz="4" w:space="0" w:color="auto"/>
            </w:tcBorders>
            <w:shd w:val="clear" w:color="000000" w:fill="FF0000"/>
            <w:vAlign w:val="center"/>
            <w:hideMark/>
          </w:tcPr>
          <w:p w14:paraId="17D0849F"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5</w:t>
            </w:r>
          </w:p>
        </w:tc>
        <w:tc>
          <w:tcPr>
            <w:tcW w:w="1580" w:type="dxa"/>
            <w:tcBorders>
              <w:top w:val="single" w:sz="4" w:space="0" w:color="auto"/>
              <w:left w:val="nil"/>
              <w:bottom w:val="single" w:sz="4" w:space="0" w:color="auto"/>
              <w:right w:val="single" w:sz="4" w:space="0" w:color="auto"/>
            </w:tcBorders>
            <w:shd w:val="clear" w:color="000000" w:fill="FF0000"/>
            <w:vAlign w:val="center"/>
            <w:hideMark/>
          </w:tcPr>
          <w:p w14:paraId="357C983C"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0,9%</w:t>
            </w:r>
          </w:p>
        </w:tc>
      </w:tr>
      <w:tr w:rsidR="009214CC" w:rsidRPr="00CA04EC" w14:paraId="7F27FD44" w14:textId="77777777" w:rsidTr="00C65BAC">
        <w:trPr>
          <w:trHeight w:val="29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3826C75" w14:textId="77777777" w:rsidR="009214CC" w:rsidRPr="00CA04EC" w:rsidRDefault="009214CC" w:rsidP="009D09DC">
            <w:pPr>
              <w:spacing w:after="0" w:line="240" w:lineRule="auto"/>
              <w:ind w:left="0" w:right="0" w:firstLine="0"/>
              <w:rPr>
                <w:rFonts w:eastAsia="Times New Roman"/>
                <w:color w:val="auto"/>
                <w:sz w:val="20"/>
                <w:szCs w:val="20"/>
              </w:rPr>
            </w:pPr>
            <w:r w:rsidRPr="00CA04EC">
              <w:rPr>
                <w:rFonts w:eastAsia="Times New Roman"/>
                <w:color w:val="auto"/>
                <w:sz w:val="20"/>
                <w:szCs w:val="20"/>
              </w:rPr>
              <w:t>Indisponibilidad de vehículos o transporte.</w:t>
            </w:r>
          </w:p>
        </w:tc>
        <w:tc>
          <w:tcPr>
            <w:tcW w:w="1375" w:type="dxa"/>
            <w:tcBorders>
              <w:top w:val="nil"/>
              <w:left w:val="nil"/>
              <w:bottom w:val="single" w:sz="4" w:space="0" w:color="auto"/>
              <w:right w:val="single" w:sz="4" w:space="0" w:color="auto"/>
            </w:tcBorders>
            <w:shd w:val="clear" w:color="auto" w:fill="auto"/>
            <w:vAlign w:val="center"/>
            <w:hideMark/>
          </w:tcPr>
          <w:p w14:paraId="0D878A4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10</w:t>
            </w:r>
          </w:p>
        </w:tc>
        <w:tc>
          <w:tcPr>
            <w:tcW w:w="1580" w:type="dxa"/>
            <w:tcBorders>
              <w:top w:val="nil"/>
              <w:left w:val="nil"/>
              <w:bottom w:val="single" w:sz="4" w:space="0" w:color="auto"/>
              <w:right w:val="single" w:sz="4" w:space="0" w:color="auto"/>
            </w:tcBorders>
            <w:shd w:val="clear" w:color="auto" w:fill="auto"/>
            <w:vAlign w:val="center"/>
            <w:hideMark/>
          </w:tcPr>
          <w:p w14:paraId="23D00A4D"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1,9%</w:t>
            </w:r>
          </w:p>
        </w:tc>
      </w:tr>
      <w:tr w:rsidR="009214CC" w:rsidRPr="00CA04EC" w14:paraId="38B7D572"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C2C1CFA" w14:textId="77777777" w:rsidR="009214CC" w:rsidRPr="00CA04EC" w:rsidRDefault="009214CC" w:rsidP="009D09DC">
            <w:pPr>
              <w:spacing w:after="0" w:line="240" w:lineRule="auto"/>
              <w:ind w:left="0" w:right="0" w:firstLine="0"/>
              <w:rPr>
                <w:rFonts w:eastAsia="Times New Roman"/>
                <w:b/>
                <w:bCs/>
                <w:sz w:val="20"/>
                <w:szCs w:val="20"/>
              </w:rPr>
            </w:pPr>
            <w:r w:rsidRPr="00CA04EC">
              <w:rPr>
                <w:rFonts w:eastAsia="Times New Roman"/>
                <w:b/>
                <w:bCs/>
                <w:sz w:val="20"/>
                <w:szCs w:val="20"/>
              </w:rPr>
              <w:t>Subtotal del escenario</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036085A8"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33</w:t>
            </w:r>
          </w:p>
        </w:tc>
        <w:tc>
          <w:tcPr>
            <w:tcW w:w="1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8F4218D"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6,2%</w:t>
            </w:r>
          </w:p>
        </w:tc>
      </w:tr>
      <w:tr w:rsidR="009214CC" w:rsidRPr="00CA04EC" w14:paraId="07127729" w14:textId="77777777" w:rsidTr="00C65BAC">
        <w:trPr>
          <w:trHeight w:val="290"/>
          <w:jc w:val="center"/>
        </w:trPr>
        <w:tc>
          <w:tcPr>
            <w:tcW w:w="6232" w:type="dxa"/>
            <w:tcBorders>
              <w:top w:val="single" w:sz="4" w:space="0" w:color="auto"/>
              <w:left w:val="single" w:sz="4" w:space="0" w:color="auto"/>
              <w:bottom w:val="nil"/>
              <w:right w:val="single" w:sz="4" w:space="0" w:color="auto"/>
            </w:tcBorders>
            <w:shd w:val="clear" w:color="auto" w:fill="auto"/>
            <w:noWrap/>
            <w:vAlign w:val="center"/>
            <w:hideMark/>
          </w:tcPr>
          <w:p w14:paraId="7F844B3B" w14:textId="77777777" w:rsidR="009214CC" w:rsidRPr="00CA04EC" w:rsidRDefault="009214CC" w:rsidP="009D09DC">
            <w:pPr>
              <w:spacing w:after="0" w:line="240" w:lineRule="auto"/>
              <w:ind w:left="0" w:right="0" w:firstLine="0"/>
              <w:rPr>
                <w:rFonts w:eastAsia="Times New Roman"/>
                <w:sz w:val="20"/>
                <w:szCs w:val="20"/>
              </w:rPr>
            </w:pPr>
            <w:r w:rsidRPr="00CA04EC">
              <w:rPr>
                <w:rFonts w:eastAsia="Times New Roman"/>
                <w:sz w:val="20"/>
                <w:szCs w:val="20"/>
              </w:rPr>
              <w:t> </w:t>
            </w:r>
          </w:p>
        </w:tc>
        <w:tc>
          <w:tcPr>
            <w:tcW w:w="1375" w:type="dxa"/>
            <w:tcBorders>
              <w:top w:val="single" w:sz="4" w:space="0" w:color="auto"/>
              <w:left w:val="nil"/>
              <w:bottom w:val="nil"/>
              <w:right w:val="single" w:sz="4" w:space="0" w:color="auto"/>
            </w:tcBorders>
            <w:shd w:val="clear" w:color="auto" w:fill="auto"/>
            <w:vAlign w:val="center"/>
            <w:hideMark/>
          </w:tcPr>
          <w:p w14:paraId="114707F4"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c>
          <w:tcPr>
            <w:tcW w:w="1580" w:type="dxa"/>
            <w:tcBorders>
              <w:top w:val="single" w:sz="4" w:space="0" w:color="auto"/>
              <w:left w:val="nil"/>
              <w:bottom w:val="nil"/>
              <w:right w:val="single" w:sz="4" w:space="0" w:color="auto"/>
            </w:tcBorders>
            <w:shd w:val="clear" w:color="auto" w:fill="auto"/>
            <w:vAlign w:val="center"/>
            <w:hideMark/>
          </w:tcPr>
          <w:p w14:paraId="6D08D64F" w14:textId="77777777" w:rsidR="009214CC" w:rsidRPr="00CA04EC" w:rsidRDefault="009214CC" w:rsidP="009D09DC">
            <w:pPr>
              <w:spacing w:after="0" w:line="240" w:lineRule="auto"/>
              <w:ind w:left="0" w:right="0" w:firstLine="0"/>
              <w:jc w:val="center"/>
              <w:rPr>
                <w:rFonts w:eastAsia="Times New Roman"/>
                <w:sz w:val="20"/>
                <w:szCs w:val="20"/>
              </w:rPr>
            </w:pPr>
            <w:r w:rsidRPr="00CA04EC">
              <w:rPr>
                <w:rFonts w:eastAsia="Times New Roman"/>
                <w:sz w:val="20"/>
                <w:szCs w:val="20"/>
              </w:rPr>
              <w:t> </w:t>
            </w:r>
          </w:p>
        </w:tc>
      </w:tr>
      <w:tr w:rsidR="009214CC" w:rsidRPr="00CA04EC" w14:paraId="57F37333" w14:textId="77777777" w:rsidTr="00C65BAC">
        <w:trPr>
          <w:trHeight w:val="290"/>
          <w:jc w:val="center"/>
        </w:trPr>
        <w:tc>
          <w:tcPr>
            <w:tcW w:w="623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20714" w14:textId="77777777" w:rsidR="009214CC" w:rsidRPr="00CA04EC" w:rsidRDefault="009214CC" w:rsidP="009D09DC">
            <w:pPr>
              <w:spacing w:after="0" w:line="240" w:lineRule="auto"/>
              <w:ind w:left="0" w:right="0" w:firstLine="0"/>
              <w:rPr>
                <w:rFonts w:eastAsia="Times New Roman"/>
                <w:b/>
                <w:bCs/>
                <w:sz w:val="20"/>
                <w:szCs w:val="20"/>
              </w:rPr>
            </w:pPr>
            <w:r w:rsidRPr="00CA04EC">
              <w:rPr>
                <w:rFonts w:eastAsia="Times New Roman"/>
                <w:b/>
                <w:bCs/>
                <w:sz w:val="20"/>
                <w:szCs w:val="20"/>
              </w:rPr>
              <w:t>Totales de factores contabilizados</w:t>
            </w:r>
          </w:p>
        </w:tc>
        <w:tc>
          <w:tcPr>
            <w:tcW w:w="1375" w:type="dxa"/>
            <w:tcBorders>
              <w:top w:val="single" w:sz="8" w:space="0" w:color="auto"/>
              <w:left w:val="nil"/>
              <w:bottom w:val="single" w:sz="8" w:space="0" w:color="auto"/>
              <w:right w:val="single" w:sz="4" w:space="0" w:color="auto"/>
            </w:tcBorders>
            <w:shd w:val="clear" w:color="auto" w:fill="auto"/>
            <w:vAlign w:val="center"/>
            <w:hideMark/>
          </w:tcPr>
          <w:p w14:paraId="33868A65" w14:textId="77777777"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530</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4B780F65" w14:textId="470D665D" w:rsidR="009214CC" w:rsidRPr="00CA04EC" w:rsidRDefault="009214CC" w:rsidP="009D09DC">
            <w:pPr>
              <w:spacing w:after="0" w:line="240" w:lineRule="auto"/>
              <w:ind w:left="0" w:right="0" w:firstLine="0"/>
              <w:jc w:val="center"/>
              <w:rPr>
                <w:rFonts w:eastAsia="Times New Roman"/>
                <w:b/>
                <w:bCs/>
                <w:sz w:val="20"/>
                <w:szCs w:val="20"/>
              </w:rPr>
            </w:pPr>
            <w:r w:rsidRPr="00CA04EC">
              <w:rPr>
                <w:rFonts w:eastAsia="Times New Roman"/>
                <w:b/>
                <w:bCs/>
                <w:sz w:val="20"/>
                <w:szCs w:val="20"/>
              </w:rPr>
              <w:t>100%</w:t>
            </w:r>
          </w:p>
        </w:tc>
      </w:tr>
    </w:tbl>
    <w:p w14:paraId="47211FD7" w14:textId="5CCF4E33" w:rsidR="00A92B9F" w:rsidRPr="0070574C" w:rsidRDefault="00A92B9F" w:rsidP="009D09DC">
      <w:pPr>
        <w:spacing w:after="0" w:line="240" w:lineRule="auto"/>
        <w:ind w:left="-5" w:right="94"/>
      </w:pPr>
    </w:p>
    <w:p w14:paraId="17F7E53A" w14:textId="64B27A6F" w:rsidR="00A92B9F" w:rsidRPr="0070574C" w:rsidRDefault="000655BB" w:rsidP="009D09DC">
      <w:pPr>
        <w:spacing w:after="0" w:line="240" w:lineRule="auto"/>
        <w:ind w:left="-5" w:right="94"/>
      </w:pPr>
      <w:r w:rsidRPr="0070574C">
        <w:rPr>
          <w:b/>
          <w:bCs/>
        </w:rPr>
        <w:t>Fuente:</w:t>
      </w:r>
      <w:r w:rsidRPr="0070574C">
        <w:t xml:space="preserve"> Elaboración propia a partir del “</w:t>
      </w:r>
      <w:r w:rsidR="00BF11B4">
        <w:t>I</w:t>
      </w:r>
      <w:r w:rsidRPr="0070574C">
        <w:t xml:space="preserve">nforme de </w:t>
      </w:r>
      <w:r w:rsidR="00BF11B4">
        <w:t>A</w:t>
      </w:r>
      <w:r w:rsidRPr="0070574C">
        <w:t xml:space="preserve">nálisis de </w:t>
      </w:r>
      <w:r w:rsidR="00BF11B4">
        <w:t>R</w:t>
      </w:r>
      <w:r w:rsidRPr="0070574C">
        <w:t xml:space="preserve">iesgos de </w:t>
      </w:r>
      <w:r w:rsidR="00BF11B4">
        <w:t>C</w:t>
      </w:r>
      <w:r w:rsidRPr="0070574C">
        <w:t xml:space="preserve">ontinuidad del </w:t>
      </w:r>
      <w:r w:rsidR="00BF11B4">
        <w:t>S</w:t>
      </w:r>
      <w:r w:rsidRPr="0070574C">
        <w:t xml:space="preserve">ervicio del </w:t>
      </w:r>
      <w:r w:rsidR="00BF11B4">
        <w:t>P</w:t>
      </w:r>
      <w:r w:rsidRPr="0070574C">
        <w:t xml:space="preserve">oder </w:t>
      </w:r>
      <w:r w:rsidR="00BF11B4">
        <w:t>J</w:t>
      </w:r>
      <w:r w:rsidRPr="0070574C">
        <w:t xml:space="preserve">udicial”, 2020. </w:t>
      </w:r>
    </w:p>
    <w:p w14:paraId="5648F6C6" w14:textId="7B49AC17" w:rsidR="009E22C7" w:rsidRPr="0070574C" w:rsidRDefault="009E22C7" w:rsidP="009D09DC">
      <w:pPr>
        <w:spacing w:after="0" w:line="240" w:lineRule="auto"/>
        <w:ind w:left="-5" w:right="94"/>
      </w:pPr>
    </w:p>
    <w:p w14:paraId="545BD7DB" w14:textId="7ECF0D8E" w:rsidR="00AE005A" w:rsidRPr="0070574C" w:rsidRDefault="00AE005A" w:rsidP="009D09DC">
      <w:pPr>
        <w:spacing w:after="0" w:line="240" w:lineRule="auto"/>
        <w:ind w:left="-5" w:right="94"/>
      </w:pPr>
      <w:r w:rsidRPr="0070574C">
        <w:lastRenderedPageBreak/>
        <w:t>En la siguiente gráfica se muestra la distribución de los riesgos según su frecuencia de identificación, donde se debe tener en cuenta que</w:t>
      </w:r>
      <w:r w:rsidR="00F24AB0" w:rsidRPr="0070574C">
        <w:t>,</w:t>
      </w:r>
      <w:r w:rsidRPr="0070574C">
        <w:t xml:space="preserve"> a mayor frecuen</w:t>
      </w:r>
      <w:r w:rsidR="00F24AB0" w:rsidRPr="0070574C">
        <w:t>ci</w:t>
      </w:r>
      <w:r w:rsidRPr="0070574C">
        <w:t>a, mayor probabilidad de ocurrencia</w:t>
      </w:r>
      <w:r w:rsidR="00F24AB0" w:rsidRPr="0070574C">
        <w:t xml:space="preserve"> y</w:t>
      </w:r>
      <w:r w:rsidR="00C10614" w:rsidRPr="0070574C">
        <w:t>,</w:t>
      </w:r>
      <w:r w:rsidR="00F24AB0" w:rsidRPr="0070574C">
        <w:t xml:space="preserve"> en consecuencia, </w:t>
      </w:r>
      <w:r w:rsidR="00C10614" w:rsidRPr="0070574C">
        <w:t>representan una mayor amenaza</w:t>
      </w:r>
      <w:r w:rsidR="00F24AB0" w:rsidRPr="0070574C">
        <w:t xml:space="preserve"> para el Poder Judicial</w:t>
      </w:r>
      <w:r w:rsidRPr="0070574C">
        <w:t xml:space="preserve">. </w:t>
      </w:r>
    </w:p>
    <w:p w14:paraId="67A5A058" w14:textId="77777777" w:rsidR="00B019BE" w:rsidRPr="0070574C" w:rsidRDefault="00B019BE" w:rsidP="009D09DC">
      <w:pPr>
        <w:pStyle w:val="Ttulo2"/>
        <w:spacing w:after="0" w:line="240" w:lineRule="auto"/>
        <w:jc w:val="both"/>
        <w:rPr>
          <w:bCs/>
          <w:sz w:val="22"/>
          <w:highlight w:val="yellow"/>
        </w:rPr>
      </w:pPr>
    </w:p>
    <w:p w14:paraId="1B2875C3" w14:textId="50C13689" w:rsidR="00F24AB0" w:rsidRDefault="00F24AB0" w:rsidP="009D09DC">
      <w:pPr>
        <w:pStyle w:val="Ttulo2"/>
        <w:spacing w:after="0" w:line="240" w:lineRule="auto"/>
        <w:jc w:val="both"/>
        <w:rPr>
          <w:sz w:val="22"/>
        </w:rPr>
      </w:pPr>
      <w:bookmarkStart w:id="16" w:name="_Toc155778527"/>
      <w:r w:rsidRPr="00994004">
        <w:rPr>
          <w:sz w:val="22"/>
        </w:rPr>
        <w:t>Gráfico 1. Mapa</w:t>
      </w:r>
      <w:r w:rsidRPr="0070574C">
        <w:rPr>
          <w:sz w:val="22"/>
        </w:rPr>
        <w:t xml:space="preserve"> gráfico de identificación de riesgos de continuidad en el Poder Judicial.</w:t>
      </w:r>
      <w:bookmarkEnd w:id="16"/>
      <w:r w:rsidRPr="0070574C">
        <w:rPr>
          <w:sz w:val="22"/>
        </w:rPr>
        <w:t xml:space="preserve"> </w:t>
      </w:r>
    </w:p>
    <w:p w14:paraId="1F561424" w14:textId="77777777" w:rsidR="00994004" w:rsidRPr="00994004" w:rsidRDefault="00994004" w:rsidP="009D09DC">
      <w:pPr>
        <w:spacing w:after="0" w:line="240" w:lineRule="auto"/>
      </w:pPr>
    </w:p>
    <w:p w14:paraId="7A3A7FE5" w14:textId="77777777" w:rsidR="00F24AB0" w:rsidRPr="0070574C" w:rsidRDefault="00F24AB0" w:rsidP="009D09DC">
      <w:pPr>
        <w:spacing w:after="0" w:line="240" w:lineRule="auto"/>
        <w:ind w:left="-5" w:right="94"/>
        <w:jc w:val="center"/>
      </w:pPr>
      <w:r w:rsidRPr="0070574C">
        <w:rPr>
          <w:noProof/>
        </w:rPr>
        <w:drawing>
          <wp:inline distT="0" distB="0" distL="0" distR="0" wp14:anchorId="1F009C1F" wp14:editId="14C80C1C">
            <wp:extent cx="5947576" cy="4463176"/>
            <wp:effectExtent l="0" t="0" r="0" b="0"/>
            <wp:docPr id="10"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pic:nvPicPr>
                  <pic:blipFill>
                    <a:blip r:embed="rId14"/>
                    <a:stretch>
                      <a:fillRect/>
                    </a:stretch>
                  </pic:blipFill>
                  <pic:spPr>
                    <a:xfrm>
                      <a:off x="0" y="0"/>
                      <a:ext cx="5964976" cy="4476233"/>
                    </a:xfrm>
                    <a:prstGeom prst="rect">
                      <a:avLst/>
                    </a:prstGeom>
                    <a:effectLst/>
                  </pic:spPr>
                </pic:pic>
              </a:graphicData>
            </a:graphic>
          </wp:inline>
        </w:drawing>
      </w:r>
    </w:p>
    <w:p w14:paraId="36D1C067" w14:textId="77777777" w:rsidR="00994004" w:rsidRDefault="00994004" w:rsidP="009D09DC">
      <w:pPr>
        <w:spacing w:after="0" w:line="240" w:lineRule="auto"/>
        <w:ind w:left="-5" w:right="94"/>
        <w:rPr>
          <w:b/>
          <w:bCs/>
        </w:rPr>
      </w:pPr>
    </w:p>
    <w:p w14:paraId="31496E07" w14:textId="237B6813" w:rsidR="00F24AB0" w:rsidRPr="0070574C" w:rsidRDefault="00F24AB0" w:rsidP="009D09DC">
      <w:pPr>
        <w:spacing w:after="0" w:line="240" w:lineRule="auto"/>
        <w:ind w:left="-5" w:right="94"/>
      </w:pPr>
      <w:r w:rsidRPr="0070574C">
        <w:rPr>
          <w:b/>
          <w:bCs/>
        </w:rPr>
        <w:t>Fuente:</w:t>
      </w:r>
      <w:r w:rsidRPr="0070574C">
        <w:t xml:space="preserve"> Elaboración propia a partir del </w:t>
      </w:r>
      <w:r w:rsidR="005A764E">
        <w:t xml:space="preserve">estudio del </w:t>
      </w:r>
      <w:r w:rsidRPr="0070574C">
        <w:t>“</w:t>
      </w:r>
      <w:r w:rsidR="00B33A49">
        <w:t>I</w:t>
      </w:r>
      <w:r w:rsidRPr="0070574C">
        <w:t xml:space="preserve">nforme de </w:t>
      </w:r>
      <w:r w:rsidR="00B33A49">
        <w:t>A</w:t>
      </w:r>
      <w:r w:rsidRPr="0070574C">
        <w:t xml:space="preserve">nálisis de </w:t>
      </w:r>
      <w:r w:rsidR="00B33A49">
        <w:t>R</w:t>
      </w:r>
      <w:r w:rsidRPr="0070574C">
        <w:t xml:space="preserve">iesgos de </w:t>
      </w:r>
      <w:r w:rsidR="00B33A49">
        <w:t>C</w:t>
      </w:r>
      <w:r w:rsidRPr="0070574C">
        <w:t xml:space="preserve">ontinuidad del </w:t>
      </w:r>
      <w:r w:rsidR="00B33A49">
        <w:t>S</w:t>
      </w:r>
      <w:r w:rsidRPr="0070574C">
        <w:t xml:space="preserve">ervicio del </w:t>
      </w:r>
      <w:r w:rsidR="00B33A49">
        <w:t>P</w:t>
      </w:r>
      <w:r w:rsidRPr="0070574C">
        <w:t xml:space="preserve">oder </w:t>
      </w:r>
      <w:r w:rsidR="00B33A49">
        <w:t>J</w:t>
      </w:r>
      <w:r w:rsidRPr="0070574C">
        <w:t xml:space="preserve">udicial”, 2020. </w:t>
      </w:r>
    </w:p>
    <w:p w14:paraId="690EC381" w14:textId="77777777" w:rsidR="00F24AB0" w:rsidRPr="0070574C" w:rsidRDefault="00F24AB0" w:rsidP="009D09DC">
      <w:pPr>
        <w:spacing w:after="0" w:line="240" w:lineRule="auto"/>
        <w:ind w:left="-5" w:right="94"/>
      </w:pPr>
    </w:p>
    <w:p w14:paraId="5C08C995" w14:textId="141115B6" w:rsidR="00E626BF" w:rsidRPr="00900DA4" w:rsidRDefault="00E626BF" w:rsidP="009D09DC">
      <w:pPr>
        <w:pStyle w:val="Ttulo2"/>
        <w:spacing w:after="0" w:line="240" w:lineRule="auto"/>
        <w:rPr>
          <w:color w:val="002060"/>
          <w:sz w:val="22"/>
        </w:rPr>
      </w:pPr>
      <w:bookmarkStart w:id="17" w:name="_Toc155778528"/>
      <w:r w:rsidRPr="00900DA4">
        <w:rPr>
          <w:color w:val="002060"/>
          <w:sz w:val="22"/>
        </w:rPr>
        <w:t>7.1 Indisponibilidad tecnológica</w:t>
      </w:r>
      <w:bookmarkEnd w:id="17"/>
    </w:p>
    <w:p w14:paraId="6AA96F72" w14:textId="77777777" w:rsidR="00E626BF" w:rsidRPr="0070574C" w:rsidRDefault="00E626BF" w:rsidP="009D09DC">
      <w:pPr>
        <w:spacing w:after="0" w:line="240" w:lineRule="auto"/>
        <w:ind w:left="-5" w:right="94"/>
      </w:pPr>
    </w:p>
    <w:p w14:paraId="766F1835" w14:textId="2335FC31" w:rsidR="00F24AB0" w:rsidRPr="0070574C" w:rsidRDefault="00E34357" w:rsidP="009D09DC">
      <w:pPr>
        <w:spacing w:after="0" w:line="240" w:lineRule="auto"/>
        <w:ind w:left="-5" w:right="94"/>
      </w:pPr>
      <w:r w:rsidRPr="0070574C">
        <w:t xml:space="preserve">El gráfico permite visualizar que </w:t>
      </w:r>
      <w:r w:rsidR="00551053" w:rsidRPr="0070574C">
        <w:t xml:space="preserve">en el escenario de Indisponibilidad de la Tecnología existen varias fuentes o factores de riesgo identificados con mucha frecuencia. El corte de suministro eléctrico es el más recurrente por haberse identificado más veces, pero a la vez es un factor que se ha materializo para despachos y oficinas, principalmente en zonas periféricas donde no se cuenta con contingencia eléctrica (generadores eléctricos y UPS). La falla de servicios de comunicaciones (red institucional) es otro factor materializado que ha interrumpido la prestación de servicios, lo cual se une con la falla de sistemas o plataformas de operación, que se da en casos de equipos que dan soporte a centros de datos, tal como los sistemas de aire </w:t>
      </w:r>
      <w:r w:rsidR="00551053" w:rsidRPr="0070574C">
        <w:lastRenderedPageBreak/>
        <w:t>acondicionado, sin los cuales los centros de datos no pueden operar, ya que se expone</w:t>
      </w:r>
      <w:r w:rsidR="0041499E">
        <w:t xml:space="preserve"> a</w:t>
      </w:r>
      <w:r w:rsidR="00551053" w:rsidRPr="0070574C">
        <w:t xml:space="preserve"> los equipos servidores a daños severos. </w:t>
      </w:r>
      <w:r w:rsidR="0017170D" w:rsidRPr="0070574C">
        <w:t xml:space="preserve">El resultado es la indisponibilidad de la plataforma de tecnología. </w:t>
      </w:r>
    </w:p>
    <w:p w14:paraId="700F842E" w14:textId="1E4EC702" w:rsidR="0017170D" w:rsidRPr="0070574C" w:rsidRDefault="0017170D" w:rsidP="009D09DC">
      <w:pPr>
        <w:spacing w:after="0" w:line="240" w:lineRule="auto"/>
        <w:ind w:left="-5" w:right="94"/>
      </w:pPr>
    </w:p>
    <w:p w14:paraId="4F355997" w14:textId="3CC6F4F8" w:rsidR="0017170D" w:rsidRDefault="0017170D" w:rsidP="009D09DC">
      <w:pPr>
        <w:spacing w:after="0" w:line="240" w:lineRule="auto"/>
        <w:ind w:left="-5" w:right="94"/>
      </w:pPr>
      <w:r w:rsidRPr="0070574C">
        <w:t xml:space="preserve">Igualmente, el gráfico permite observar el riesgo latente de las amenazas tecnológicas y el acceso no autorizado a la infraestructura tecnológica. En particular, las amenazas tecnológicas tienen una variedad amplia de fuentes; </w:t>
      </w:r>
      <w:r w:rsidR="00DE492E">
        <w:t xml:space="preserve">entre ellos </w:t>
      </w:r>
      <w:r w:rsidRPr="0070574C">
        <w:t xml:space="preserve">los riesgos de destrucción de la información, averías de origen físico o lógico, caída del sistema por agotamiento de recursos, degradación de los soportes de almacenamiento de información, errores de mantenimiento, errores de configuración, manipulación de la configuración, abuso de privilegios de acceso, denegación de servicio, vulnerabilidades de los programas. Todos ellos de gran sensibilidad para los servicios institucionales. </w:t>
      </w:r>
    </w:p>
    <w:p w14:paraId="2ED069B7" w14:textId="0C745BF6" w:rsidR="005A764E" w:rsidRDefault="005A764E" w:rsidP="009D09DC">
      <w:pPr>
        <w:spacing w:after="0" w:line="240" w:lineRule="auto"/>
        <w:ind w:left="-5" w:right="94"/>
      </w:pPr>
    </w:p>
    <w:p w14:paraId="15EC1D98" w14:textId="4A2CBC67" w:rsidR="00944BD5" w:rsidRPr="0070574C" w:rsidRDefault="00944BD5" w:rsidP="009D09DC">
      <w:pPr>
        <w:spacing w:after="0" w:line="240" w:lineRule="auto"/>
        <w:ind w:left="-5" w:right="94"/>
      </w:pPr>
      <w:r w:rsidRPr="0070574C">
        <w:t xml:space="preserve">Esta condición de riesgo inherente pone </w:t>
      </w:r>
      <w:r w:rsidR="00DE492E">
        <w:t>de</w:t>
      </w:r>
      <w:r w:rsidRPr="0070574C">
        <w:t xml:space="preserve"> manifiesto la necesidad del Poder Judicial para implementar estrategias y acciones de continuidad, desde la prevención, en relación con los riesgos que pueden indisponer la plataforma tecnológica de la cual dependen los despachos y oficinas judiciales para la prestación de sus servicios; lo cual se evidencia en que</w:t>
      </w:r>
      <w:r w:rsidR="0041499E">
        <w:t>,</w:t>
      </w:r>
      <w:r w:rsidRPr="0070574C">
        <w:t xml:space="preserve"> del total de factores de riesgo mapeados, el 31,5% corresponden a esta categoría tecnológica. </w:t>
      </w:r>
    </w:p>
    <w:p w14:paraId="678989E0" w14:textId="77777777" w:rsidR="00944BD5" w:rsidRDefault="00944BD5" w:rsidP="009D09DC">
      <w:pPr>
        <w:spacing w:after="0" w:line="240" w:lineRule="auto"/>
        <w:ind w:left="0" w:right="0" w:firstLine="0"/>
        <w:jc w:val="left"/>
      </w:pPr>
    </w:p>
    <w:p w14:paraId="227B475E" w14:textId="77777777" w:rsidR="00944BD5" w:rsidRPr="0070574C" w:rsidRDefault="00944BD5" w:rsidP="009D09DC">
      <w:pPr>
        <w:spacing w:after="0" w:line="240" w:lineRule="auto"/>
        <w:ind w:left="-5" w:right="94"/>
      </w:pPr>
      <w:r w:rsidRPr="0070574C">
        <w:t xml:space="preserve">La siguiente tabla da cuenta del nivel de riesgo inherente de la indisponibilidad tecnológica, considerando la evidencia extraída de la identificación de riesgos de las personas dueñas de los procesos y servicios críticos institucionales. </w:t>
      </w:r>
    </w:p>
    <w:p w14:paraId="10DADD5C" w14:textId="59F0EC59" w:rsidR="00944BD5" w:rsidRDefault="00944BD5" w:rsidP="009D09DC">
      <w:pPr>
        <w:spacing w:after="0" w:line="240" w:lineRule="auto"/>
        <w:ind w:left="0" w:right="0" w:firstLine="0"/>
        <w:jc w:val="left"/>
        <w:rPr>
          <w:b/>
        </w:rPr>
      </w:pPr>
    </w:p>
    <w:p w14:paraId="26B77270" w14:textId="60CF6ECF" w:rsidR="00F8646B" w:rsidRPr="0070574C" w:rsidRDefault="009D4031" w:rsidP="009D09DC">
      <w:pPr>
        <w:pStyle w:val="Ttulo2"/>
        <w:spacing w:after="0" w:line="240" w:lineRule="auto"/>
        <w:jc w:val="both"/>
        <w:rPr>
          <w:rFonts w:eastAsia="Times New Roman"/>
          <w:sz w:val="22"/>
        </w:rPr>
      </w:pPr>
      <w:bookmarkStart w:id="18" w:name="_Toc155778529"/>
      <w:r w:rsidRPr="00994004">
        <w:rPr>
          <w:sz w:val="22"/>
        </w:rPr>
        <w:t xml:space="preserve">Tabla </w:t>
      </w:r>
      <w:r w:rsidR="00994004" w:rsidRPr="00994004">
        <w:rPr>
          <w:sz w:val="22"/>
        </w:rPr>
        <w:t>7.</w:t>
      </w:r>
      <w:r w:rsidR="00F8646B" w:rsidRPr="00994004">
        <w:rPr>
          <w:sz w:val="22"/>
        </w:rPr>
        <w:t xml:space="preserve"> Nivel de riesgo inherente para el escenario disruptivo de </w:t>
      </w:r>
      <w:r w:rsidR="00F8646B" w:rsidRPr="00994004">
        <w:rPr>
          <w:rFonts w:eastAsia="Times New Roman"/>
          <w:sz w:val="22"/>
        </w:rPr>
        <w:t>Indisponibilidad tecnológica</w:t>
      </w:r>
      <w:r w:rsidR="00994004">
        <w:rPr>
          <w:rFonts w:eastAsia="Times New Roman"/>
          <w:sz w:val="22"/>
        </w:rPr>
        <w:t>.</w:t>
      </w:r>
      <w:bookmarkEnd w:id="18"/>
    </w:p>
    <w:p w14:paraId="5C121510" w14:textId="77777777" w:rsidR="009D4031" w:rsidRPr="0070574C" w:rsidRDefault="009D4031" w:rsidP="009D09DC">
      <w:pPr>
        <w:spacing w:after="0" w:line="240" w:lineRule="auto"/>
        <w:ind w:left="-5" w:right="94"/>
      </w:pPr>
    </w:p>
    <w:tbl>
      <w:tblPr>
        <w:tblW w:w="9918" w:type="dxa"/>
        <w:jc w:val="center"/>
        <w:tblCellMar>
          <w:left w:w="70" w:type="dxa"/>
          <w:right w:w="70" w:type="dxa"/>
        </w:tblCellMar>
        <w:tblLook w:val="04A0" w:firstRow="1" w:lastRow="0" w:firstColumn="1" w:lastColumn="0" w:noHBand="0" w:noVBand="1"/>
      </w:tblPr>
      <w:tblGrid>
        <w:gridCol w:w="1827"/>
        <w:gridCol w:w="1473"/>
        <w:gridCol w:w="984"/>
        <w:gridCol w:w="534"/>
        <w:gridCol w:w="597"/>
        <w:gridCol w:w="4503"/>
      </w:tblGrid>
      <w:tr w:rsidR="00B4441F" w:rsidRPr="0070574C" w14:paraId="04838E90" w14:textId="77777777" w:rsidTr="00C65BAC">
        <w:trPr>
          <w:trHeight w:val="580"/>
          <w:tblHeader/>
          <w:jc w:val="center"/>
        </w:trPr>
        <w:tc>
          <w:tcPr>
            <w:tcW w:w="182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CBEDB42" w14:textId="77777777" w:rsidR="009D4031" w:rsidRPr="0070574C" w:rsidRDefault="009D4031" w:rsidP="009D09DC">
            <w:pPr>
              <w:spacing w:after="0" w:line="240" w:lineRule="auto"/>
              <w:ind w:left="0" w:right="0" w:firstLine="0"/>
              <w:jc w:val="center"/>
              <w:rPr>
                <w:rFonts w:eastAsia="Times New Roman"/>
                <w:b/>
                <w:bCs/>
                <w:color w:val="FFFFFF"/>
              </w:rPr>
            </w:pPr>
            <w:r w:rsidRPr="0070574C">
              <w:rPr>
                <w:rFonts w:eastAsia="Times New Roman"/>
                <w:b/>
                <w:bCs/>
                <w:color w:val="FFFFFF"/>
              </w:rPr>
              <w:t>Escenario de riesgo</w:t>
            </w:r>
          </w:p>
        </w:tc>
        <w:tc>
          <w:tcPr>
            <w:tcW w:w="1473" w:type="dxa"/>
            <w:tcBorders>
              <w:top w:val="single" w:sz="4" w:space="0" w:color="auto"/>
              <w:left w:val="nil"/>
              <w:bottom w:val="single" w:sz="4" w:space="0" w:color="auto"/>
              <w:right w:val="single" w:sz="4" w:space="0" w:color="auto"/>
            </w:tcBorders>
            <w:shd w:val="clear" w:color="000000" w:fill="002060"/>
            <w:vAlign w:val="center"/>
            <w:hideMark/>
          </w:tcPr>
          <w:p w14:paraId="00EE41A8" w14:textId="77777777" w:rsidR="009D4031" w:rsidRPr="0070574C" w:rsidRDefault="009D4031"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 de ocurrencia</w:t>
            </w:r>
          </w:p>
        </w:tc>
        <w:tc>
          <w:tcPr>
            <w:tcW w:w="984" w:type="dxa"/>
            <w:tcBorders>
              <w:top w:val="single" w:sz="4" w:space="0" w:color="auto"/>
              <w:left w:val="nil"/>
              <w:bottom w:val="single" w:sz="4" w:space="0" w:color="auto"/>
              <w:right w:val="single" w:sz="4" w:space="0" w:color="auto"/>
            </w:tcBorders>
            <w:shd w:val="clear" w:color="000000" w:fill="002060"/>
            <w:vAlign w:val="center"/>
            <w:hideMark/>
          </w:tcPr>
          <w:p w14:paraId="4F5972DE" w14:textId="77777777" w:rsidR="009D4031" w:rsidRPr="0070574C" w:rsidRDefault="009D4031"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tc>
        <w:tc>
          <w:tcPr>
            <w:tcW w:w="1131" w:type="dxa"/>
            <w:gridSpan w:val="2"/>
            <w:tcBorders>
              <w:top w:val="single" w:sz="4" w:space="0" w:color="auto"/>
              <w:left w:val="nil"/>
              <w:bottom w:val="single" w:sz="4" w:space="0" w:color="auto"/>
              <w:right w:val="single" w:sz="4" w:space="0" w:color="000000"/>
            </w:tcBorders>
            <w:shd w:val="clear" w:color="000000" w:fill="002060"/>
            <w:vAlign w:val="center"/>
            <w:hideMark/>
          </w:tcPr>
          <w:p w14:paraId="35988844" w14:textId="77777777" w:rsidR="009D4031" w:rsidRPr="0070574C" w:rsidRDefault="009D4031" w:rsidP="009D09DC">
            <w:pPr>
              <w:spacing w:after="0" w:line="240" w:lineRule="auto"/>
              <w:ind w:left="0" w:right="0" w:firstLine="0"/>
              <w:jc w:val="center"/>
              <w:rPr>
                <w:rFonts w:eastAsia="Times New Roman"/>
                <w:b/>
                <w:bCs/>
                <w:color w:val="FFFFFF"/>
              </w:rPr>
            </w:pPr>
            <w:r w:rsidRPr="0070574C">
              <w:rPr>
                <w:rFonts w:eastAsia="Times New Roman"/>
                <w:b/>
                <w:bCs/>
                <w:color w:val="FFFFFF"/>
              </w:rPr>
              <w:t>Nivel de riesgo inherente</w:t>
            </w:r>
          </w:p>
        </w:tc>
        <w:tc>
          <w:tcPr>
            <w:tcW w:w="4503" w:type="dxa"/>
            <w:tcBorders>
              <w:top w:val="single" w:sz="4" w:space="0" w:color="auto"/>
              <w:left w:val="nil"/>
              <w:bottom w:val="single" w:sz="4" w:space="0" w:color="auto"/>
              <w:right w:val="single" w:sz="4" w:space="0" w:color="auto"/>
            </w:tcBorders>
            <w:shd w:val="clear" w:color="000000" w:fill="002060"/>
            <w:vAlign w:val="center"/>
            <w:hideMark/>
          </w:tcPr>
          <w:p w14:paraId="37B060EF" w14:textId="77777777" w:rsidR="009D4031" w:rsidRPr="0070574C" w:rsidRDefault="009D4031" w:rsidP="009D09DC">
            <w:pPr>
              <w:spacing w:after="0" w:line="240" w:lineRule="auto"/>
              <w:ind w:left="0" w:right="0" w:firstLine="0"/>
              <w:jc w:val="center"/>
              <w:rPr>
                <w:rFonts w:eastAsia="Times New Roman"/>
                <w:b/>
                <w:bCs/>
                <w:color w:val="FFFFFF"/>
              </w:rPr>
            </w:pPr>
            <w:r w:rsidRPr="0070574C">
              <w:rPr>
                <w:rFonts w:eastAsia="Times New Roman"/>
                <w:b/>
                <w:bCs/>
                <w:color w:val="FFFFFF"/>
              </w:rPr>
              <w:t>Justificación (Probabilidad e Impacto)</w:t>
            </w:r>
          </w:p>
        </w:tc>
      </w:tr>
      <w:tr w:rsidR="00B4441F" w:rsidRPr="0070574C" w14:paraId="1EB4235B" w14:textId="77777777" w:rsidTr="00C65BAC">
        <w:trPr>
          <w:trHeight w:val="563"/>
          <w:jc w:val="center"/>
        </w:trPr>
        <w:tc>
          <w:tcPr>
            <w:tcW w:w="1827" w:type="dxa"/>
            <w:tcBorders>
              <w:top w:val="nil"/>
              <w:left w:val="single" w:sz="4" w:space="0" w:color="auto"/>
              <w:bottom w:val="single" w:sz="4" w:space="0" w:color="auto"/>
              <w:right w:val="single" w:sz="4" w:space="0" w:color="auto"/>
            </w:tcBorders>
            <w:shd w:val="clear" w:color="auto" w:fill="auto"/>
            <w:vAlign w:val="center"/>
            <w:hideMark/>
          </w:tcPr>
          <w:p w14:paraId="4600E6B4" w14:textId="77777777" w:rsidR="009D4031" w:rsidRPr="0070574C" w:rsidRDefault="009D4031" w:rsidP="009D09DC">
            <w:pPr>
              <w:spacing w:after="0" w:line="240" w:lineRule="auto"/>
              <w:ind w:left="0" w:right="0" w:firstLine="0"/>
              <w:jc w:val="left"/>
              <w:rPr>
                <w:rFonts w:eastAsia="Times New Roman"/>
                <w:b/>
                <w:bCs/>
              </w:rPr>
            </w:pPr>
            <w:r w:rsidRPr="0070574C">
              <w:rPr>
                <w:rFonts w:eastAsia="Times New Roman"/>
                <w:b/>
                <w:bCs/>
              </w:rPr>
              <w:t>Indisponibilidad tecnológica</w:t>
            </w:r>
          </w:p>
        </w:tc>
        <w:tc>
          <w:tcPr>
            <w:tcW w:w="1473" w:type="dxa"/>
            <w:tcBorders>
              <w:top w:val="nil"/>
              <w:left w:val="nil"/>
              <w:bottom w:val="single" w:sz="4" w:space="0" w:color="auto"/>
              <w:right w:val="single" w:sz="4" w:space="0" w:color="auto"/>
            </w:tcBorders>
            <w:shd w:val="clear" w:color="auto" w:fill="auto"/>
            <w:vAlign w:val="center"/>
            <w:hideMark/>
          </w:tcPr>
          <w:p w14:paraId="2B9F70AB" w14:textId="77777777" w:rsidR="009D4031" w:rsidRPr="0070574C" w:rsidRDefault="009D4031" w:rsidP="009D09DC">
            <w:pPr>
              <w:spacing w:after="0" w:line="240" w:lineRule="auto"/>
              <w:ind w:left="0" w:right="0" w:firstLine="0"/>
              <w:jc w:val="center"/>
              <w:rPr>
                <w:rFonts w:eastAsia="Times New Roman"/>
              </w:rPr>
            </w:pPr>
            <w:r w:rsidRPr="0070574C">
              <w:rPr>
                <w:rFonts w:eastAsia="Times New Roman"/>
              </w:rPr>
              <w:t>Muy probable</w:t>
            </w:r>
            <w:r w:rsidRPr="0070574C">
              <w:rPr>
                <w:rFonts w:eastAsia="Times New Roman"/>
              </w:rPr>
              <w:br/>
              <w:t>(90)</w:t>
            </w:r>
          </w:p>
        </w:tc>
        <w:tc>
          <w:tcPr>
            <w:tcW w:w="984" w:type="dxa"/>
            <w:tcBorders>
              <w:top w:val="nil"/>
              <w:left w:val="nil"/>
              <w:bottom w:val="single" w:sz="4" w:space="0" w:color="auto"/>
              <w:right w:val="single" w:sz="4" w:space="0" w:color="auto"/>
            </w:tcBorders>
            <w:shd w:val="clear" w:color="auto" w:fill="auto"/>
            <w:vAlign w:val="center"/>
            <w:hideMark/>
          </w:tcPr>
          <w:p w14:paraId="1EB20B77" w14:textId="77777777" w:rsidR="009D4031" w:rsidRPr="0070574C" w:rsidRDefault="009D4031" w:rsidP="009D09DC">
            <w:pPr>
              <w:spacing w:after="0" w:line="240" w:lineRule="auto"/>
              <w:ind w:left="0" w:right="0" w:firstLine="0"/>
              <w:jc w:val="center"/>
              <w:rPr>
                <w:rFonts w:eastAsia="Times New Roman"/>
              </w:rPr>
            </w:pPr>
            <w:r w:rsidRPr="0070574C">
              <w:rPr>
                <w:rFonts w:eastAsia="Times New Roman"/>
              </w:rPr>
              <w:t>Muy alto</w:t>
            </w:r>
            <w:r w:rsidRPr="0070574C">
              <w:rPr>
                <w:rFonts w:eastAsia="Times New Roman"/>
              </w:rPr>
              <w:br/>
              <w:t>(5)</w:t>
            </w:r>
          </w:p>
        </w:tc>
        <w:tc>
          <w:tcPr>
            <w:tcW w:w="534" w:type="dxa"/>
            <w:tcBorders>
              <w:top w:val="nil"/>
              <w:left w:val="nil"/>
              <w:bottom w:val="single" w:sz="4" w:space="0" w:color="auto"/>
              <w:right w:val="single" w:sz="4" w:space="0" w:color="auto"/>
            </w:tcBorders>
            <w:shd w:val="clear" w:color="000000" w:fill="FF0000"/>
            <w:vAlign w:val="center"/>
            <w:hideMark/>
          </w:tcPr>
          <w:p w14:paraId="2F6EA8AD" w14:textId="77777777" w:rsidR="009D4031" w:rsidRPr="0070574C" w:rsidRDefault="009D4031" w:rsidP="009D09DC">
            <w:pPr>
              <w:spacing w:after="0" w:line="240" w:lineRule="auto"/>
              <w:ind w:left="0" w:right="0" w:firstLine="0"/>
              <w:jc w:val="center"/>
              <w:rPr>
                <w:rFonts w:eastAsia="Times New Roman"/>
                <w:b/>
                <w:bCs/>
              </w:rPr>
            </w:pPr>
            <w:r w:rsidRPr="0070574C">
              <w:rPr>
                <w:rFonts w:eastAsia="Times New Roman"/>
                <w:b/>
                <w:bCs/>
              </w:rPr>
              <w:t>450</w:t>
            </w:r>
          </w:p>
        </w:tc>
        <w:tc>
          <w:tcPr>
            <w:tcW w:w="597" w:type="dxa"/>
            <w:tcBorders>
              <w:top w:val="nil"/>
              <w:left w:val="nil"/>
              <w:bottom w:val="single" w:sz="4" w:space="0" w:color="auto"/>
              <w:right w:val="single" w:sz="4" w:space="0" w:color="auto"/>
            </w:tcBorders>
            <w:shd w:val="clear" w:color="000000" w:fill="FF0000"/>
            <w:vAlign w:val="center"/>
            <w:hideMark/>
          </w:tcPr>
          <w:p w14:paraId="4349C386" w14:textId="77777777" w:rsidR="009D4031" w:rsidRPr="0070574C" w:rsidRDefault="009D4031" w:rsidP="009D09DC">
            <w:pPr>
              <w:spacing w:after="0" w:line="240" w:lineRule="auto"/>
              <w:ind w:left="0" w:right="0" w:firstLine="0"/>
              <w:jc w:val="center"/>
              <w:rPr>
                <w:rFonts w:eastAsia="Times New Roman"/>
                <w:b/>
                <w:bCs/>
              </w:rPr>
            </w:pPr>
            <w:r w:rsidRPr="0070574C">
              <w:rPr>
                <w:rFonts w:eastAsia="Times New Roman"/>
                <w:b/>
                <w:bCs/>
              </w:rPr>
              <w:t>Alto</w:t>
            </w:r>
          </w:p>
        </w:tc>
        <w:tc>
          <w:tcPr>
            <w:tcW w:w="4503" w:type="dxa"/>
            <w:tcBorders>
              <w:top w:val="nil"/>
              <w:left w:val="nil"/>
              <w:bottom w:val="single" w:sz="4" w:space="0" w:color="auto"/>
              <w:right w:val="single" w:sz="4" w:space="0" w:color="auto"/>
            </w:tcBorders>
            <w:shd w:val="clear" w:color="auto" w:fill="auto"/>
            <w:vAlign w:val="center"/>
            <w:hideMark/>
          </w:tcPr>
          <w:p w14:paraId="3114FDA9" w14:textId="77777777" w:rsidR="00DE492E" w:rsidRDefault="009D4031" w:rsidP="009D09DC">
            <w:pPr>
              <w:spacing w:after="0" w:line="240" w:lineRule="auto"/>
              <w:ind w:left="0" w:right="0" w:firstLine="0"/>
              <w:rPr>
                <w:rFonts w:eastAsia="Times New Roman"/>
              </w:rPr>
            </w:pPr>
            <w:r w:rsidRPr="0070574C">
              <w:rPr>
                <w:rFonts w:eastAsia="Times New Roman"/>
                <w:b/>
                <w:bCs/>
              </w:rPr>
              <w:t xml:space="preserve">PO: </w:t>
            </w:r>
            <w:r w:rsidRPr="0070574C">
              <w:rPr>
                <w:rFonts w:eastAsia="Times New Roman"/>
              </w:rPr>
              <w:t>Este escenario se cataloga como muy probable pues se ha materializado y las causas pueden provenir de diferentes f</w:t>
            </w:r>
            <w:r w:rsidR="00DE492E">
              <w:rPr>
                <w:rFonts w:eastAsia="Times New Roman"/>
              </w:rPr>
              <w:t>uentes</w:t>
            </w:r>
            <w:r w:rsidRPr="0070574C">
              <w:rPr>
                <w:rFonts w:eastAsia="Times New Roman"/>
              </w:rPr>
              <w:t>; desde cortes de energía eléctrica a fallas de recursos soporte en los centros de datos, fallas en sistemas o equipos de comunicación y amenazas potenciales como ciberataques. Su ocurrencia obliga al Poder Judicial a mantener vigilancia constante para proteger esta infraestructura.</w:t>
            </w:r>
          </w:p>
          <w:p w14:paraId="7FDEBAE0" w14:textId="0D541A5C" w:rsidR="009D4031" w:rsidRPr="0070574C" w:rsidRDefault="009D4031" w:rsidP="009D09DC">
            <w:pPr>
              <w:spacing w:after="0" w:line="240" w:lineRule="auto"/>
              <w:ind w:left="0" w:right="0" w:firstLine="0"/>
              <w:rPr>
                <w:rFonts w:eastAsia="Times New Roman"/>
              </w:rPr>
            </w:pPr>
            <w:r w:rsidRPr="0070574C">
              <w:rPr>
                <w:rFonts w:eastAsia="Times New Roman"/>
              </w:rPr>
              <w:br/>
            </w:r>
            <w:r w:rsidRPr="0070574C">
              <w:rPr>
                <w:rFonts w:eastAsia="Times New Roman"/>
                <w:b/>
                <w:bCs/>
              </w:rPr>
              <w:t>I:</w:t>
            </w:r>
            <w:r w:rsidRPr="0070574C">
              <w:rPr>
                <w:rFonts w:eastAsia="Times New Roman"/>
              </w:rPr>
              <w:t xml:space="preserve"> El impacto es muy alto pues el Poder Judicial tiene una gran cantidad de servicios que dependen de la plataforma tecnológica, entre lo cual se destaca la digitalización de servicios y en particular de los expedientes electrónicos. </w:t>
            </w:r>
          </w:p>
        </w:tc>
      </w:tr>
    </w:tbl>
    <w:p w14:paraId="7FBD16D2" w14:textId="1EAB7E46" w:rsidR="009D4031" w:rsidRPr="0070574C" w:rsidRDefault="009D4031" w:rsidP="009D09DC">
      <w:pPr>
        <w:spacing w:after="0" w:line="240" w:lineRule="auto"/>
        <w:ind w:left="-5" w:right="94"/>
      </w:pPr>
    </w:p>
    <w:p w14:paraId="34181900" w14:textId="7ECD24A0" w:rsidR="00F8646B" w:rsidRPr="0070574C" w:rsidRDefault="00F8646B" w:rsidP="009D09DC">
      <w:pPr>
        <w:spacing w:after="0" w:line="240" w:lineRule="auto"/>
        <w:ind w:left="-5" w:right="94"/>
      </w:pPr>
      <w:r w:rsidRPr="0070574C">
        <w:rPr>
          <w:b/>
          <w:bCs/>
        </w:rPr>
        <w:lastRenderedPageBreak/>
        <w:t>Fuente:</w:t>
      </w:r>
      <w:r w:rsidRPr="0070574C">
        <w:t xml:space="preserve"> Elaboración propia a partir de metodología SEVRI-PJ, según datos recabados de análisis de riesgos para procesos y servicios críticos institucionales. </w:t>
      </w:r>
    </w:p>
    <w:p w14:paraId="46E13F6D" w14:textId="4A4B0506" w:rsidR="00D44EF1" w:rsidRPr="0070574C" w:rsidRDefault="00D44EF1" w:rsidP="009D09DC">
      <w:pPr>
        <w:spacing w:after="0" w:line="240" w:lineRule="auto"/>
        <w:ind w:left="-5" w:right="94"/>
      </w:pPr>
    </w:p>
    <w:p w14:paraId="5ECB468D" w14:textId="56AC8A9C" w:rsidR="00593EAF" w:rsidRPr="00900DA4" w:rsidRDefault="00593EAF" w:rsidP="009D09DC">
      <w:pPr>
        <w:pStyle w:val="Ttulo2"/>
        <w:spacing w:after="0" w:line="240" w:lineRule="auto"/>
        <w:rPr>
          <w:color w:val="002060"/>
          <w:sz w:val="22"/>
        </w:rPr>
      </w:pPr>
      <w:bookmarkStart w:id="19" w:name="_Toc155778530"/>
      <w:r w:rsidRPr="00900DA4">
        <w:rPr>
          <w:color w:val="002060"/>
          <w:sz w:val="22"/>
        </w:rPr>
        <w:t>7.2 Indisponibilidad del recurso humano</w:t>
      </w:r>
      <w:bookmarkEnd w:id="19"/>
    </w:p>
    <w:p w14:paraId="3C4A8F7B" w14:textId="77777777" w:rsidR="00593EAF" w:rsidRPr="0070574C" w:rsidRDefault="00593EAF" w:rsidP="009D09DC">
      <w:pPr>
        <w:spacing w:after="0" w:line="240" w:lineRule="auto"/>
        <w:ind w:left="-5" w:right="94"/>
      </w:pPr>
    </w:p>
    <w:p w14:paraId="57E32043" w14:textId="621ECA1F" w:rsidR="00DA1FEC" w:rsidRPr="0070574C" w:rsidRDefault="00DA1FEC" w:rsidP="009D09DC">
      <w:pPr>
        <w:spacing w:after="0" w:line="240" w:lineRule="auto"/>
        <w:ind w:left="-5" w:right="94"/>
      </w:pPr>
      <w:r w:rsidRPr="0070574C">
        <w:t xml:space="preserve">Evidencia de lo sensible que es el </w:t>
      </w:r>
      <w:r w:rsidR="00DE492E">
        <w:t>capital</w:t>
      </w:r>
      <w:r w:rsidRPr="0070574C">
        <w:t xml:space="preserve"> humano </w:t>
      </w:r>
      <w:r w:rsidR="00DE492E">
        <w:t xml:space="preserve">en </w:t>
      </w:r>
      <w:r w:rsidRPr="0070574C">
        <w:t xml:space="preserve">el Poder Judicial se tiene al observar que el 14% del total de la frecuencia de factores identificados están abarcados por el escenario de Indisponibilidad del recurso humano. Particularmente, la “indisponibilidad o carencia del personal” es el riesgo de mayor peso en este escenario, con un 8,9% del total de factores de disrupción identificados.  </w:t>
      </w:r>
    </w:p>
    <w:p w14:paraId="3F599410" w14:textId="77777777" w:rsidR="00DA1FEC" w:rsidRPr="0070574C" w:rsidRDefault="00DA1FEC" w:rsidP="009D09DC">
      <w:pPr>
        <w:spacing w:after="0" w:line="240" w:lineRule="auto"/>
        <w:ind w:left="-5" w:right="94"/>
      </w:pPr>
    </w:p>
    <w:p w14:paraId="6A920EF7" w14:textId="0C3D3D6A" w:rsidR="00DA1FEC" w:rsidRPr="0070574C" w:rsidRDefault="00DA1FEC" w:rsidP="009D09DC">
      <w:pPr>
        <w:spacing w:after="0" w:line="240" w:lineRule="auto"/>
        <w:ind w:left="-5" w:right="94"/>
      </w:pPr>
      <w:r w:rsidRPr="0070574C">
        <w:t>Adicionalmente, es necesario indicar que la indisponibilidad del recurso humano es un escenario que ya se ha materializado en el Poder Judicial, muy particular en el contexto de la pandemia originada por el COVID en el año 2020</w:t>
      </w:r>
      <w:r w:rsidR="00DE492E">
        <w:t>; p</w:t>
      </w:r>
      <w:r w:rsidRPr="0070574C">
        <w:t xml:space="preserve">ero también se ha presentado en otros sucesos de continuidad operativa de las oficinas o despachos donde se pueden presentar ausencias por incapacidades, huelgas (como la vivida a lo interno de la institución en el año 2018), medidas sanitarias por enfermedad, entre otros casos. </w:t>
      </w:r>
    </w:p>
    <w:p w14:paraId="6E0BDB26" w14:textId="77777777" w:rsidR="00DA1FEC" w:rsidRDefault="00DA1FEC" w:rsidP="009D09DC">
      <w:pPr>
        <w:spacing w:after="0" w:line="240" w:lineRule="auto"/>
        <w:ind w:left="-5" w:right="94"/>
      </w:pPr>
    </w:p>
    <w:p w14:paraId="6190CBB7" w14:textId="3E4DEFAA" w:rsidR="00593EAF" w:rsidRPr="0070574C" w:rsidRDefault="00593EAF" w:rsidP="009D09DC">
      <w:pPr>
        <w:spacing w:after="0" w:line="240" w:lineRule="auto"/>
        <w:ind w:left="-5" w:right="94"/>
      </w:pPr>
      <w:r w:rsidRPr="006B5738">
        <w:t>E</w:t>
      </w:r>
      <w:r w:rsidR="00E626BF" w:rsidRPr="006B5738">
        <w:t xml:space="preserve">n </w:t>
      </w:r>
      <w:r w:rsidR="00DA1FEC" w:rsidRPr="006B5738">
        <w:t>esta misma categoría,</w:t>
      </w:r>
      <w:r w:rsidRPr="006B5738">
        <w:t xml:space="preserve"> la gráfica </w:t>
      </w:r>
      <w:r w:rsidR="00994004" w:rsidRPr="006B5738">
        <w:t>1</w:t>
      </w:r>
      <w:r w:rsidRPr="006B5738">
        <w:t xml:space="preserve"> </w:t>
      </w:r>
      <w:r w:rsidR="00B4441F" w:rsidRPr="006B5738">
        <w:t>resalta</w:t>
      </w:r>
      <w:r w:rsidRPr="006B5738">
        <w:t xml:space="preserve"> a la vista dos factores relevantes: capacitación y especialización del personal</w:t>
      </w:r>
      <w:r w:rsidR="00DA1FEC" w:rsidRPr="006B5738">
        <w:t>, junto con la indisponibilidad del personal informático</w:t>
      </w:r>
      <w:r w:rsidRPr="006B5738">
        <w:t>.</w:t>
      </w:r>
      <w:r w:rsidRPr="0070574C">
        <w:t xml:space="preserve"> </w:t>
      </w:r>
    </w:p>
    <w:p w14:paraId="6AFA31F2" w14:textId="77777777" w:rsidR="00593EAF" w:rsidRPr="0070574C" w:rsidRDefault="00593EAF" w:rsidP="009D09DC">
      <w:pPr>
        <w:spacing w:after="0" w:line="240" w:lineRule="auto"/>
        <w:ind w:left="-5" w:right="94"/>
      </w:pPr>
    </w:p>
    <w:p w14:paraId="615EFFB4" w14:textId="0589D6A3" w:rsidR="009C187B" w:rsidRDefault="00593EAF" w:rsidP="009C187B">
      <w:pPr>
        <w:spacing w:after="0" w:line="240" w:lineRule="auto"/>
        <w:ind w:left="-5" w:right="94"/>
        <w:rPr>
          <w:color w:val="auto"/>
        </w:rPr>
      </w:pPr>
      <w:r w:rsidRPr="0070574C">
        <w:t>Existen procesos y servicios críticos que están en manos de personas con formación especializada y</w:t>
      </w:r>
      <w:r w:rsidR="006B5738">
        <w:t>,</w:t>
      </w:r>
      <w:r w:rsidRPr="0070574C">
        <w:t xml:space="preserve"> por tanto, su ausencia representaría una baja sumamente sensible para la continuidad de los servicios implicados</w:t>
      </w:r>
      <w:r w:rsidR="009C187B">
        <w:t>. Este e</w:t>
      </w:r>
      <w:r w:rsidR="009C187B" w:rsidRPr="00DA1FEC">
        <w:rPr>
          <w:color w:val="auto"/>
        </w:rPr>
        <w:t>s el caso de personal técnico y operativo presente en el proceso de “Seguridad humana y física Poder Judicial”, personal del OIJ para atención de eventos de crisis (Atención de sitios de suceso)</w:t>
      </w:r>
      <w:r w:rsidR="000F5E38">
        <w:rPr>
          <w:color w:val="auto"/>
        </w:rPr>
        <w:t xml:space="preserve"> así como el personal encargado de la pla</w:t>
      </w:r>
      <w:r w:rsidR="00A7733F">
        <w:rPr>
          <w:color w:val="auto"/>
        </w:rPr>
        <w:t>ta</w:t>
      </w:r>
      <w:r w:rsidR="000F5E38">
        <w:rPr>
          <w:color w:val="auto"/>
        </w:rPr>
        <w:t>forma de comunicaciones radiales del OIJ</w:t>
      </w:r>
      <w:r w:rsidR="009C187B" w:rsidRPr="00DA1FEC">
        <w:rPr>
          <w:color w:val="auto"/>
        </w:rPr>
        <w:t xml:space="preserve"> </w:t>
      </w:r>
      <w:r w:rsidR="00A7733F">
        <w:rPr>
          <w:color w:val="auto"/>
        </w:rPr>
        <w:t>o</w:t>
      </w:r>
      <w:r w:rsidR="009C187B" w:rsidRPr="00DA1FEC">
        <w:rPr>
          <w:color w:val="auto"/>
        </w:rPr>
        <w:t xml:space="preserve"> peritaje forense, personal especializado para autopsias</w:t>
      </w:r>
      <w:r w:rsidR="00F060FC">
        <w:rPr>
          <w:color w:val="auto"/>
        </w:rPr>
        <w:t xml:space="preserve"> en Patología Forense</w:t>
      </w:r>
      <w:r w:rsidR="009C187B" w:rsidRPr="00DA1FEC">
        <w:rPr>
          <w:color w:val="auto"/>
        </w:rPr>
        <w:t>, también medicina legal e identificación de personas</w:t>
      </w:r>
      <w:r w:rsidR="009C187B">
        <w:rPr>
          <w:color w:val="auto"/>
        </w:rPr>
        <w:t>.</w:t>
      </w:r>
    </w:p>
    <w:p w14:paraId="70A1455D" w14:textId="75EEEDF4" w:rsidR="009C187B" w:rsidRDefault="009C187B" w:rsidP="009C187B">
      <w:pPr>
        <w:spacing w:after="0" w:line="240" w:lineRule="auto"/>
        <w:ind w:left="-5" w:right="94"/>
        <w:rPr>
          <w:color w:val="auto"/>
        </w:rPr>
      </w:pPr>
    </w:p>
    <w:p w14:paraId="4B1F48F4" w14:textId="5980E3D7" w:rsidR="009C187B" w:rsidRDefault="009C187B" w:rsidP="009C187B">
      <w:pPr>
        <w:spacing w:after="0" w:line="240" w:lineRule="auto"/>
        <w:ind w:left="-5" w:right="94"/>
      </w:pPr>
      <w:r w:rsidRPr="0070574C">
        <w:t>De manera similar</w:t>
      </w:r>
      <w:r>
        <w:t>,</w:t>
      </w:r>
      <w:r w:rsidRPr="0070574C">
        <w:t xml:space="preserve"> el personal informático </w:t>
      </w:r>
      <w:r w:rsidR="00535D9A">
        <w:t xml:space="preserve">vinculado a procesos o servicios críticos, así como aquellos responsables </w:t>
      </w:r>
      <w:r w:rsidR="00535D9A" w:rsidRPr="00DA1FEC">
        <w:rPr>
          <w:color w:val="auto"/>
        </w:rPr>
        <w:t>de la continuidad operativa de los sistemas informáticos</w:t>
      </w:r>
      <w:r w:rsidR="00535D9A">
        <w:rPr>
          <w:color w:val="auto"/>
        </w:rPr>
        <w:t xml:space="preserve"> y la plataforma tecnológica en general,</w:t>
      </w:r>
      <w:r w:rsidR="00535D9A" w:rsidRPr="0070574C">
        <w:t xml:space="preserve"> </w:t>
      </w:r>
      <w:r w:rsidRPr="0070574C">
        <w:t xml:space="preserve">también se constituye en </w:t>
      </w:r>
      <w:r w:rsidR="00535D9A">
        <w:t xml:space="preserve">personal </w:t>
      </w:r>
      <w:r w:rsidRPr="0070574C">
        <w:t>clave para la continuidad de los servicios</w:t>
      </w:r>
      <w:r>
        <w:t xml:space="preserve"> </w:t>
      </w:r>
      <w:r w:rsidR="00535D9A">
        <w:t>institucionales;</w:t>
      </w:r>
      <w:r w:rsidRPr="0070574C">
        <w:t xml:space="preserve"> lo cual es coherente con el escenario de indisponibilidad de los servicios tecnológicos. Además, este personal, por sus funciones, también cuenta con formación especializada que le lleva a una condición de dificultad para ser sustituido en caso de bajas, lo cual incide en la sensibilidad de este riesgo. </w:t>
      </w:r>
    </w:p>
    <w:p w14:paraId="1F2CD759" w14:textId="77777777" w:rsidR="009C187B" w:rsidRDefault="009C187B" w:rsidP="009C187B">
      <w:pPr>
        <w:spacing w:after="0" w:line="240" w:lineRule="auto"/>
        <w:ind w:left="-5" w:right="94"/>
      </w:pPr>
    </w:p>
    <w:p w14:paraId="1F3E92DB" w14:textId="731A913C" w:rsidR="009C187B" w:rsidRDefault="009C187B" w:rsidP="009C187B">
      <w:pPr>
        <w:spacing w:after="0" w:line="240" w:lineRule="auto"/>
        <w:ind w:left="-5" w:right="94"/>
        <w:rPr>
          <w:color w:val="auto"/>
        </w:rPr>
      </w:pPr>
      <w:r w:rsidRPr="00DA1FEC">
        <w:rPr>
          <w:color w:val="auto"/>
        </w:rPr>
        <w:t xml:space="preserve">Lo indicado </w:t>
      </w:r>
      <w:r>
        <w:rPr>
          <w:color w:val="auto"/>
        </w:rPr>
        <w:t xml:space="preserve">en estos últimos párrafos </w:t>
      </w:r>
      <w:r w:rsidRPr="00DA1FEC">
        <w:rPr>
          <w:color w:val="auto"/>
        </w:rPr>
        <w:t xml:space="preserve">es </w:t>
      </w:r>
      <w:r>
        <w:rPr>
          <w:color w:val="auto"/>
        </w:rPr>
        <w:t>un aspecto sumamente relevante</w:t>
      </w:r>
      <w:r w:rsidRPr="00DA1FEC">
        <w:rPr>
          <w:color w:val="auto"/>
        </w:rPr>
        <w:t>, no por la recurrencia evidenciada</w:t>
      </w:r>
      <w:r>
        <w:rPr>
          <w:color w:val="auto"/>
        </w:rPr>
        <w:t xml:space="preserve"> de estos factores</w:t>
      </w:r>
      <w:r w:rsidRPr="00DA1FEC">
        <w:rPr>
          <w:color w:val="auto"/>
        </w:rPr>
        <w:t xml:space="preserve"> sino porque se vincula</w:t>
      </w:r>
      <w:r w:rsidR="00535D9A">
        <w:rPr>
          <w:color w:val="auto"/>
        </w:rPr>
        <w:t>n</w:t>
      </w:r>
      <w:r w:rsidRPr="00DA1FEC">
        <w:rPr>
          <w:color w:val="auto"/>
        </w:rPr>
        <w:t xml:space="preserve"> a procesos o servicios críticos que requieren de personal con formación particular y</w:t>
      </w:r>
      <w:r>
        <w:rPr>
          <w:color w:val="auto"/>
        </w:rPr>
        <w:t>,</w:t>
      </w:r>
      <w:r w:rsidRPr="00DA1FEC">
        <w:rPr>
          <w:color w:val="auto"/>
        </w:rPr>
        <w:t xml:space="preserve"> </w:t>
      </w:r>
      <w:r>
        <w:rPr>
          <w:color w:val="auto"/>
        </w:rPr>
        <w:t>por tanto</w:t>
      </w:r>
      <w:r w:rsidRPr="00DA1FEC">
        <w:rPr>
          <w:color w:val="auto"/>
        </w:rPr>
        <w:t>, ante su ausencia, el reemplazo puede ser difícil o imposible.</w:t>
      </w:r>
    </w:p>
    <w:p w14:paraId="65E6AAEE" w14:textId="77777777" w:rsidR="009C187B" w:rsidRDefault="009C187B" w:rsidP="009C187B">
      <w:pPr>
        <w:spacing w:after="0" w:line="240" w:lineRule="auto"/>
        <w:ind w:left="-5" w:right="94"/>
        <w:rPr>
          <w:color w:val="auto"/>
        </w:rPr>
      </w:pPr>
    </w:p>
    <w:p w14:paraId="68DEEAEF" w14:textId="136ED834" w:rsidR="009C187B" w:rsidRDefault="009C187B" w:rsidP="009C187B">
      <w:pPr>
        <w:spacing w:after="0" w:line="240" w:lineRule="auto"/>
        <w:ind w:left="-5" w:right="94"/>
        <w:rPr>
          <w:color w:val="auto"/>
        </w:rPr>
      </w:pPr>
      <w:r>
        <w:rPr>
          <w:color w:val="auto"/>
        </w:rPr>
        <w:t>Finalmente, de manera particular es importante destacar que personal de despachos judiciales, por su materia o conocimiento especializado, también se puede catalogar como bajas sensibles para los procesos o servicios críticos que atienden.</w:t>
      </w:r>
      <w:r w:rsidR="00535D9A">
        <w:rPr>
          <w:color w:val="auto"/>
        </w:rPr>
        <w:t xml:space="preserve"> No obstante, ello dependerá de la medida en la que su reemplazo sea difícil.</w:t>
      </w:r>
    </w:p>
    <w:p w14:paraId="1E690F8B" w14:textId="3F861A5E" w:rsidR="009C4BB3" w:rsidRDefault="009C4BB3" w:rsidP="009C187B">
      <w:pPr>
        <w:spacing w:after="0" w:line="240" w:lineRule="auto"/>
        <w:ind w:left="-5" w:right="94"/>
        <w:rPr>
          <w:color w:val="auto"/>
        </w:rPr>
      </w:pPr>
    </w:p>
    <w:p w14:paraId="3A56BF91" w14:textId="77777777" w:rsidR="009C4BB3" w:rsidRPr="0070574C" w:rsidRDefault="009C4BB3" w:rsidP="009C4BB3">
      <w:pPr>
        <w:spacing w:after="0" w:line="240" w:lineRule="auto"/>
        <w:ind w:left="-5" w:right="94"/>
      </w:pPr>
      <w:r w:rsidRPr="0070574C">
        <w:lastRenderedPageBreak/>
        <w:t xml:space="preserve">En la tabla </w:t>
      </w:r>
      <w:r>
        <w:t>8</w:t>
      </w:r>
      <w:r w:rsidRPr="0070574C">
        <w:t xml:space="preserve"> se muestra el nivel de riesgo inherente pera este escenario, el cual se calcula con base en los diferentes aspectos expuestos. </w:t>
      </w:r>
    </w:p>
    <w:p w14:paraId="4809B0AB" w14:textId="4AE7C65D" w:rsidR="009C187B" w:rsidRDefault="009C187B" w:rsidP="009C187B">
      <w:pPr>
        <w:spacing w:after="0" w:line="240" w:lineRule="auto"/>
        <w:ind w:left="-5" w:right="94"/>
        <w:rPr>
          <w:color w:val="auto"/>
        </w:rPr>
      </w:pPr>
    </w:p>
    <w:p w14:paraId="3C512960" w14:textId="0F5EB929" w:rsidR="00942B9F" w:rsidRPr="0070574C" w:rsidRDefault="0013551F" w:rsidP="009D09DC">
      <w:pPr>
        <w:pStyle w:val="Ttulo2"/>
        <w:spacing w:after="0" w:line="240" w:lineRule="auto"/>
        <w:jc w:val="both"/>
        <w:rPr>
          <w:rFonts w:eastAsia="Times New Roman"/>
          <w:sz w:val="22"/>
        </w:rPr>
      </w:pPr>
      <w:bookmarkStart w:id="20" w:name="_Toc155778531"/>
      <w:r w:rsidRPr="00994004">
        <w:rPr>
          <w:sz w:val="22"/>
        </w:rPr>
        <w:t xml:space="preserve">Tabla </w:t>
      </w:r>
      <w:r w:rsidR="00994004" w:rsidRPr="00994004">
        <w:rPr>
          <w:sz w:val="22"/>
        </w:rPr>
        <w:t>8</w:t>
      </w:r>
      <w:r w:rsidRPr="00994004">
        <w:rPr>
          <w:sz w:val="22"/>
        </w:rPr>
        <w:t xml:space="preserve">. Nivel de riesgo inherente para el escenario disruptivo de </w:t>
      </w:r>
      <w:r w:rsidR="00C8432C" w:rsidRPr="00994004">
        <w:rPr>
          <w:rFonts w:eastAsia="Times New Roman"/>
          <w:sz w:val="22"/>
        </w:rPr>
        <w:t>Indisponibilidad del recurso humano.</w:t>
      </w:r>
      <w:bookmarkEnd w:id="20"/>
    </w:p>
    <w:p w14:paraId="15D05772" w14:textId="77777777" w:rsidR="00C8432C" w:rsidRPr="0070574C" w:rsidRDefault="00C8432C" w:rsidP="009D09DC">
      <w:pPr>
        <w:spacing w:after="0" w:line="240" w:lineRule="auto"/>
        <w:ind w:left="0" w:right="0" w:firstLine="0"/>
      </w:pPr>
    </w:p>
    <w:tbl>
      <w:tblPr>
        <w:tblW w:w="9493" w:type="dxa"/>
        <w:jc w:val="center"/>
        <w:tblCellMar>
          <w:left w:w="70" w:type="dxa"/>
          <w:right w:w="70" w:type="dxa"/>
        </w:tblCellMar>
        <w:tblLook w:val="04A0" w:firstRow="1" w:lastRow="0" w:firstColumn="1" w:lastColumn="0" w:noHBand="0" w:noVBand="1"/>
      </w:tblPr>
      <w:tblGrid>
        <w:gridCol w:w="1827"/>
        <w:gridCol w:w="1473"/>
        <w:gridCol w:w="984"/>
        <w:gridCol w:w="609"/>
        <w:gridCol w:w="568"/>
        <w:gridCol w:w="4032"/>
      </w:tblGrid>
      <w:tr w:rsidR="00C8432C" w:rsidRPr="0070574C" w14:paraId="0D7C9761" w14:textId="77777777" w:rsidTr="00F90B84">
        <w:trPr>
          <w:trHeight w:val="580"/>
          <w:tblHeader/>
          <w:jc w:val="center"/>
        </w:trPr>
        <w:tc>
          <w:tcPr>
            <w:tcW w:w="182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90C322B" w14:textId="77777777" w:rsidR="00942B9F" w:rsidRPr="0070574C" w:rsidRDefault="00942B9F" w:rsidP="009D09DC">
            <w:pPr>
              <w:spacing w:after="0" w:line="240" w:lineRule="auto"/>
              <w:ind w:left="0" w:right="0" w:firstLine="0"/>
              <w:jc w:val="center"/>
              <w:rPr>
                <w:rFonts w:eastAsia="Times New Roman"/>
                <w:b/>
                <w:bCs/>
                <w:color w:val="FFFFFF"/>
              </w:rPr>
            </w:pPr>
            <w:r w:rsidRPr="0070574C">
              <w:rPr>
                <w:rFonts w:eastAsia="Times New Roman"/>
                <w:b/>
                <w:bCs/>
                <w:color w:val="FFFFFF"/>
              </w:rPr>
              <w:t>Escenario de riesgo</w:t>
            </w:r>
          </w:p>
        </w:tc>
        <w:tc>
          <w:tcPr>
            <w:tcW w:w="1473" w:type="dxa"/>
            <w:tcBorders>
              <w:top w:val="single" w:sz="4" w:space="0" w:color="auto"/>
              <w:left w:val="nil"/>
              <w:bottom w:val="single" w:sz="4" w:space="0" w:color="auto"/>
              <w:right w:val="single" w:sz="4" w:space="0" w:color="auto"/>
            </w:tcBorders>
            <w:shd w:val="clear" w:color="000000" w:fill="002060"/>
            <w:vAlign w:val="center"/>
            <w:hideMark/>
          </w:tcPr>
          <w:p w14:paraId="33ED48A7" w14:textId="77777777" w:rsidR="00942B9F" w:rsidRPr="0070574C" w:rsidRDefault="00942B9F"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 de ocurrencia</w:t>
            </w:r>
          </w:p>
        </w:tc>
        <w:tc>
          <w:tcPr>
            <w:tcW w:w="984" w:type="dxa"/>
            <w:tcBorders>
              <w:top w:val="single" w:sz="4" w:space="0" w:color="auto"/>
              <w:left w:val="nil"/>
              <w:bottom w:val="single" w:sz="4" w:space="0" w:color="auto"/>
              <w:right w:val="single" w:sz="4" w:space="0" w:color="auto"/>
            </w:tcBorders>
            <w:shd w:val="clear" w:color="000000" w:fill="002060"/>
            <w:vAlign w:val="center"/>
            <w:hideMark/>
          </w:tcPr>
          <w:p w14:paraId="31090EE1" w14:textId="77777777" w:rsidR="00942B9F" w:rsidRPr="0070574C" w:rsidRDefault="00942B9F"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tc>
        <w:tc>
          <w:tcPr>
            <w:tcW w:w="1177" w:type="dxa"/>
            <w:gridSpan w:val="2"/>
            <w:tcBorders>
              <w:top w:val="single" w:sz="4" w:space="0" w:color="auto"/>
              <w:left w:val="nil"/>
              <w:bottom w:val="single" w:sz="4" w:space="0" w:color="auto"/>
              <w:right w:val="single" w:sz="4" w:space="0" w:color="000000"/>
            </w:tcBorders>
            <w:shd w:val="clear" w:color="000000" w:fill="002060"/>
            <w:vAlign w:val="center"/>
            <w:hideMark/>
          </w:tcPr>
          <w:p w14:paraId="438C89E8" w14:textId="77777777" w:rsidR="00942B9F" w:rsidRPr="0070574C" w:rsidRDefault="00942B9F" w:rsidP="009D09DC">
            <w:pPr>
              <w:spacing w:after="0" w:line="240" w:lineRule="auto"/>
              <w:ind w:left="0" w:right="0" w:firstLine="0"/>
              <w:jc w:val="center"/>
              <w:rPr>
                <w:rFonts w:eastAsia="Times New Roman"/>
                <w:b/>
                <w:bCs/>
                <w:color w:val="FFFFFF"/>
              </w:rPr>
            </w:pPr>
            <w:r w:rsidRPr="0070574C">
              <w:rPr>
                <w:rFonts w:eastAsia="Times New Roman"/>
                <w:b/>
                <w:bCs/>
                <w:color w:val="FFFFFF"/>
              </w:rPr>
              <w:t>Nivel de riesgo inherente</w:t>
            </w:r>
          </w:p>
        </w:tc>
        <w:tc>
          <w:tcPr>
            <w:tcW w:w="4032" w:type="dxa"/>
            <w:tcBorders>
              <w:top w:val="single" w:sz="4" w:space="0" w:color="auto"/>
              <w:left w:val="nil"/>
              <w:bottom w:val="single" w:sz="4" w:space="0" w:color="auto"/>
              <w:right w:val="single" w:sz="4" w:space="0" w:color="auto"/>
            </w:tcBorders>
            <w:shd w:val="clear" w:color="000000" w:fill="002060"/>
            <w:vAlign w:val="center"/>
            <w:hideMark/>
          </w:tcPr>
          <w:p w14:paraId="01935DA8" w14:textId="77777777" w:rsidR="00942B9F" w:rsidRPr="0070574C" w:rsidRDefault="00942B9F" w:rsidP="009D09DC">
            <w:pPr>
              <w:spacing w:after="0" w:line="240" w:lineRule="auto"/>
              <w:ind w:left="0" w:right="0" w:firstLine="0"/>
              <w:jc w:val="center"/>
              <w:rPr>
                <w:rFonts w:eastAsia="Times New Roman"/>
                <w:b/>
                <w:bCs/>
                <w:color w:val="FFFFFF"/>
              </w:rPr>
            </w:pPr>
            <w:r w:rsidRPr="0070574C">
              <w:rPr>
                <w:rFonts w:eastAsia="Times New Roman"/>
                <w:b/>
                <w:bCs/>
                <w:color w:val="FFFFFF"/>
              </w:rPr>
              <w:t>Justificación (Probabilidad e Impacto)</w:t>
            </w:r>
          </w:p>
        </w:tc>
      </w:tr>
      <w:tr w:rsidR="00C8432C" w:rsidRPr="0070574C" w14:paraId="7EEA1CDE" w14:textId="77777777" w:rsidTr="00F90B84">
        <w:trPr>
          <w:trHeight w:val="473"/>
          <w:jc w:val="center"/>
        </w:trPr>
        <w:tc>
          <w:tcPr>
            <w:tcW w:w="1827" w:type="dxa"/>
            <w:tcBorders>
              <w:top w:val="nil"/>
              <w:left w:val="single" w:sz="4" w:space="0" w:color="auto"/>
              <w:bottom w:val="single" w:sz="4" w:space="0" w:color="auto"/>
              <w:right w:val="single" w:sz="4" w:space="0" w:color="auto"/>
            </w:tcBorders>
            <w:shd w:val="clear" w:color="auto" w:fill="auto"/>
            <w:vAlign w:val="center"/>
            <w:hideMark/>
          </w:tcPr>
          <w:p w14:paraId="7FC81131" w14:textId="77777777" w:rsidR="00942B9F" w:rsidRPr="0070574C" w:rsidRDefault="00942B9F" w:rsidP="009D09DC">
            <w:pPr>
              <w:spacing w:after="0" w:line="240" w:lineRule="auto"/>
              <w:ind w:left="0" w:right="0" w:firstLine="0"/>
              <w:jc w:val="left"/>
              <w:rPr>
                <w:rFonts w:eastAsia="Times New Roman"/>
                <w:b/>
                <w:bCs/>
              </w:rPr>
            </w:pPr>
            <w:r w:rsidRPr="0070574C">
              <w:rPr>
                <w:rFonts w:eastAsia="Times New Roman"/>
                <w:b/>
                <w:bCs/>
              </w:rPr>
              <w:t>Indisponibilidad del recurso humano</w:t>
            </w:r>
          </w:p>
        </w:tc>
        <w:tc>
          <w:tcPr>
            <w:tcW w:w="1473" w:type="dxa"/>
            <w:tcBorders>
              <w:top w:val="nil"/>
              <w:left w:val="nil"/>
              <w:bottom w:val="single" w:sz="4" w:space="0" w:color="auto"/>
              <w:right w:val="single" w:sz="4" w:space="0" w:color="auto"/>
            </w:tcBorders>
            <w:shd w:val="clear" w:color="auto" w:fill="auto"/>
            <w:vAlign w:val="center"/>
            <w:hideMark/>
          </w:tcPr>
          <w:p w14:paraId="39488FE8" w14:textId="77777777" w:rsidR="00942B9F" w:rsidRPr="0070574C" w:rsidRDefault="00942B9F" w:rsidP="009D09DC">
            <w:pPr>
              <w:spacing w:after="0" w:line="240" w:lineRule="auto"/>
              <w:ind w:left="0" w:right="0" w:firstLine="0"/>
              <w:jc w:val="center"/>
              <w:rPr>
                <w:rFonts w:eastAsia="Times New Roman"/>
              </w:rPr>
            </w:pPr>
            <w:r w:rsidRPr="0070574C">
              <w:rPr>
                <w:rFonts w:eastAsia="Times New Roman"/>
              </w:rPr>
              <w:t>Muy probable</w:t>
            </w:r>
            <w:r w:rsidRPr="0070574C">
              <w:rPr>
                <w:rFonts w:eastAsia="Times New Roman"/>
              </w:rPr>
              <w:br/>
              <w:t>(90)</w:t>
            </w:r>
          </w:p>
        </w:tc>
        <w:tc>
          <w:tcPr>
            <w:tcW w:w="984" w:type="dxa"/>
            <w:tcBorders>
              <w:top w:val="nil"/>
              <w:left w:val="nil"/>
              <w:bottom w:val="single" w:sz="4" w:space="0" w:color="auto"/>
              <w:right w:val="single" w:sz="4" w:space="0" w:color="auto"/>
            </w:tcBorders>
            <w:shd w:val="clear" w:color="auto" w:fill="auto"/>
            <w:vAlign w:val="center"/>
            <w:hideMark/>
          </w:tcPr>
          <w:p w14:paraId="2FC58655" w14:textId="77777777" w:rsidR="00942B9F" w:rsidRPr="0070574C" w:rsidRDefault="00942B9F" w:rsidP="009D09DC">
            <w:pPr>
              <w:spacing w:after="0" w:line="240" w:lineRule="auto"/>
              <w:ind w:left="0" w:right="0" w:firstLine="0"/>
              <w:jc w:val="center"/>
              <w:rPr>
                <w:rFonts w:eastAsia="Times New Roman"/>
              </w:rPr>
            </w:pPr>
            <w:r w:rsidRPr="0070574C">
              <w:rPr>
                <w:rFonts w:eastAsia="Times New Roman"/>
              </w:rPr>
              <w:t>Muy alto</w:t>
            </w:r>
            <w:r w:rsidRPr="0070574C">
              <w:rPr>
                <w:rFonts w:eastAsia="Times New Roman"/>
              </w:rPr>
              <w:br/>
              <w:t>(5)</w:t>
            </w:r>
          </w:p>
        </w:tc>
        <w:tc>
          <w:tcPr>
            <w:tcW w:w="609" w:type="dxa"/>
            <w:tcBorders>
              <w:top w:val="nil"/>
              <w:left w:val="nil"/>
              <w:bottom w:val="single" w:sz="4" w:space="0" w:color="auto"/>
              <w:right w:val="single" w:sz="4" w:space="0" w:color="auto"/>
            </w:tcBorders>
            <w:shd w:val="clear" w:color="000000" w:fill="FF0000"/>
            <w:vAlign w:val="center"/>
            <w:hideMark/>
          </w:tcPr>
          <w:p w14:paraId="47BF368E" w14:textId="77777777" w:rsidR="00942B9F" w:rsidRPr="0070574C" w:rsidRDefault="00942B9F" w:rsidP="009D09DC">
            <w:pPr>
              <w:spacing w:after="0" w:line="240" w:lineRule="auto"/>
              <w:ind w:left="0" w:right="0" w:firstLine="0"/>
              <w:jc w:val="center"/>
              <w:rPr>
                <w:rFonts w:eastAsia="Times New Roman"/>
                <w:b/>
                <w:bCs/>
              </w:rPr>
            </w:pPr>
            <w:r w:rsidRPr="0070574C">
              <w:rPr>
                <w:rFonts w:eastAsia="Times New Roman"/>
                <w:b/>
                <w:bCs/>
              </w:rPr>
              <w:t>450</w:t>
            </w:r>
          </w:p>
        </w:tc>
        <w:tc>
          <w:tcPr>
            <w:tcW w:w="568" w:type="dxa"/>
            <w:tcBorders>
              <w:top w:val="nil"/>
              <w:left w:val="nil"/>
              <w:bottom w:val="single" w:sz="4" w:space="0" w:color="auto"/>
              <w:right w:val="single" w:sz="4" w:space="0" w:color="auto"/>
            </w:tcBorders>
            <w:shd w:val="clear" w:color="000000" w:fill="FF0000"/>
            <w:vAlign w:val="center"/>
            <w:hideMark/>
          </w:tcPr>
          <w:p w14:paraId="0D9CD0F6" w14:textId="77777777" w:rsidR="00942B9F" w:rsidRPr="0070574C" w:rsidRDefault="00942B9F" w:rsidP="009D09DC">
            <w:pPr>
              <w:spacing w:after="0" w:line="240" w:lineRule="auto"/>
              <w:ind w:left="0" w:right="0" w:firstLine="0"/>
              <w:jc w:val="center"/>
              <w:rPr>
                <w:rFonts w:eastAsia="Times New Roman"/>
                <w:b/>
                <w:bCs/>
              </w:rPr>
            </w:pPr>
            <w:r w:rsidRPr="0070574C">
              <w:rPr>
                <w:rFonts w:eastAsia="Times New Roman"/>
                <w:b/>
                <w:bCs/>
              </w:rPr>
              <w:t>Alto</w:t>
            </w:r>
          </w:p>
        </w:tc>
        <w:tc>
          <w:tcPr>
            <w:tcW w:w="4032" w:type="dxa"/>
            <w:tcBorders>
              <w:top w:val="nil"/>
              <w:left w:val="nil"/>
              <w:bottom w:val="single" w:sz="4" w:space="0" w:color="auto"/>
              <w:right w:val="single" w:sz="4" w:space="0" w:color="auto"/>
            </w:tcBorders>
            <w:shd w:val="clear" w:color="auto" w:fill="auto"/>
            <w:vAlign w:val="center"/>
            <w:hideMark/>
          </w:tcPr>
          <w:p w14:paraId="66469154" w14:textId="77777777" w:rsidR="00F90B84" w:rsidRDefault="00942B9F" w:rsidP="009D09DC">
            <w:pPr>
              <w:spacing w:after="0" w:line="240" w:lineRule="auto"/>
              <w:ind w:left="0" w:right="0" w:firstLine="0"/>
              <w:rPr>
                <w:rFonts w:eastAsia="Times New Roman"/>
              </w:rPr>
            </w:pPr>
            <w:r w:rsidRPr="0070574C">
              <w:rPr>
                <w:rFonts w:eastAsia="Times New Roman"/>
                <w:b/>
                <w:bCs/>
              </w:rPr>
              <w:t>PO:</w:t>
            </w:r>
            <w:r w:rsidRPr="0070574C">
              <w:rPr>
                <w:rFonts w:eastAsia="Times New Roman"/>
              </w:rPr>
              <w:t xml:space="preserve"> El riesgo se ha materializado a todo nivel institucional en diferentes momentos, tal como la pandemia del COVID</w:t>
            </w:r>
            <w:r w:rsidR="00F90B84">
              <w:rPr>
                <w:rFonts w:eastAsia="Times New Roman"/>
              </w:rPr>
              <w:t>-19</w:t>
            </w:r>
            <w:r w:rsidRPr="0070574C">
              <w:rPr>
                <w:rFonts w:eastAsia="Times New Roman"/>
              </w:rPr>
              <w:t>, la huelga del personal judicial en el año 20</w:t>
            </w:r>
            <w:r w:rsidR="00F90B84">
              <w:rPr>
                <w:rFonts w:eastAsia="Times New Roman"/>
              </w:rPr>
              <w:t>18</w:t>
            </w:r>
            <w:r w:rsidRPr="0070574C">
              <w:rPr>
                <w:rFonts w:eastAsia="Times New Roman"/>
              </w:rPr>
              <w:t xml:space="preserve"> y en otras situaciones, tal como incapacidades del personal.</w:t>
            </w:r>
          </w:p>
          <w:p w14:paraId="54092C02" w14:textId="37A3C401" w:rsidR="00942B9F" w:rsidRPr="0070574C" w:rsidRDefault="00942B9F" w:rsidP="009D09DC">
            <w:pPr>
              <w:spacing w:after="0" w:line="240" w:lineRule="auto"/>
              <w:ind w:left="0" w:right="0" w:firstLine="0"/>
              <w:rPr>
                <w:rFonts w:eastAsia="Times New Roman"/>
              </w:rPr>
            </w:pPr>
            <w:r w:rsidRPr="0070574C">
              <w:rPr>
                <w:rFonts w:eastAsia="Times New Roman"/>
              </w:rPr>
              <w:br/>
            </w:r>
            <w:r w:rsidRPr="0070574C">
              <w:rPr>
                <w:rFonts w:eastAsia="Times New Roman"/>
                <w:b/>
                <w:bCs/>
              </w:rPr>
              <w:t>I:</w:t>
            </w:r>
            <w:r w:rsidRPr="0070574C">
              <w:rPr>
                <w:rFonts w:eastAsia="Times New Roman"/>
              </w:rPr>
              <w:t xml:space="preserve"> El impacto es muy alto pues los procesos y servicios del Poder Judicial dependen del recurso humano. El impacto es más </w:t>
            </w:r>
            <w:r w:rsidR="00DB6169" w:rsidRPr="0070574C">
              <w:rPr>
                <w:rFonts w:eastAsia="Times New Roman"/>
              </w:rPr>
              <w:t>severo</w:t>
            </w:r>
            <w:r w:rsidRPr="0070574C">
              <w:rPr>
                <w:rFonts w:eastAsia="Times New Roman"/>
              </w:rPr>
              <w:t xml:space="preserve"> en los casos donde los procesos o servicios dependen de personal especializado, tal como personal informático, peritos, médicos</w:t>
            </w:r>
            <w:r w:rsidR="00920130">
              <w:rPr>
                <w:rFonts w:eastAsia="Times New Roman"/>
              </w:rPr>
              <w:t xml:space="preserve"> legales o forenses</w:t>
            </w:r>
            <w:r w:rsidRPr="0070574C">
              <w:rPr>
                <w:rFonts w:eastAsia="Times New Roman"/>
              </w:rPr>
              <w:t xml:space="preserve">, especialistas en diferentes ámbitos; e incluso personal especialmente capacitado para cierto tipo de funciones. </w:t>
            </w:r>
          </w:p>
        </w:tc>
      </w:tr>
    </w:tbl>
    <w:p w14:paraId="5D6635FA" w14:textId="7AB576E3" w:rsidR="00942B9F" w:rsidRPr="0070574C" w:rsidRDefault="00942B9F" w:rsidP="009D09DC">
      <w:pPr>
        <w:spacing w:after="0" w:line="240" w:lineRule="auto"/>
        <w:ind w:left="-5" w:right="94"/>
      </w:pPr>
    </w:p>
    <w:p w14:paraId="4CD874FE" w14:textId="77777777" w:rsidR="0013551F" w:rsidRPr="0070574C" w:rsidRDefault="0013551F" w:rsidP="009D09DC">
      <w:pPr>
        <w:spacing w:after="0" w:line="240" w:lineRule="auto"/>
        <w:ind w:left="-5" w:right="94"/>
      </w:pPr>
      <w:r w:rsidRPr="0070574C">
        <w:rPr>
          <w:b/>
          <w:bCs/>
        </w:rPr>
        <w:t>Fuente:</w:t>
      </w:r>
      <w:r w:rsidRPr="0070574C">
        <w:t xml:space="preserve"> Elaboración propia a partir de metodología SEVRI-PJ, según datos recabados de análisis de riesgos para procesos y servicios críticos institucionales. </w:t>
      </w:r>
    </w:p>
    <w:p w14:paraId="1E9ECAD8" w14:textId="4270D8C6" w:rsidR="0013551F" w:rsidRDefault="0013551F" w:rsidP="009D09DC">
      <w:pPr>
        <w:spacing w:after="0" w:line="240" w:lineRule="auto"/>
        <w:ind w:left="-5" w:right="94" w:hanging="11"/>
      </w:pPr>
    </w:p>
    <w:p w14:paraId="511D7966" w14:textId="782CFEF3" w:rsidR="00DA1FEC" w:rsidRPr="0070574C" w:rsidRDefault="00DA1FEC" w:rsidP="009D09DC">
      <w:pPr>
        <w:spacing w:after="0" w:line="240" w:lineRule="auto"/>
        <w:ind w:left="-5" w:right="94"/>
      </w:pPr>
      <w:r>
        <w:t>Se concluye que e</w:t>
      </w:r>
      <w:r w:rsidRPr="0070574C">
        <w:t xml:space="preserve">ste escenario es de </w:t>
      </w:r>
      <w:r w:rsidRPr="00F90B84">
        <w:t xml:space="preserve">alto riesgo </w:t>
      </w:r>
      <w:r w:rsidRPr="0070574C">
        <w:t xml:space="preserve">para el Poder Judicial ya que el recurso humano es componente fundamental en toda la operativa de la institución, en todos sus Ámbitos. </w:t>
      </w:r>
    </w:p>
    <w:p w14:paraId="76400812" w14:textId="77777777" w:rsidR="00DA1FEC" w:rsidRPr="0070574C" w:rsidRDefault="00DA1FEC" w:rsidP="009D09DC">
      <w:pPr>
        <w:spacing w:after="0" w:line="240" w:lineRule="auto"/>
        <w:ind w:left="-5" w:right="94" w:hanging="11"/>
      </w:pPr>
    </w:p>
    <w:p w14:paraId="4849E3A3" w14:textId="07429ADC" w:rsidR="00DB6169" w:rsidRDefault="00C8432C" w:rsidP="009D09DC">
      <w:pPr>
        <w:pStyle w:val="Ttulo2"/>
        <w:spacing w:after="0" w:line="240" w:lineRule="auto"/>
        <w:ind w:hanging="11"/>
        <w:rPr>
          <w:sz w:val="22"/>
        </w:rPr>
      </w:pPr>
      <w:bookmarkStart w:id="21" w:name="_Toc155778532"/>
      <w:r w:rsidRPr="00900DA4">
        <w:rPr>
          <w:color w:val="002060"/>
          <w:sz w:val="22"/>
        </w:rPr>
        <w:t>7.3 Indisponibilidad de la infraestructura física</w:t>
      </w:r>
      <w:bookmarkEnd w:id="21"/>
    </w:p>
    <w:p w14:paraId="213B8F50" w14:textId="77777777" w:rsidR="00900DA4" w:rsidRPr="00900DA4" w:rsidRDefault="00900DA4" w:rsidP="009D09DC">
      <w:pPr>
        <w:spacing w:after="0" w:line="240" w:lineRule="auto"/>
        <w:ind w:hanging="11"/>
      </w:pPr>
    </w:p>
    <w:p w14:paraId="2A069DD4" w14:textId="628DE14C" w:rsidR="00DF48A0" w:rsidRPr="0070574C" w:rsidRDefault="00A131D9" w:rsidP="009D09DC">
      <w:pPr>
        <w:spacing w:after="0" w:line="240" w:lineRule="auto"/>
        <w:ind w:left="-5" w:right="94" w:hanging="11"/>
      </w:pPr>
      <w:r w:rsidRPr="0070574C">
        <w:t xml:space="preserve">La prestación de servicios institucionales depende del espacio físico donde </w:t>
      </w:r>
      <w:r w:rsidR="00776073">
        <w:t>s</w:t>
      </w:r>
      <w:r w:rsidRPr="0070574C">
        <w:t>e interacciona con las personas usuarias y se da el servicio cara a cara</w:t>
      </w:r>
      <w:r w:rsidR="00DF48A0" w:rsidRPr="0070574C">
        <w:t>;</w:t>
      </w:r>
      <w:r w:rsidRPr="0070574C">
        <w:t xml:space="preserve"> de igual manera, la prestación del servicio sigue ligada a la presencialidad de las personas</w:t>
      </w:r>
      <w:r w:rsidR="00DF48A0" w:rsidRPr="0070574C">
        <w:t xml:space="preserve"> servidoras y funcionarias judiciales; de manera que este es un activo crucial en la gestión de la continuidad</w:t>
      </w:r>
      <w:r w:rsidR="00776073">
        <w:t>, ya sea porque se requiera de espacios físicos con condiciones especiales (salas de juicio y de audiencias, laboratorios, equipos) o porque el espacio corresponde al lugar mismo donde reside el mobiliario y equipo institucional, lo cual incluye toda la infraestructura física, tangible de la plataforma tecnológica</w:t>
      </w:r>
      <w:r w:rsidR="00DF48A0" w:rsidRPr="0070574C">
        <w:t xml:space="preserve">. </w:t>
      </w:r>
    </w:p>
    <w:p w14:paraId="1A36F92B" w14:textId="77777777" w:rsidR="00DF48A0" w:rsidRPr="0070574C" w:rsidRDefault="00DF48A0" w:rsidP="009D09DC">
      <w:pPr>
        <w:spacing w:after="0" w:line="240" w:lineRule="auto"/>
        <w:ind w:left="-5" w:right="94"/>
      </w:pPr>
    </w:p>
    <w:p w14:paraId="2A707FC3" w14:textId="264CDDB0" w:rsidR="00DB6169" w:rsidRPr="0070574C" w:rsidRDefault="00DF48A0" w:rsidP="009D09DC">
      <w:pPr>
        <w:spacing w:after="0" w:line="240" w:lineRule="auto"/>
        <w:ind w:left="-5" w:right="94"/>
      </w:pPr>
      <w:r w:rsidRPr="0070574C">
        <w:t xml:space="preserve">El </w:t>
      </w:r>
      <w:r w:rsidR="00926373">
        <w:t>a</w:t>
      </w:r>
      <w:r w:rsidRPr="0070574C">
        <w:t>nálisis de riesgos de disrupción muestra que el 44,3</w:t>
      </w:r>
      <w:r w:rsidR="00D27427" w:rsidRPr="0070574C">
        <w:t>%</w:t>
      </w:r>
      <w:r w:rsidRPr="0070574C">
        <w:t xml:space="preserve"> del total de factores mapeados está ligado a la indisponibilidad de la infraestructura física</w:t>
      </w:r>
      <w:r w:rsidR="00926373">
        <w:t>. La figura 1 resalta a la vista que</w:t>
      </w:r>
      <w:r w:rsidRPr="0070574C">
        <w:t xml:space="preserve"> los daños </w:t>
      </w:r>
      <w:r w:rsidRPr="0070574C">
        <w:lastRenderedPageBreak/>
        <w:t>por agua y los desastres naturales encabezan la lista, no solo por</w:t>
      </w:r>
      <w:r w:rsidR="00926373">
        <w:t xml:space="preserve"> la</w:t>
      </w:r>
      <w:r w:rsidRPr="0070574C">
        <w:t xml:space="preserve"> </w:t>
      </w:r>
      <w:r w:rsidR="00926373">
        <w:t>recurre</w:t>
      </w:r>
      <w:r w:rsidRPr="0070574C">
        <w:t xml:space="preserve">ncia </w:t>
      </w:r>
      <w:r w:rsidR="00926373">
        <w:t>registrada</w:t>
      </w:r>
      <w:r w:rsidRPr="0070574C">
        <w:t xml:space="preserve">, sino por haberse materializado en diferentes ocasiones a lo interno del Poder Judicial y por ser un factor externo al cual la institución está expuesta, según la realidad de nuestro país y las amenazas naturales. </w:t>
      </w:r>
      <w:r w:rsidR="00D27427" w:rsidRPr="0070574C">
        <w:t>También, es pertinente indicar que</w:t>
      </w:r>
      <w:r w:rsidR="00360B32" w:rsidRPr="0070574C">
        <w:t>,</w:t>
      </w:r>
      <w:r w:rsidR="00D27427" w:rsidRPr="0070574C">
        <w:t xml:space="preserve"> de los cinco escenarios de disrupción mapeados, el asociado a la infraestructura es el </w:t>
      </w:r>
      <w:r w:rsidR="004B6B7F" w:rsidRPr="0070574C">
        <w:t xml:space="preserve">de mayor ponderación en su participación relativa. </w:t>
      </w:r>
    </w:p>
    <w:p w14:paraId="2142BE86" w14:textId="1893F066" w:rsidR="00E71921" w:rsidRPr="0070574C" w:rsidRDefault="00E71921" w:rsidP="009D09DC">
      <w:pPr>
        <w:spacing w:after="0" w:line="240" w:lineRule="auto"/>
        <w:ind w:left="-5" w:right="94"/>
      </w:pPr>
    </w:p>
    <w:p w14:paraId="7E7A4B19" w14:textId="6DE16507" w:rsidR="00E71921" w:rsidRPr="0070574C" w:rsidRDefault="00E71921" w:rsidP="009D09DC">
      <w:pPr>
        <w:spacing w:after="0" w:line="240" w:lineRule="auto"/>
        <w:ind w:left="-5" w:right="94"/>
      </w:pPr>
      <w:r w:rsidRPr="0070574C">
        <w:t>El análisis de factores de riesgo también muestra que los desastres industriales o en el espacio de trabajo, el fuego y los ataques externos (atentados, vandalismo, amenazas de bomba, etc.) son latentes, con un alto potencial de materializarse y que</w:t>
      </w:r>
      <w:r w:rsidR="00926373">
        <w:t>,</w:t>
      </w:r>
      <w:r w:rsidRPr="0070574C">
        <w:t xml:space="preserve"> de presentarse, coartan la capacidad del poder judicial para la continuidad de los servicios. </w:t>
      </w:r>
    </w:p>
    <w:p w14:paraId="0BB7EF9B" w14:textId="77777777" w:rsidR="0013591B" w:rsidRPr="0070574C" w:rsidRDefault="0013591B" w:rsidP="009D09DC">
      <w:pPr>
        <w:spacing w:after="0" w:line="240" w:lineRule="auto"/>
        <w:ind w:left="-5" w:right="94"/>
      </w:pPr>
    </w:p>
    <w:p w14:paraId="0DB8BA40" w14:textId="0A14B16B" w:rsidR="00E71921" w:rsidRPr="0070574C" w:rsidRDefault="00E71921" w:rsidP="009D09DC">
      <w:pPr>
        <w:pStyle w:val="Ttulo2"/>
        <w:spacing w:after="0" w:line="240" w:lineRule="auto"/>
        <w:jc w:val="both"/>
        <w:rPr>
          <w:rFonts w:eastAsia="Times New Roman"/>
          <w:sz w:val="22"/>
        </w:rPr>
      </w:pPr>
      <w:bookmarkStart w:id="22" w:name="_Toc155778533"/>
      <w:r w:rsidRPr="00900DA4">
        <w:rPr>
          <w:sz w:val="22"/>
        </w:rPr>
        <w:t xml:space="preserve">Tabla </w:t>
      </w:r>
      <w:r w:rsidR="00900DA4" w:rsidRPr="00900DA4">
        <w:rPr>
          <w:sz w:val="22"/>
        </w:rPr>
        <w:t>9</w:t>
      </w:r>
      <w:r w:rsidRPr="00900DA4">
        <w:rPr>
          <w:sz w:val="22"/>
        </w:rPr>
        <w:t>. Nivel</w:t>
      </w:r>
      <w:r w:rsidRPr="0070574C">
        <w:rPr>
          <w:sz w:val="22"/>
        </w:rPr>
        <w:t xml:space="preserve"> de riesgo inherente para el escenario disruptivo de </w:t>
      </w:r>
      <w:r w:rsidRPr="0070574C">
        <w:rPr>
          <w:rFonts w:eastAsia="Times New Roman"/>
          <w:sz w:val="22"/>
        </w:rPr>
        <w:t>Indisponibilidad de</w:t>
      </w:r>
      <w:r w:rsidR="00B82A33" w:rsidRPr="0070574C">
        <w:rPr>
          <w:rFonts w:eastAsia="Times New Roman"/>
          <w:sz w:val="22"/>
        </w:rPr>
        <w:t xml:space="preserve"> </w:t>
      </w:r>
      <w:r w:rsidRPr="0070574C">
        <w:rPr>
          <w:rFonts w:eastAsia="Times New Roman"/>
          <w:sz w:val="22"/>
        </w:rPr>
        <w:t>l</w:t>
      </w:r>
      <w:r w:rsidR="00B82A33" w:rsidRPr="0070574C">
        <w:rPr>
          <w:rFonts w:eastAsia="Times New Roman"/>
          <w:sz w:val="22"/>
        </w:rPr>
        <w:t>a infraestructura física</w:t>
      </w:r>
      <w:r w:rsidRPr="0070574C">
        <w:rPr>
          <w:rFonts w:eastAsia="Times New Roman"/>
          <w:sz w:val="22"/>
        </w:rPr>
        <w:t>.</w:t>
      </w:r>
      <w:bookmarkEnd w:id="22"/>
    </w:p>
    <w:p w14:paraId="484447AD" w14:textId="77777777" w:rsidR="0013591B" w:rsidRPr="0070574C" w:rsidRDefault="0013591B" w:rsidP="009D09DC">
      <w:pPr>
        <w:spacing w:after="0" w:line="240" w:lineRule="auto"/>
        <w:ind w:left="-5" w:right="94"/>
      </w:pPr>
    </w:p>
    <w:tbl>
      <w:tblPr>
        <w:tblW w:w="9776" w:type="dxa"/>
        <w:jc w:val="center"/>
        <w:tblCellMar>
          <w:left w:w="70" w:type="dxa"/>
          <w:right w:w="70" w:type="dxa"/>
        </w:tblCellMar>
        <w:tblLook w:val="04A0" w:firstRow="1" w:lastRow="0" w:firstColumn="1" w:lastColumn="0" w:noHBand="0" w:noVBand="1"/>
      </w:tblPr>
      <w:tblGrid>
        <w:gridCol w:w="1827"/>
        <w:gridCol w:w="1473"/>
        <w:gridCol w:w="984"/>
        <w:gridCol w:w="531"/>
        <w:gridCol w:w="709"/>
        <w:gridCol w:w="4252"/>
      </w:tblGrid>
      <w:tr w:rsidR="00DB6169" w:rsidRPr="0070574C" w14:paraId="68BEBECB" w14:textId="77777777" w:rsidTr="00926373">
        <w:trPr>
          <w:trHeight w:val="580"/>
          <w:tblHeader/>
          <w:jc w:val="center"/>
        </w:trPr>
        <w:tc>
          <w:tcPr>
            <w:tcW w:w="182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1A1F25B" w14:textId="77777777" w:rsidR="00DB6169" w:rsidRPr="0070574C" w:rsidRDefault="00DB6169" w:rsidP="009D09DC">
            <w:pPr>
              <w:spacing w:after="0" w:line="240" w:lineRule="auto"/>
              <w:ind w:left="0" w:right="0" w:firstLine="0"/>
              <w:jc w:val="center"/>
              <w:rPr>
                <w:rFonts w:eastAsia="Times New Roman"/>
                <w:b/>
                <w:bCs/>
                <w:color w:val="FFFFFF"/>
              </w:rPr>
            </w:pPr>
            <w:r w:rsidRPr="0070574C">
              <w:rPr>
                <w:rFonts w:eastAsia="Times New Roman"/>
                <w:b/>
                <w:bCs/>
                <w:color w:val="FFFFFF"/>
              </w:rPr>
              <w:t>Escenario de riesgo</w:t>
            </w:r>
          </w:p>
        </w:tc>
        <w:tc>
          <w:tcPr>
            <w:tcW w:w="1473" w:type="dxa"/>
            <w:tcBorders>
              <w:top w:val="single" w:sz="4" w:space="0" w:color="auto"/>
              <w:left w:val="nil"/>
              <w:bottom w:val="single" w:sz="4" w:space="0" w:color="auto"/>
              <w:right w:val="single" w:sz="4" w:space="0" w:color="auto"/>
            </w:tcBorders>
            <w:shd w:val="clear" w:color="000000" w:fill="002060"/>
            <w:vAlign w:val="center"/>
            <w:hideMark/>
          </w:tcPr>
          <w:p w14:paraId="1CDB7596" w14:textId="77777777" w:rsidR="00DB6169" w:rsidRPr="0070574C" w:rsidRDefault="00DB6169"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 de ocurrencia</w:t>
            </w:r>
          </w:p>
        </w:tc>
        <w:tc>
          <w:tcPr>
            <w:tcW w:w="984" w:type="dxa"/>
            <w:tcBorders>
              <w:top w:val="single" w:sz="4" w:space="0" w:color="auto"/>
              <w:left w:val="nil"/>
              <w:bottom w:val="single" w:sz="4" w:space="0" w:color="auto"/>
              <w:right w:val="single" w:sz="4" w:space="0" w:color="auto"/>
            </w:tcBorders>
            <w:shd w:val="clear" w:color="000000" w:fill="002060"/>
            <w:vAlign w:val="center"/>
            <w:hideMark/>
          </w:tcPr>
          <w:p w14:paraId="2A3ABDE1" w14:textId="77777777" w:rsidR="00DB6169" w:rsidRPr="0070574C" w:rsidRDefault="00DB6169"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tc>
        <w:tc>
          <w:tcPr>
            <w:tcW w:w="1240" w:type="dxa"/>
            <w:gridSpan w:val="2"/>
            <w:tcBorders>
              <w:top w:val="single" w:sz="4" w:space="0" w:color="auto"/>
              <w:left w:val="nil"/>
              <w:bottom w:val="single" w:sz="4" w:space="0" w:color="auto"/>
              <w:right w:val="single" w:sz="4" w:space="0" w:color="000000"/>
            </w:tcBorders>
            <w:shd w:val="clear" w:color="000000" w:fill="002060"/>
            <w:vAlign w:val="center"/>
            <w:hideMark/>
          </w:tcPr>
          <w:p w14:paraId="2A933808" w14:textId="77777777" w:rsidR="00DB6169" w:rsidRPr="0070574C" w:rsidRDefault="00DB6169" w:rsidP="009D09DC">
            <w:pPr>
              <w:spacing w:after="0" w:line="240" w:lineRule="auto"/>
              <w:ind w:left="0" w:right="0" w:firstLine="0"/>
              <w:jc w:val="center"/>
              <w:rPr>
                <w:rFonts w:eastAsia="Times New Roman"/>
                <w:b/>
                <w:bCs/>
                <w:color w:val="FFFFFF"/>
              </w:rPr>
            </w:pPr>
            <w:r w:rsidRPr="0070574C">
              <w:rPr>
                <w:rFonts w:eastAsia="Times New Roman"/>
                <w:b/>
                <w:bCs/>
                <w:color w:val="FFFFFF"/>
              </w:rPr>
              <w:t>Nivel de riesgo inherente</w:t>
            </w:r>
          </w:p>
        </w:tc>
        <w:tc>
          <w:tcPr>
            <w:tcW w:w="4252" w:type="dxa"/>
            <w:tcBorders>
              <w:top w:val="single" w:sz="4" w:space="0" w:color="auto"/>
              <w:left w:val="nil"/>
              <w:bottom w:val="single" w:sz="4" w:space="0" w:color="auto"/>
              <w:right w:val="single" w:sz="4" w:space="0" w:color="auto"/>
            </w:tcBorders>
            <w:shd w:val="clear" w:color="000000" w:fill="002060"/>
            <w:vAlign w:val="center"/>
            <w:hideMark/>
          </w:tcPr>
          <w:p w14:paraId="6CD955D5" w14:textId="77777777" w:rsidR="00DB6169" w:rsidRPr="0070574C" w:rsidRDefault="00DB6169" w:rsidP="009D09DC">
            <w:pPr>
              <w:spacing w:after="0" w:line="240" w:lineRule="auto"/>
              <w:ind w:left="0" w:right="0" w:firstLine="0"/>
              <w:jc w:val="center"/>
              <w:rPr>
                <w:rFonts w:eastAsia="Times New Roman"/>
                <w:b/>
                <w:bCs/>
                <w:color w:val="FFFFFF"/>
              </w:rPr>
            </w:pPr>
            <w:r w:rsidRPr="0070574C">
              <w:rPr>
                <w:rFonts w:eastAsia="Times New Roman"/>
                <w:b/>
                <w:bCs/>
                <w:color w:val="FFFFFF"/>
              </w:rPr>
              <w:t>Justificación (Probabilidad e Impacto)</w:t>
            </w:r>
          </w:p>
        </w:tc>
      </w:tr>
      <w:tr w:rsidR="00DB6169" w:rsidRPr="0070574C" w14:paraId="0F4DF58B" w14:textId="77777777" w:rsidTr="00C6289F">
        <w:trPr>
          <w:trHeight w:val="846"/>
          <w:jc w:val="center"/>
        </w:trPr>
        <w:tc>
          <w:tcPr>
            <w:tcW w:w="1827" w:type="dxa"/>
            <w:tcBorders>
              <w:top w:val="nil"/>
              <w:left w:val="single" w:sz="4" w:space="0" w:color="auto"/>
              <w:bottom w:val="single" w:sz="4" w:space="0" w:color="auto"/>
              <w:right w:val="single" w:sz="4" w:space="0" w:color="auto"/>
            </w:tcBorders>
            <w:shd w:val="clear" w:color="auto" w:fill="auto"/>
            <w:vAlign w:val="center"/>
            <w:hideMark/>
          </w:tcPr>
          <w:p w14:paraId="78AA59AB" w14:textId="77777777" w:rsidR="00DB6169" w:rsidRPr="0070574C" w:rsidRDefault="00DB6169" w:rsidP="009D09DC">
            <w:pPr>
              <w:spacing w:after="0" w:line="240" w:lineRule="auto"/>
              <w:ind w:left="0" w:right="0" w:firstLine="0"/>
              <w:jc w:val="left"/>
              <w:rPr>
                <w:rFonts w:eastAsia="Times New Roman"/>
                <w:b/>
                <w:bCs/>
              </w:rPr>
            </w:pPr>
            <w:r w:rsidRPr="0070574C">
              <w:rPr>
                <w:rFonts w:eastAsia="Times New Roman"/>
                <w:b/>
                <w:bCs/>
              </w:rPr>
              <w:t>Indisponibilidad de la infraestructura física</w:t>
            </w:r>
          </w:p>
        </w:tc>
        <w:tc>
          <w:tcPr>
            <w:tcW w:w="1473" w:type="dxa"/>
            <w:tcBorders>
              <w:top w:val="nil"/>
              <w:left w:val="nil"/>
              <w:bottom w:val="single" w:sz="4" w:space="0" w:color="auto"/>
              <w:right w:val="single" w:sz="4" w:space="0" w:color="auto"/>
            </w:tcBorders>
            <w:shd w:val="clear" w:color="auto" w:fill="auto"/>
            <w:vAlign w:val="center"/>
            <w:hideMark/>
          </w:tcPr>
          <w:p w14:paraId="3A3EF2DA" w14:textId="77777777" w:rsidR="00DB6169" w:rsidRPr="0070574C" w:rsidRDefault="00DB6169" w:rsidP="009D09DC">
            <w:pPr>
              <w:spacing w:after="0" w:line="240" w:lineRule="auto"/>
              <w:ind w:left="0" w:right="0" w:firstLine="0"/>
              <w:jc w:val="center"/>
              <w:rPr>
                <w:rFonts w:eastAsia="Times New Roman"/>
              </w:rPr>
            </w:pPr>
            <w:r w:rsidRPr="0070574C">
              <w:rPr>
                <w:rFonts w:eastAsia="Times New Roman"/>
              </w:rPr>
              <w:t>Bastante probable</w:t>
            </w:r>
            <w:r w:rsidRPr="0070574C">
              <w:rPr>
                <w:rFonts w:eastAsia="Times New Roman"/>
              </w:rPr>
              <w:br/>
              <w:t>(70)</w:t>
            </w:r>
          </w:p>
        </w:tc>
        <w:tc>
          <w:tcPr>
            <w:tcW w:w="984" w:type="dxa"/>
            <w:tcBorders>
              <w:top w:val="nil"/>
              <w:left w:val="nil"/>
              <w:bottom w:val="single" w:sz="4" w:space="0" w:color="auto"/>
              <w:right w:val="single" w:sz="4" w:space="0" w:color="auto"/>
            </w:tcBorders>
            <w:shd w:val="clear" w:color="auto" w:fill="auto"/>
            <w:vAlign w:val="center"/>
            <w:hideMark/>
          </w:tcPr>
          <w:p w14:paraId="1BF7673F" w14:textId="77777777" w:rsidR="00DB6169" w:rsidRPr="0070574C" w:rsidRDefault="00DB6169" w:rsidP="009D09DC">
            <w:pPr>
              <w:spacing w:after="0" w:line="240" w:lineRule="auto"/>
              <w:ind w:left="0" w:right="0" w:firstLine="0"/>
              <w:jc w:val="center"/>
              <w:rPr>
                <w:rFonts w:eastAsia="Times New Roman"/>
              </w:rPr>
            </w:pPr>
            <w:r w:rsidRPr="0070574C">
              <w:rPr>
                <w:rFonts w:eastAsia="Times New Roman"/>
              </w:rPr>
              <w:t>Alto</w:t>
            </w:r>
            <w:r w:rsidRPr="0070574C">
              <w:rPr>
                <w:rFonts w:eastAsia="Times New Roman"/>
              </w:rPr>
              <w:br/>
              <w:t>(4)</w:t>
            </w:r>
          </w:p>
        </w:tc>
        <w:tc>
          <w:tcPr>
            <w:tcW w:w="531" w:type="dxa"/>
            <w:tcBorders>
              <w:top w:val="nil"/>
              <w:left w:val="nil"/>
              <w:bottom w:val="single" w:sz="4" w:space="0" w:color="auto"/>
              <w:right w:val="single" w:sz="4" w:space="0" w:color="auto"/>
            </w:tcBorders>
            <w:shd w:val="clear" w:color="000000" w:fill="FF0000"/>
            <w:noWrap/>
            <w:vAlign w:val="center"/>
            <w:hideMark/>
          </w:tcPr>
          <w:p w14:paraId="7D408B63" w14:textId="77777777" w:rsidR="00DB6169" w:rsidRPr="0070574C" w:rsidRDefault="00DB6169" w:rsidP="009D09DC">
            <w:pPr>
              <w:spacing w:after="0" w:line="240" w:lineRule="auto"/>
              <w:ind w:left="0" w:right="0" w:firstLine="0"/>
              <w:jc w:val="center"/>
              <w:rPr>
                <w:rFonts w:eastAsia="Times New Roman"/>
                <w:b/>
                <w:bCs/>
              </w:rPr>
            </w:pPr>
            <w:r w:rsidRPr="0070574C">
              <w:rPr>
                <w:rFonts w:eastAsia="Times New Roman"/>
                <w:b/>
                <w:bCs/>
              </w:rPr>
              <w:t>280</w:t>
            </w:r>
          </w:p>
        </w:tc>
        <w:tc>
          <w:tcPr>
            <w:tcW w:w="709" w:type="dxa"/>
            <w:tcBorders>
              <w:top w:val="nil"/>
              <w:left w:val="nil"/>
              <w:bottom w:val="single" w:sz="4" w:space="0" w:color="auto"/>
              <w:right w:val="single" w:sz="4" w:space="0" w:color="auto"/>
            </w:tcBorders>
            <w:shd w:val="clear" w:color="000000" w:fill="FF0000"/>
            <w:noWrap/>
            <w:vAlign w:val="center"/>
            <w:hideMark/>
          </w:tcPr>
          <w:p w14:paraId="30305B50" w14:textId="77777777" w:rsidR="00DB6169" w:rsidRPr="0070574C" w:rsidRDefault="00DB6169" w:rsidP="009D09DC">
            <w:pPr>
              <w:spacing w:after="0" w:line="240" w:lineRule="auto"/>
              <w:ind w:left="0" w:right="0" w:firstLine="0"/>
              <w:jc w:val="center"/>
              <w:rPr>
                <w:rFonts w:eastAsia="Times New Roman"/>
                <w:b/>
                <w:bCs/>
              </w:rPr>
            </w:pPr>
            <w:r w:rsidRPr="0070574C">
              <w:rPr>
                <w:rFonts w:eastAsia="Times New Roman"/>
                <w:b/>
                <w:bCs/>
              </w:rPr>
              <w:t>Alto</w:t>
            </w:r>
          </w:p>
        </w:tc>
        <w:tc>
          <w:tcPr>
            <w:tcW w:w="4252" w:type="dxa"/>
            <w:tcBorders>
              <w:top w:val="nil"/>
              <w:left w:val="nil"/>
              <w:bottom w:val="single" w:sz="4" w:space="0" w:color="auto"/>
              <w:right w:val="single" w:sz="4" w:space="0" w:color="auto"/>
            </w:tcBorders>
            <w:shd w:val="clear" w:color="auto" w:fill="auto"/>
            <w:vAlign w:val="center"/>
            <w:hideMark/>
          </w:tcPr>
          <w:p w14:paraId="1C49706F" w14:textId="77777777" w:rsidR="00926373" w:rsidRDefault="00DB6169" w:rsidP="009D09DC">
            <w:pPr>
              <w:spacing w:after="0" w:line="240" w:lineRule="auto"/>
              <w:ind w:left="0" w:right="0" w:firstLine="0"/>
              <w:rPr>
                <w:rFonts w:eastAsia="Times New Roman"/>
              </w:rPr>
            </w:pPr>
            <w:r w:rsidRPr="0070574C">
              <w:rPr>
                <w:rFonts w:eastAsia="Times New Roman"/>
                <w:b/>
                <w:bCs/>
              </w:rPr>
              <w:t xml:space="preserve">PO: </w:t>
            </w:r>
            <w:r w:rsidRPr="0070574C">
              <w:rPr>
                <w:rFonts w:eastAsia="Times New Roman"/>
              </w:rPr>
              <w:t>Este escenario se ha materializado en algunos casos y ciertas zonas están más expuestas que otras por riesgos de desastres naturales o condiciones propias de la infraestructura donde residen los despachos y oficinas. Esto marca diferencias a nivel de todos los despachos y oficinas judiciales.</w:t>
            </w:r>
          </w:p>
          <w:p w14:paraId="4A2BD9C3" w14:textId="46D12A2B" w:rsidR="00DB6169" w:rsidRPr="0070574C" w:rsidRDefault="00DB6169" w:rsidP="009D09DC">
            <w:pPr>
              <w:spacing w:after="0" w:line="240" w:lineRule="auto"/>
              <w:ind w:left="0" w:right="0" w:firstLine="0"/>
              <w:rPr>
                <w:rFonts w:eastAsia="Times New Roman"/>
              </w:rPr>
            </w:pPr>
            <w:r w:rsidRPr="0070574C">
              <w:rPr>
                <w:rFonts w:eastAsia="Times New Roman"/>
              </w:rPr>
              <w:br/>
            </w:r>
            <w:r w:rsidRPr="0070574C">
              <w:rPr>
                <w:rFonts w:eastAsia="Times New Roman"/>
                <w:b/>
                <w:bCs/>
              </w:rPr>
              <w:t>I:</w:t>
            </w:r>
            <w:r w:rsidRPr="0070574C">
              <w:rPr>
                <w:rFonts w:eastAsia="Times New Roman"/>
              </w:rPr>
              <w:t xml:space="preserve"> El impacto es alto ya que la infraestructura física y los espacios de trabajo son requeridos para la prestación de los servicios</w:t>
            </w:r>
            <w:r w:rsidR="00926373">
              <w:rPr>
                <w:rFonts w:eastAsia="Times New Roman"/>
              </w:rPr>
              <w:t xml:space="preserve"> judiciales, siendo que en algunos casos el espacio es especializado para la labor, tal como celdas, salas de audiencias y salas de juicio, laboratorios, espacios médicos especialmente acondicionados, como ocurre con Patología Forense</w:t>
            </w:r>
            <w:r w:rsidRPr="0070574C">
              <w:rPr>
                <w:rFonts w:eastAsia="Times New Roman"/>
              </w:rPr>
              <w:t xml:space="preserve">. </w:t>
            </w:r>
          </w:p>
        </w:tc>
      </w:tr>
    </w:tbl>
    <w:p w14:paraId="56078A5A" w14:textId="2F74136A" w:rsidR="00DB6169" w:rsidRPr="0070574C" w:rsidRDefault="00DB6169" w:rsidP="009D09DC">
      <w:pPr>
        <w:spacing w:after="0" w:line="240" w:lineRule="auto"/>
        <w:ind w:left="-5" w:right="94"/>
      </w:pPr>
    </w:p>
    <w:p w14:paraId="5899C1A5" w14:textId="77777777" w:rsidR="00E71921" w:rsidRPr="0070574C" w:rsidRDefault="00E71921" w:rsidP="009D09DC">
      <w:pPr>
        <w:spacing w:after="0" w:line="240" w:lineRule="auto"/>
        <w:ind w:left="-5" w:right="94"/>
      </w:pPr>
      <w:r w:rsidRPr="0070574C">
        <w:rPr>
          <w:b/>
          <w:bCs/>
        </w:rPr>
        <w:t>Fuente:</w:t>
      </w:r>
      <w:r w:rsidRPr="0070574C">
        <w:t xml:space="preserve"> Elaboración propia a partir de metodología SEVRI-PJ, según datos recabados de análisis de riesgos para procesos y servicios críticos institucionales. </w:t>
      </w:r>
    </w:p>
    <w:p w14:paraId="297C052E" w14:textId="77777777" w:rsidR="00926373" w:rsidRPr="0070574C" w:rsidRDefault="00926373" w:rsidP="009D09DC">
      <w:pPr>
        <w:spacing w:after="0" w:line="240" w:lineRule="auto"/>
        <w:ind w:left="-5" w:right="94"/>
      </w:pPr>
    </w:p>
    <w:p w14:paraId="7654B201" w14:textId="2DBD03F5" w:rsidR="00B82A33" w:rsidRPr="0070574C" w:rsidRDefault="00B82A33" w:rsidP="009D09DC">
      <w:pPr>
        <w:pStyle w:val="Ttulo2"/>
        <w:spacing w:after="0" w:line="240" w:lineRule="auto"/>
        <w:rPr>
          <w:sz w:val="22"/>
        </w:rPr>
      </w:pPr>
      <w:bookmarkStart w:id="23" w:name="_Toc155778534"/>
      <w:r w:rsidRPr="00900DA4">
        <w:rPr>
          <w:color w:val="002060"/>
          <w:sz w:val="22"/>
        </w:rPr>
        <w:t>7.4 Dependencia de proveedores externos</w:t>
      </w:r>
      <w:bookmarkEnd w:id="23"/>
    </w:p>
    <w:p w14:paraId="21CAA626" w14:textId="5B61D0E2" w:rsidR="00B82A33" w:rsidRDefault="00B82A33" w:rsidP="009D09DC">
      <w:pPr>
        <w:spacing w:after="0" w:line="240" w:lineRule="auto"/>
        <w:ind w:left="-5" w:right="94"/>
      </w:pPr>
    </w:p>
    <w:p w14:paraId="52974BE9" w14:textId="1DF1574F" w:rsidR="008D5CC9" w:rsidRDefault="00022681" w:rsidP="009D09DC">
      <w:pPr>
        <w:spacing w:after="0" w:line="240" w:lineRule="auto"/>
        <w:ind w:left="-5" w:right="94"/>
      </w:pPr>
      <w:r>
        <w:t>Existen procesos y servicios críticos que tienen dependencia de proveedores externos. Es</w:t>
      </w:r>
      <w:r w:rsidR="005C415A">
        <w:t xml:space="preserve"> </w:t>
      </w:r>
      <w:r>
        <w:t xml:space="preserve">el caso de ciertos servicios tecnológicos </w:t>
      </w:r>
      <w:r w:rsidR="00C6289F">
        <w:t xml:space="preserve">contratados a proveedores para </w:t>
      </w:r>
      <w:r>
        <w:t>alberga</w:t>
      </w:r>
      <w:r w:rsidR="000B14EF">
        <w:t>r</w:t>
      </w:r>
      <w:r>
        <w:t xml:space="preserve"> equipos y centros de datos</w:t>
      </w:r>
      <w:r w:rsidR="005C415A">
        <w:t xml:space="preserve">, así como </w:t>
      </w:r>
      <w:r w:rsidR="00C6289F">
        <w:t xml:space="preserve">la </w:t>
      </w:r>
      <w:r w:rsidR="005C415A">
        <w:t xml:space="preserve">provisión de servicios de soporte y </w:t>
      </w:r>
      <w:r w:rsidR="00C6289F">
        <w:t>otros</w:t>
      </w:r>
      <w:r w:rsidR="005C415A">
        <w:t xml:space="preserve"> equipos</w:t>
      </w:r>
      <w:r w:rsidR="00C6289F">
        <w:t xml:space="preserve"> o recursos que son suministrados por terceros al Poder Judicial</w:t>
      </w:r>
      <w:r w:rsidR="005C415A">
        <w:t xml:space="preserve">. También los servicios de seguridad dependen </w:t>
      </w:r>
      <w:r w:rsidR="005C415A">
        <w:lastRenderedPageBreak/>
        <w:t>de este factor y el mantenimiento de equipos, tales como respaldos de energía eléctrica (UPS)</w:t>
      </w:r>
      <w:r w:rsidR="00C6289F">
        <w:t xml:space="preserve"> o de equipos de aires acondicionados (muy sensibles para los centros de datos)</w:t>
      </w:r>
      <w:r w:rsidR="005C415A">
        <w:t xml:space="preserve">. Se incluyen en estos casos el suministro de combustible y los servicios básicos suministrados por </w:t>
      </w:r>
      <w:r w:rsidR="00C6289F">
        <w:t>organizaciones</w:t>
      </w:r>
      <w:r w:rsidR="005C415A">
        <w:t xml:space="preserve"> públicas, junto con servicios de enlaces de comunicaciones donde también pueden participar </w:t>
      </w:r>
      <w:r w:rsidR="00C6289F">
        <w:t>organizaciones</w:t>
      </w:r>
      <w:r w:rsidR="005C415A">
        <w:t xml:space="preserve"> privadas.</w:t>
      </w:r>
      <w:r w:rsidR="00086C27">
        <w:t xml:space="preserve"> En esta categoría se contempla también la provisión del información o servicios de proveedores, tal como la plataforma del Sistema de Depósitos Judiciales (SDJ) que provee el Banco de Costa Rica, o servicios del Registro Nacional, entre otras instituciones públicas, incluida la plataforma del Sistema Institucional de Compras Públicas (SICOP). </w:t>
      </w:r>
    </w:p>
    <w:p w14:paraId="61F48203" w14:textId="7C2C9217" w:rsidR="005C415A" w:rsidRDefault="005C415A" w:rsidP="009D09DC">
      <w:pPr>
        <w:spacing w:after="0" w:line="240" w:lineRule="auto"/>
        <w:ind w:left="-5" w:right="94"/>
      </w:pPr>
    </w:p>
    <w:p w14:paraId="79C1BA3F" w14:textId="53DB81B4" w:rsidR="005C415A" w:rsidRDefault="005C415A" w:rsidP="005104B3">
      <w:pPr>
        <w:spacing w:after="0" w:line="240" w:lineRule="auto"/>
        <w:ind w:left="-5" w:right="12"/>
      </w:pPr>
      <w:r w:rsidRPr="005104B3">
        <w:t>La falla o incumplimiento de estos proveedores externos pueden ser una fuente de riesgo para el escenario que pone sobre la mesa el riesgo de estas dependencias.</w:t>
      </w:r>
      <w:r>
        <w:t xml:space="preserve"> </w:t>
      </w:r>
      <w:r w:rsidR="005104B3">
        <w:t>En ese sentido, l</w:t>
      </w:r>
      <w:r>
        <w:t xml:space="preserve">a tabla 10 muestra el nivel de riesgo asociado a </w:t>
      </w:r>
      <w:r w:rsidR="00C6289F">
        <w:t>este escenario</w:t>
      </w:r>
      <w:r>
        <w:t xml:space="preserve">. </w:t>
      </w:r>
    </w:p>
    <w:p w14:paraId="59B49802" w14:textId="77777777" w:rsidR="008D5CC9" w:rsidRPr="0070574C" w:rsidRDefault="008D5CC9" w:rsidP="009D09DC">
      <w:pPr>
        <w:spacing w:after="0" w:line="240" w:lineRule="auto"/>
        <w:ind w:left="-5" w:right="94"/>
      </w:pPr>
    </w:p>
    <w:p w14:paraId="4DE3EA45" w14:textId="1E5E115E" w:rsidR="0013591B" w:rsidRPr="0070574C" w:rsidRDefault="00B019BE" w:rsidP="00C65BAC">
      <w:pPr>
        <w:pStyle w:val="Ttulo2"/>
        <w:spacing w:after="0" w:line="240" w:lineRule="auto"/>
        <w:jc w:val="both"/>
        <w:rPr>
          <w:sz w:val="22"/>
        </w:rPr>
      </w:pPr>
      <w:bookmarkStart w:id="24" w:name="_Toc155778535"/>
      <w:r w:rsidRPr="00900DA4">
        <w:rPr>
          <w:sz w:val="22"/>
        </w:rPr>
        <w:t xml:space="preserve">Tabla </w:t>
      </w:r>
      <w:r w:rsidR="00900DA4" w:rsidRPr="00900DA4">
        <w:rPr>
          <w:sz w:val="22"/>
        </w:rPr>
        <w:t>10</w:t>
      </w:r>
      <w:r w:rsidRPr="00900DA4">
        <w:rPr>
          <w:sz w:val="22"/>
        </w:rPr>
        <w:t>. Nivel</w:t>
      </w:r>
      <w:r w:rsidRPr="0070574C">
        <w:rPr>
          <w:sz w:val="22"/>
        </w:rPr>
        <w:t xml:space="preserve"> de riesgo inherente para el escenario disruptivo de </w:t>
      </w:r>
      <w:r w:rsidRPr="0070574C">
        <w:rPr>
          <w:rFonts w:eastAsia="Times New Roman"/>
          <w:sz w:val="22"/>
        </w:rPr>
        <w:t>Dependencia de proveedores externos.</w:t>
      </w:r>
      <w:bookmarkEnd w:id="24"/>
    </w:p>
    <w:p w14:paraId="55826D1F" w14:textId="711E5EE7" w:rsidR="00DB6169" w:rsidRDefault="00DB6169" w:rsidP="009D09DC">
      <w:pPr>
        <w:spacing w:after="0" w:line="240" w:lineRule="auto"/>
        <w:ind w:left="-5" w:right="94"/>
      </w:pPr>
    </w:p>
    <w:tbl>
      <w:tblPr>
        <w:tblStyle w:val="Tablaconcuadrcula"/>
        <w:tblW w:w="9918" w:type="dxa"/>
        <w:jc w:val="center"/>
        <w:tblLook w:val="04A0" w:firstRow="1" w:lastRow="0" w:firstColumn="1" w:lastColumn="0" w:noHBand="0" w:noVBand="1"/>
      </w:tblPr>
      <w:tblGrid>
        <w:gridCol w:w="1680"/>
        <w:gridCol w:w="1643"/>
        <w:gridCol w:w="1154"/>
        <w:gridCol w:w="867"/>
        <w:gridCol w:w="946"/>
        <w:gridCol w:w="3628"/>
      </w:tblGrid>
      <w:tr w:rsidR="00257014" w14:paraId="6D17AD1B" w14:textId="77777777" w:rsidTr="00257014">
        <w:trPr>
          <w:tblHeader/>
          <w:jc w:val="center"/>
        </w:trPr>
        <w:tc>
          <w:tcPr>
            <w:tcW w:w="1680" w:type="dxa"/>
            <w:shd w:val="clear" w:color="auto" w:fill="002060"/>
            <w:vAlign w:val="center"/>
          </w:tcPr>
          <w:p w14:paraId="222DF06D" w14:textId="779618C8" w:rsidR="00257014" w:rsidRPr="00257014" w:rsidRDefault="00257014" w:rsidP="00257014">
            <w:pPr>
              <w:spacing w:after="0" w:line="240" w:lineRule="auto"/>
              <w:ind w:left="0" w:right="94" w:firstLine="0"/>
              <w:jc w:val="center"/>
              <w:rPr>
                <w:b/>
                <w:bCs/>
                <w:color w:val="FFFFFF" w:themeColor="background1"/>
              </w:rPr>
            </w:pPr>
            <w:r w:rsidRPr="00257014">
              <w:rPr>
                <w:b/>
                <w:bCs/>
                <w:color w:val="FFFFFF" w:themeColor="background1"/>
              </w:rPr>
              <w:t>Escenario de riesgo</w:t>
            </w:r>
          </w:p>
        </w:tc>
        <w:tc>
          <w:tcPr>
            <w:tcW w:w="1643" w:type="dxa"/>
            <w:shd w:val="clear" w:color="auto" w:fill="002060"/>
            <w:vAlign w:val="center"/>
          </w:tcPr>
          <w:p w14:paraId="576D564B" w14:textId="5441AA44" w:rsidR="00257014" w:rsidRPr="00257014" w:rsidRDefault="00257014" w:rsidP="00257014">
            <w:pPr>
              <w:spacing w:after="0" w:line="240" w:lineRule="auto"/>
              <w:ind w:left="0" w:right="94" w:firstLine="0"/>
              <w:jc w:val="center"/>
              <w:rPr>
                <w:b/>
                <w:bCs/>
                <w:color w:val="FFFFFF" w:themeColor="background1"/>
              </w:rPr>
            </w:pPr>
            <w:r w:rsidRPr="00257014">
              <w:rPr>
                <w:b/>
                <w:bCs/>
                <w:color w:val="FFFFFF" w:themeColor="background1"/>
              </w:rPr>
              <w:t>Probabilidad de ocurrencia</w:t>
            </w:r>
          </w:p>
        </w:tc>
        <w:tc>
          <w:tcPr>
            <w:tcW w:w="1154" w:type="dxa"/>
            <w:shd w:val="clear" w:color="auto" w:fill="002060"/>
            <w:vAlign w:val="center"/>
          </w:tcPr>
          <w:p w14:paraId="18946D24" w14:textId="762DC50C" w:rsidR="00257014" w:rsidRPr="00257014" w:rsidRDefault="00257014" w:rsidP="00257014">
            <w:pPr>
              <w:spacing w:after="0" w:line="240" w:lineRule="auto"/>
              <w:ind w:left="0" w:right="94" w:firstLine="0"/>
              <w:jc w:val="center"/>
              <w:rPr>
                <w:b/>
                <w:bCs/>
                <w:color w:val="FFFFFF" w:themeColor="background1"/>
              </w:rPr>
            </w:pPr>
            <w:r w:rsidRPr="00257014">
              <w:rPr>
                <w:b/>
                <w:bCs/>
                <w:color w:val="FFFFFF" w:themeColor="background1"/>
              </w:rPr>
              <w:t>Impacto</w:t>
            </w:r>
          </w:p>
        </w:tc>
        <w:tc>
          <w:tcPr>
            <w:tcW w:w="1614" w:type="dxa"/>
            <w:gridSpan w:val="2"/>
            <w:shd w:val="clear" w:color="auto" w:fill="002060"/>
            <w:vAlign w:val="center"/>
          </w:tcPr>
          <w:p w14:paraId="54D1600D" w14:textId="06058D49" w:rsidR="00257014" w:rsidRPr="00257014" w:rsidRDefault="00257014" w:rsidP="00257014">
            <w:pPr>
              <w:spacing w:after="0" w:line="240" w:lineRule="auto"/>
              <w:ind w:left="0" w:right="94" w:firstLine="0"/>
              <w:jc w:val="center"/>
              <w:rPr>
                <w:b/>
                <w:bCs/>
                <w:color w:val="FFFFFF" w:themeColor="background1"/>
              </w:rPr>
            </w:pPr>
            <w:r w:rsidRPr="00257014">
              <w:rPr>
                <w:b/>
                <w:bCs/>
                <w:color w:val="FFFFFF" w:themeColor="background1"/>
              </w:rPr>
              <w:t>Nivel de riesgo inherente</w:t>
            </w:r>
          </w:p>
        </w:tc>
        <w:tc>
          <w:tcPr>
            <w:tcW w:w="3827" w:type="dxa"/>
            <w:shd w:val="clear" w:color="auto" w:fill="002060"/>
            <w:vAlign w:val="center"/>
          </w:tcPr>
          <w:p w14:paraId="7F5EA61D" w14:textId="7D3FE676" w:rsidR="00257014" w:rsidRPr="00257014" w:rsidRDefault="00257014" w:rsidP="00257014">
            <w:pPr>
              <w:spacing w:after="0" w:line="240" w:lineRule="auto"/>
              <w:ind w:left="0" w:right="94" w:firstLine="0"/>
              <w:jc w:val="center"/>
              <w:rPr>
                <w:b/>
                <w:bCs/>
                <w:color w:val="FFFFFF" w:themeColor="background1"/>
              </w:rPr>
            </w:pPr>
            <w:r w:rsidRPr="00257014">
              <w:rPr>
                <w:b/>
                <w:bCs/>
                <w:color w:val="FFFFFF" w:themeColor="background1"/>
              </w:rPr>
              <w:t>Justificación (Probabilidad e Impacto)</w:t>
            </w:r>
          </w:p>
        </w:tc>
      </w:tr>
      <w:tr w:rsidR="00257014" w14:paraId="716FDB47" w14:textId="77777777" w:rsidTr="005104B3">
        <w:trPr>
          <w:jc w:val="center"/>
        </w:trPr>
        <w:tc>
          <w:tcPr>
            <w:tcW w:w="1680" w:type="dxa"/>
            <w:vAlign w:val="center"/>
          </w:tcPr>
          <w:p w14:paraId="4058C757" w14:textId="4095C043" w:rsidR="00257014" w:rsidRDefault="00257014" w:rsidP="00257014">
            <w:pPr>
              <w:spacing w:after="0" w:line="240" w:lineRule="auto"/>
              <w:ind w:left="0" w:right="94" w:firstLine="0"/>
            </w:pPr>
            <w:r w:rsidRPr="0070574C">
              <w:rPr>
                <w:rFonts w:eastAsia="Times New Roman"/>
                <w:b/>
                <w:bCs/>
              </w:rPr>
              <w:t>Dependencia de proveedores externos</w:t>
            </w:r>
          </w:p>
        </w:tc>
        <w:tc>
          <w:tcPr>
            <w:tcW w:w="1643" w:type="dxa"/>
            <w:vAlign w:val="center"/>
          </w:tcPr>
          <w:p w14:paraId="28E4290D" w14:textId="4BFDB2CA" w:rsidR="00257014" w:rsidRDefault="00257014" w:rsidP="00257014">
            <w:pPr>
              <w:spacing w:after="0" w:line="240" w:lineRule="auto"/>
              <w:ind w:left="0" w:right="94" w:firstLine="0"/>
              <w:jc w:val="center"/>
            </w:pPr>
            <w:r w:rsidRPr="0070574C">
              <w:rPr>
                <w:rFonts w:eastAsia="Times New Roman"/>
              </w:rPr>
              <w:t>Probable</w:t>
            </w:r>
            <w:r w:rsidRPr="0070574C">
              <w:rPr>
                <w:rFonts w:eastAsia="Times New Roman"/>
              </w:rPr>
              <w:br/>
              <w:t>(50)</w:t>
            </w:r>
          </w:p>
        </w:tc>
        <w:tc>
          <w:tcPr>
            <w:tcW w:w="1154" w:type="dxa"/>
            <w:vAlign w:val="center"/>
          </w:tcPr>
          <w:p w14:paraId="5407A665" w14:textId="5EC0D12A" w:rsidR="00257014" w:rsidRDefault="00257014" w:rsidP="00257014">
            <w:pPr>
              <w:spacing w:after="0" w:line="240" w:lineRule="auto"/>
              <w:ind w:left="0" w:right="94" w:firstLine="0"/>
              <w:jc w:val="center"/>
            </w:pPr>
            <w:r w:rsidRPr="0070574C">
              <w:rPr>
                <w:rFonts w:eastAsia="Times New Roman"/>
              </w:rPr>
              <w:t>Alto</w:t>
            </w:r>
            <w:r w:rsidRPr="0070574C">
              <w:rPr>
                <w:rFonts w:eastAsia="Times New Roman"/>
              </w:rPr>
              <w:br/>
              <w:t>(4)</w:t>
            </w:r>
          </w:p>
        </w:tc>
        <w:tc>
          <w:tcPr>
            <w:tcW w:w="888" w:type="dxa"/>
            <w:shd w:val="clear" w:color="auto" w:fill="FFFF00"/>
            <w:vAlign w:val="center"/>
          </w:tcPr>
          <w:p w14:paraId="44876641" w14:textId="262513AC" w:rsidR="00257014" w:rsidRDefault="00257014" w:rsidP="00257014">
            <w:pPr>
              <w:spacing w:after="0" w:line="240" w:lineRule="auto"/>
              <w:ind w:left="0" w:right="94" w:firstLine="0"/>
              <w:jc w:val="center"/>
            </w:pPr>
            <w:r w:rsidRPr="0070574C">
              <w:rPr>
                <w:rFonts w:eastAsia="Times New Roman"/>
                <w:b/>
                <w:bCs/>
              </w:rPr>
              <w:t>200</w:t>
            </w:r>
          </w:p>
        </w:tc>
        <w:tc>
          <w:tcPr>
            <w:tcW w:w="726" w:type="dxa"/>
            <w:shd w:val="clear" w:color="auto" w:fill="FFFF00"/>
            <w:vAlign w:val="center"/>
          </w:tcPr>
          <w:p w14:paraId="196AA53B" w14:textId="77707809" w:rsidR="00257014" w:rsidRDefault="00257014" w:rsidP="00257014">
            <w:pPr>
              <w:spacing w:after="0" w:line="240" w:lineRule="auto"/>
              <w:ind w:left="0" w:right="94" w:firstLine="0"/>
              <w:jc w:val="center"/>
            </w:pPr>
            <w:r w:rsidRPr="0070574C">
              <w:rPr>
                <w:rFonts w:eastAsia="Times New Roman"/>
                <w:b/>
                <w:bCs/>
              </w:rPr>
              <w:t>Medio</w:t>
            </w:r>
          </w:p>
        </w:tc>
        <w:tc>
          <w:tcPr>
            <w:tcW w:w="3827" w:type="dxa"/>
            <w:vAlign w:val="center"/>
          </w:tcPr>
          <w:p w14:paraId="2B518534" w14:textId="766F8055" w:rsidR="00257014" w:rsidRDefault="00257014" w:rsidP="00257014">
            <w:pPr>
              <w:spacing w:after="0" w:line="240" w:lineRule="auto"/>
              <w:ind w:left="0" w:right="94" w:firstLine="0"/>
            </w:pPr>
            <w:r w:rsidRPr="0070574C">
              <w:rPr>
                <w:rFonts w:eastAsia="Times New Roman"/>
                <w:b/>
                <w:bCs/>
              </w:rPr>
              <w:t xml:space="preserve">PO: </w:t>
            </w:r>
            <w:r w:rsidRPr="0070574C">
              <w:rPr>
                <w:rFonts w:eastAsia="Times New Roman"/>
              </w:rPr>
              <w:t xml:space="preserve">Este escenario es probable ya que se ha materializado en servicios del Poder Judicial que requieren de proveedores externos para suministrarle información, bienes y servicios. En diferentes aspectos el Poder Judicial depende de estos aliados para contar con recursos que permiten a la institución mantener su provisión de servicios.  </w:t>
            </w:r>
            <w:r w:rsidRPr="0070574C">
              <w:rPr>
                <w:rFonts w:eastAsia="Times New Roman"/>
              </w:rPr>
              <w:br/>
            </w:r>
            <w:r w:rsidRPr="0070574C">
              <w:rPr>
                <w:rFonts w:eastAsia="Times New Roman"/>
              </w:rPr>
              <w:br/>
            </w:r>
            <w:r w:rsidRPr="0070574C">
              <w:rPr>
                <w:rFonts w:eastAsia="Times New Roman"/>
                <w:b/>
                <w:bCs/>
              </w:rPr>
              <w:t>I:</w:t>
            </w:r>
            <w:r w:rsidRPr="0070574C">
              <w:rPr>
                <w:rFonts w:eastAsia="Times New Roman"/>
              </w:rPr>
              <w:t xml:space="preserve"> El impacto es muy alto ya que el Poder Judicial requiere contar con los bienes o servicios de proveedores para su propio funcionamiento. Ejemplo de ello son la plataforma del SDJ del Banco de Costa Rica, suministro de combustible, información de instituciones como el Ministerio de Justicia, servicios del Registro Nacional y otros proveedores como el INS, CODISA, ICE, </w:t>
            </w:r>
            <w:r>
              <w:rPr>
                <w:rFonts w:eastAsia="Times New Roman"/>
              </w:rPr>
              <w:t>organizacion</w:t>
            </w:r>
            <w:r w:rsidRPr="0070574C">
              <w:rPr>
                <w:rFonts w:eastAsia="Times New Roman"/>
              </w:rPr>
              <w:t xml:space="preserve">es de seguridad, entre otras. </w:t>
            </w:r>
          </w:p>
        </w:tc>
      </w:tr>
    </w:tbl>
    <w:p w14:paraId="352BBF8D" w14:textId="77777777" w:rsidR="00257014" w:rsidRPr="0070574C" w:rsidRDefault="00257014" w:rsidP="009D09DC">
      <w:pPr>
        <w:spacing w:after="0" w:line="240" w:lineRule="auto"/>
        <w:ind w:left="-5" w:right="94"/>
      </w:pPr>
    </w:p>
    <w:p w14:paraId="39912A21" w14:textId="0894BDCC" w:rsidR="00B019BE" w:rsidRDefault="00B019BE" w:rsidP="009D09DC">
      <w:pPr>
        <w:spacing w:after="0" w:line="240" w:lineRule="auto"/>
        <w:ind w:left="-5" w:right="94"/>
      </w:pPr>
      <w:r w:rsidRPr="0070574C">
        <w:rPr>
          <w:b/>
          <w:bCs/>
        </w:rPr>
        <w:lastRenderedPageBreak/>
        <w:t>Fuente:</w:t>
      </w:r>
      <w:r w:rsidRPr="0070574C">
        <w:t xml:space="preserve"> Elaboración propia a partir de metodología SEVRI-PJ, según datos recabados de análisis de riesgos para procesos y servicios críticos institucionales. </w:t>
      </w:r>
    </w:p>
    <w:p w14:paraId="4D41F494" w14:textId="77777777" w:rsidR="00C65BAC" w:rsidRPr="0070574C" w:rsidRDefault="00C65BAC" w:rsidP="009D09DC">
      <w:pPr>
        <w:spacing w:after="0" w:line="240" w:lineRule="auto"/>
        <w:ind w:left="-5" w:right="94"/>
      </w:pPr>
    </w:p>
    <w:p w14:paraId="474D98EF" w14:textId="7D244738" w:rsidR="00B82A33" w:rsidRPr="00900DA4" w:rsidRDefault="00B82A33" w:rsidP="009D09DC">
      <w:pPr>
        <w:pStyle w:val="Ttulo2"/>
        <w:spacing w:after="0" w:line="240" w:lineRule="auto"/>
        <w:rPr>
          <w:color w:val="002060"/>
          <w:sz w:val="22"/>
        </w:rPr>
      </w:pPr>
      <w:bookmarkStart w:id="25" w:name="_Toc155778536"/>
      <w:r w:rsidRPr="00900DA4">
        <w:rPr>
          <w:color w:val="002060"/>
          <w:sz w:val="22"/>
        </w:rPr>
        <w:t>7.5 Carencia de insumos para la prestación del servicio</w:t>
      </w:r>
      <w:bookmarkEnd w:id="25"/>
    </w:p>
    <w:p w14:paraId="65A4B7D5" w14:textId="7B2D6049" w:rsidR="00B019BE" w:rsidRPr="0070574C" w:rsidRDefault="00B019BE" w:rsidP="009D09DC">
      <w:pPr>
        <w:spacing w:after="0" w:line="240" w:lineRule="auto"/>
        <w:ind w:left="-5" w:right="94"/>
      </w:pPr>
    </w:p>
    <w:p w14:paraId="16D3BEAB" w14:textId="630C02A2" w:rsidR="00B019BE" w:rsidRDefault="00086C27" w:rsidP="009D09DC">
      <w:pPr>
        <w:spacing w:after="0" w:line="240" w:lineRule="auto"/>
        <w:ind w:left="-5" w:right="94"/>
      </w:pPr>
      <w:r w:rsidRPr="00851DDA">
        <w:t>Existen procesos o servicios que depende</w:t>
      </w:r>
      <w:r w:rsidR="00B010B0">
        <w:t>n</w:t>
      </w:r>
      <w:r w:rsidRPr="00851DDA">
        <w:t xml:space="preserve"> de insumos particulares para garantizar la continuidad del servicio.</w:t>
      </w:r>
      <w:r>
        <w:t xml:space="preserve"> </w:t>
      </w:r>
    </w:p>
    <w:p w14:paraId="5E26C88F" w14:textId="10E8F0FE" w:rsidR="005022B8" w:rsidRDefault="005022B8" w:rsidP="009D09DC">
      <w:pPr>
        <w:spacing w:after="0" w:line="240" w:lineRule="auto"/>
        <w:ind w:left="-5" w:right="94"/>
      </w:pPr>
    </w:p>
    <w:p w14:paraId="5371E7FC" w14:textId="7FB83781" w:rsidR="005022B8" w:rsidRDefault="005022B8" w:rsidP="009D09DC">
      <w:pPr>
        <w:spacing w:after="0" w:line="240" w:lineRule="auto"/>
        <w:ind w:left="-5" w:right="94"/>
      </w:pPr>
      <w:r>
        <w:t xml:space="preserve">Los laboratorios de Medicina Legal y Medicina Forense son particularmente sensibles a este factor. </w:t>
      </w:r>
      <w:r w:rsidR="008E4658">
        <w:t>Igualmente,</w:t>
      </w:r>
      <w:r>
        <w:t xml:space="preserve"> la flotilla institucional que depende de repuestos y mantenimientos de los vehículos, </w:t>
      </w:r>
      <w:r w:rsidR="00B010B0">
        <w:t xml:space="preserve">que a su vez son </w:t>
      </w:r>
      <w:r>
        <w:t>necesarios para la prestación de servicios</w:t>
      </w:r>
      <w:r w:rsidR="00B010B0">
        <w:t xml:space="preserve"> de transporte del OIJ o administrativo</w:t>
      </w:r>
      <w:r>
        <w:t xml:space="preserve">, así como la Oficinas de Comunicaciones Judiciales que también requieren de vehículos de transporte para su labor. </w:t>
      </w:r>
      <w:r w:rsidR="009F545E">
        <w:t xml:space="preserve">En estas áreas resalta la carencia de equipo adecuado y necesario para la labor de las oficinas, lo que hace que este escenario se perfile como particular para oficinas del Ámbito Auxiliar de Justicia y el Administrativo. </w:t>
      </w:r>
    </w:p>
    <w:p w14:paraId="01E63BE6" w14:textId="1582B256" w:rsidR="00086C27" w:rsidRDefault="00086C27" w:rsidP="009D09DC">
      <w:pPr>
        <w:spacing w:after="0" w:line="240" w:lineRule="auto"/>
        <w:ind w:left="-5" w:right="94"/>
      </w:pPr>
    </w:p>
    <w:p w14:paraId="52005B18" w14:textId="5DD06F4F" w:rsidR="00E261F1" w:rsidRDefault="009F545E" w:rsidP="009D09DC">
      <w:pPr>
        <w:spacing w:after="0" w:line="240" w:lineRule="auto"/>
        <w:ind w:left="-5" w:right="94"/>
      </w:pPr>
      <w:r w:rsidRPr="009F545E">
        <w:t>Por otra parte, l</w:t>
      </w:r>
      <w:r w:rsidR="00E261F1" w:rsidRPr="009F545E">
        <w:t xml:space="preserve">a gráfica 1 revela que la falla de equipos base o soporte </w:t>
      </w:r>
      <w:r w:rsidR="00B010B0">
        <w:t>es</w:t>
      </w:r>
      <w:r w:rsidR="00E261F1" w:rsidRPr="009F545E">
        <w:t xml:space="preserve"> sumamente relevante</w:t>
      </w:r>
      <w:r w:rsidR="00B010B0">
        <w:t xml:space="preserve"> </w:t>
      </w:r>
      <w:r w:rsidRPr="009F545E">
        <w:t>a todo nivel institucional;</w:t>
      </w:r>
      <w:r w:rsidR="00E261F1" w:rsidRPr="009F545E">
        <w:t xml:space="preserve"> estos son, por ejemplo, equipos de aire acondicionado en centros de datos, pues ante su fallo se deben apagar los equipos servidores (este es un riesgo que ya se ha materializado en circuitos judiciales); igualmente sucede con otros equipos como UPS o plantas de generación eléctrica.</w:t>
      </w:r>
      <w:r w:rsidR="00E261F1">
        <w:t xml:space="preserve"> </w:t>
      </w:r>
      <w:r>
        <w:t>Estos factores son riesgos por sí mismo</w:t>
      </w:r>
      <w:r w:rsidR="00572EFA">
        <w:t>s</w:t>
      </w:r>
      <w:r>
        <w:t xml:space="preserve"> para la continuidad del servicio, pero a la vez fuente de riesgo para otros escenarios, tal como el de indisponibilidad de la plataforma tecnológica, por existir una dependencia en los recursos. </w:t>
      </w:r>
    </w:p>
    <w:p w14:paraId="6B62E2A9" w14:textId="4B9E5C23" w:rsidR="009F545E" w:rsidRDefault="009F545E" w:rsidP="009D09DC">
      <w:pPr>
        <w:spacing w:after="0" w:line="240" w:lineRule="auto"/>
        <w:ind w:left="-5" w:right="94"/>
      </w:pPr>
    </w:p>
    <w:p w14:paraId="1541968A" w14:textId="3891BD22" w:rsidR="009F545E" w:rsidRDefault="009F545E" w:rsidP="009D09DC">
      <w:pPr>
        <w:spacing w:after="0" w:line="240" w:lineRule="auto"/>
        <w:ind w:left="-5" w:right="94"/>
      </w:pPr>
      <w:r>
        <w:t xml:space="preserve">Debido a lo indicado, la </w:t>
      </w:r>
      <w:r w:rsidR="00572EFA">
        <w:t>“</w:t>
      </w:r>
      <w:r>
        <w:t>Carencia de insumos</w:t>
      </w:r>
      <w:r w:rsidR="00572EFA">
        <w:t>”</w:t>
      </w:r>
      <w:r>
        <w:t xml:space="preserve"> se clasifica con un nivel de riesgo inherente medio, tal como se muestra en la tabla 11. </w:t>
      </w:r>
    </w:p>
    <w:p w14:paraId="69E8CEDB" w14:textId="2A380E21" w:rsidR="00E261F1" w:rsidRPr="0070574C" w:rsidRDefault="00E261F1" w:rsidP="009D09DC">
      <w:pPr>
        <w:spacing w:after="0" w:line="240" w:lineRule="auto"/>
        <w:ind w:left="-5" w:right="94"/>
      </w:pPr>
    </w:p>
    <w:p w14:paraId="60A1196C" w14:textId="1ED9B47D" w:rsidR="00B019BE" w:rsidRPr="0070574C" w:rsidRDefault="00B019BE" w:rsidP="009D09DC">
      <w:pPr>
        <w:pStyle w:val="Ttulo2"/>
        <w:spacing w:after="0" w:line="240" w:lineRule="auto"/>
        <w:jc w:val="both"/>
        <w:rPr>
          <w:rFonts w:eastAsia="Times New Roman"/>
          <w:sz w:val="22"/>
        </w:rPr>
      </w:pPr>
      <w:bookmarkStart w:id="26" w:name="_Toc155778537"/>
      <w:r w:rsidRPr="00900DA4">
        <w:rPr>
          <w:sz w:val="22"/>
        </w:rPr>
        <w:t xml:space="preserve">Tabla </w:t>
      </w:r>
      <w:r w:rsidR="00900DA4" w:rsidRPr="00900DA4">
        <w:rPr>
          <w:sz w:val="22"/>
        </w:rPr>
        <w:t>11</w:t>
      </w:r>
      <w:r w:rsidRPr="00900DA4">
        <w:rPr>
          <w:sz w:val="22"/>
        </w:rPr>
        <w:t>. Nivel</w:t>
      </w:r>
      <w:r w:rsidRPr="0070574C">
        <w:rPr>
          <w:sz w:val="22"/>
        </w:rPr>
        <w:t xml:space="preserve"> de riesgo inherente para el escenario disruptivo de </w:t>
      </w:r>
      <w:r w:rsidRPr="0070574C">
        <w:rPr>
          <w:rFonts w:eastAsia="Times New Roman"/>
          <w:sz w:val="22"/>
        </w:rPr>
        <w:t>Carencia de insumos.</w:t>
      </w:r>
      <w:bookmarkEnd w:id="26"/>
    </w:p>
    <w:p w14:paraId="024F398B" w14:textId="4B738B4C" w:rsidR="00DB6169" w:rsidRPr="0070574C" w:rsidRDefault="00DB6169" w:rsidP="009D09DC">
      <w:pPr>
        <w:spacing w:after="0" w:line="240" w:lineRule="auto"/>
        <w:ind w:left="-5" w:right="94"/>
      </w:pPr>
    </w:p>
    <w:tbl>
      <w:tblPr>
        <w:tblW w:w="9493" w:type="dxa"/>
        <w:jc w:val="center"/>
        <w:tblCellMar>
          <w:left w:w="70" w:type="dxa"/>
          <w:right w:w="70" w:type="dxa"/>
        </w:tblCellMar>
        <w:tblLook w:val="04A0" w:firstRow="1" w:lastRow="0" w:firstColumn="1" w:lastColumn="0" w:noHBand="0" w:noVBand="1"/>
      </w:tblPr>
      <w:tblGrid>
        <w:gridCol w:w="1752"/>
        <w:gridCol w:w="1473"/>
        <w:gridCol w:w="984"/>
        <w:gridCol w:w="824"/>
        <w:gridCol w:w="837"/>
        <w:gridCol w:w="3623"/>
      </w:tblGrid>
      <w:tr w:rsidR="00451E0B" w:rsidRPr="0070574C" w14:paraId="2CF37B2D" w14:textId="77777777" w:rsidTr="000E1EFF">
        <w:trPr>
          <w:trHeight w:val="580"/>
          <w:tblHeader/>
          <w:jc w:val="center"/>
        </w:trPr>
        <w:tc>
          <w:tcPr>
            <w:tcW w:w="175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44A2603" w14:textId="77777777" w:rsidR="00451E0B" w:rsidRPr="0070574C" w:rsidRDefault="00451E0B" w:rsidP="009D09DC">
            <w:pPr>
              <w:spacing w:after="0" w:line="240" w:lineRule="auto"/>
              <w:ind w:left="0" w:right="0" w:firstLine="0"/>
              <w:jc w:val="center"/>
              <w:rPr>
                <w:rFonts w:eastAsia="Times New Roman"/>
                <w:b/>
                <w:bCs/>
                <w:color w:val="FFFFFF"/>
              </w:rPr>
            </w:pPr>
            <w:r w:rsidRPr="0070574C">
              <w:rPr>
                <w:rFonts w:eastAsia="Times New Roman"/>
                <w:b/>
                <w:bCs/>
                <w:color w:val="FFFFFF"/>
              </w:rPr>
              <w:t>Escenario de riesgo</w:t>
            </w:r>
          </w:p>
        </w:tc>
        <w:tc>
          <w:tcPr>
            <w:tcW w:w="1473" w:type="dxa"/>
            <w:tcBorders>
              <w:top w:val="single" w:sz="4" w:space="0" w:color="auto"/>
              <w:left w:val="nil"/>
              <w:bottom w:val="single" w:sz="4" w:space="0" w:color="auto"/>
              <w:right w:val="single" w:sz="4" w:space="0" w:color="auto"/>
            </w:tcBorders>
            <w:shd w:val="clear" w:color="000000" w:fill="002060"/>
            <w:vAlign w:val="center"/>
            <w:hideMark/>
          </w:tcPr>
          <w:p w14:paraId="1BA123B3" w14:textId="77777777" w:rsidR="00451E0B" w:rsidRPr="0070574C" w:rsidRDefault="00451E0B" w:rsidP="009D09DC">
            <w:pPr>
              <w:spacing w:after="0" w:line="240" w:lineRule="auto"/>
              <w:ind w:left="0" w:right="0" w:firstLine="0"/>
              <w:jc w:val="center"/>
              <w:rPr>
                <w:rFonts w:eastAsia="Times New Roman"/>
                <w:b/>
                <w:bCs/>
                <w:color w:val="FFFFFF"/>
              </w:rPr>
            </w:pPr>
            <w:r w:rsidRPr="0070574C">
              <w:rPr>
                <w:rFonts w:eastAsia="Times New Roman"/>
                <w:b/>
                <w:bCs/>
                <w:color w:val="FFFFFF"/>
              </w:rPr>
              <w:t>Probabilidad de ocurrencia</w:t>
            </w:r>
          </w:p>
        </w:tc>
        <w:tc>
          <w:tcPr>
            <w:tcW w:w="984" w:type="dxa"/>
            <w:tcBorders>
              <w:top w:val="single" w:sz="4" w:space="0" w:color="auto"/>
              <w:left w:val="nil"/>
              <w:bottom w:val="single" w:sz="4" w:space="0" w:color="auto"/>
              <w:right w:val="single" w:sz="4" w:space="0" w:color="auto"/>
            </w:tcBorders>
            <w:shd w:val="clear" w:color="000000" w:fill="002060"/>
            <w:vAlign w:val="center"/>
            <w:hideMark/>
          </w:tcPr>
          <w:p w14:paraId="0FE33F01" w14:textId="77777777" w:rsidR="00451E0B" w:rsidRPr="0070574C" w:rsidRDefault="00451E0B" w:rsidP="009D09DC">
            <w:pPr>
              <w:spacing w:after="0" w:line="240" w:lineRule="auto"/>
              <w:ind w:left="0" w:right="0" w:firstLine="0"/>
              <w:jc w:val="center"/>
              <w:rPr>
                <w:rFonts w:eastAsia="Times New Roman"/>
                <w:b/>
                <w:bCs/>
                <w:color w:val="FFFFFF"/>
              </w:rPr>
            </w:pPr>
            <w:r w:rsidRPr="0070574C">
              <w:rPr>
                <w:rFonts w:eastAsia="Times New Roman"/>
                <w:b/>
                <w:bCs/>
                <w:color w:val="FFFFFF"/>
              </w:rPr>
              <w:t>Impacto</w:t>
            </w:r>
          </w:p>
        </w:tc>
        <w:tc>
          <w:tcPr>
            <w:tcW w:w="1661" w:type="dxa"/>
            <w:gridSpan w:val="2"/>
            <w:tcBorders>
              <w:top w:val="single" w:sz="4" w:space="0" w:color="auto"/>
              <w:left w:val="nil"/>
              <w:bottom w:val="single" w:sz="4" w:space="0" w:color="auto"/>
              <w:right w:val="single" w:sz="4" w:space="0" w:color="000000"/>
            </w:tcBorders>
            <w:shd w:val="clear" w:color="000000" w:fill="002060"/>
            <w:vAlign w:val="center"/>
            <w:hideMark/>
          </w:tcPr>
          <w:p w14:paraId="1BF4CCF3" w14:textId="77777777" w:rsidR="00451E0B" w:rsidRPr="0070574C" w:rsidRDefault="00451E0B" w:rsidP="009D09DC">
            <w:pPr>
              <w:spacing w:after="0" w:line="240" w:lineRule="auto"/>
              <w:ind w:left="0" w:right="0" w:firstLine="0"/>
              <w:jc w:val="center"/>
              <w:rPr>
                <w:rFonts w:eastAsia="Times New Roman"/>
                <w:b/>
                <w:bCs/>
                <w:color w:val="FFFFFF"/>
              </w:rPr>
            </w:pPr>
            <w:r w:rsidRPr="0070574C">
              <w:rPr>
                <w:rFonts w:eastAsia="Times New Roman"/>
                <w:b/>
                <w:bCs/>
                <w:color w:val="FFFFFF"/>
              </w:rPr>
              <w:t>Nivel de riesgo inherente</w:t>
            </w:r>
          </w:p>
        </w:tc>
        <w:tc>
          <w:tcPr>
            <w:tcW w:w="3623" w:type="dxa"/>
            <w:tcBorders>
              <w:top w:val="single" w:sz="4" w:space="0" w:color="auto"/>
              <w:left w:val="nil"/>
              <w:bottom w:val="single" w:sz="4" w:space="0" w:color="auto"/>
              <w:right w:val="single" w:sz="4" w:space="0" w:color="auto"/>
            </w:tcBorders>
            <w:shd w:val="clear" w:color="000000" w:fill="002060"/>
            <w:vAlign w:val="center"/>
            <w:hideMark/>
          </w:tcPr>
          <w:p w14:paraId="196759FA" w14:textId="77777777" w:rsidR="00451E0B" w:rsidRPr="0070574C" w:rsidRDefault="00451E0B" w:rsidP="009D09DC">
            <w:pPr>
              <w:spacing w:after="0" w:line="240" w:lineRule="auto"/>
              <w:ind w:left="0" w:right="0" w:firstLine="0"/>
              <w:jc w:val="center"/>
              <w:rPr>
                <w:rFonts w:eastAsia="Times New Roman"/>
                <w:b/>
                <w:bCs/>
                <w:color w:val="FFFFFF"/>
              </w:rPr>
            </w:pPr>
            <w:r w:rsidRPr="0070574C">
              <w:rPr>
                <w:rFonts w:eastAsia="Times New Roman"/>
                <w:b/>
                <w:bCs/>
                <w:color w:val="FFFFFF"/>
              </w:rPr>
              <w:t>Justificación (Probabilidad e Impacto)</w:t>
            </w:r>
          </w:p>
        </w:tc>
      </w:tr>
      <w:tr w:rsidR="00451E0B" w:rsidRPr="0070574C" w14:paraId="5FD3EBDE" w14:textId="77777777" w:rsidTr="00275C89">
        <w:trPr>
          <w:trHeight w:val="533"/>
          <w:jc w:val="center"/>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13C93F66" w14:textId="77777777" w:rsidR="00451E0B" w:rsidRPr="0070574C" w:rsidRDefault="00451E0B" w:rsidP="009D09DC">
            <w:pPr>
              <w:spacing w:after="0" w:line="240" w:lineRule="auto"/>
              <w:ind w:left="0" w:right="0" w:firstLine="0"/>
              <w:jc w:val="left"/>
              <w:rPr>
                <w:rFonts w:eastAsia="Times New Roman"/>
                <w:b/>
                <w:bCs/>
              </w:rPr>
            </w:pPr>
            <w:r w:rsidRPr="0070574C">
              <w:rPr>
                <w:rFonts w:eastAsia="Times New Roman"/>
                <w:b/>
                <w:bCs/>
              </w:rPr>
              <w:t>Carencia de insumos</w:t>
            </w:r>
          </w:p>
        </w:tc>
        <w:tc>
          <w:tcPr>
            <w:tcW w:w="1473" w:type="dxa"/>
            <w:tcBorders>
              <w:top w:val="nil"/>
              <w:left w:val="nil"/>
              <w:bottom w:val="single" w:sz="4" w:space="0" w:color="auto"/>
              <w:right w:val="single" w:sz="4" w:space="0" w:color="auto"/>
            </w:tcBorders>
            <w:shd w:val="clear" w:color="auto" w:fill="auto"/>
            <w:vAlign w:val="center"/>
            <w:hideMark/>
          </w:tcPr>
          <w:p w14:paraId="2A91DB90" w14:textId="77777777" w:rsidR="00451E0B" w:rsidRPr="0070574C" w:rsidRDefault="00451E0B" w:rsidP="009D09DC">
            <w:pPr>
              <w:spacing w:after="0" w:line="240" w:lineRule="auto"/>
              <w:ind w:left="0" w:right="0" w:firstLine="0"/>
              <w:jc w:val="center"/>
              <w:rPr>
                <w:rFonts w:eastAsia="Times New Roman"/>
              </w:rPr>
            </w:pPr>
            <w:r w:rsidRPr="0070574C">
              <w:rPr>
                <w:rFonts w:eastAsia="Times New Roman"/>
              </w:rPr>
              <w:t>Probable</w:t>
            </w:r>
            <w:r w:rsidRPr="0070574C">
              <w:rPr>
                <w:rFonts w:eastAsia="Times New Roman"/>
              </w:rPr>
              <w:br/>
              <w:t>(50)</w:t>
            </w:r>
          </w:p>
        </w:tc>
        <w:tc>
          <w:tcPr>
            <w:tcW w:w="984" w:type="dxa"/>
            <w:tcBorders>
              <w:top w:val="nil"/>
              <w:left w:val="nil"/>
              <w:bottom w:val="single" w:sz="4" w:space="0" w:color="auto"/>
              <w:right w:val="single" w:sz="4" w:space="0" w:color="auto"/>
            </w:tcBorders>
            <w:shd w:val="clear" w:color="auto" w:fill="auto"/>
            <w:vAlign w:val="center"/>
            <w:hideMark/>
          </w:tcPr>
          <w:p w14:paraId="38A0DCEF" w14:textId="77777777" w:rsidR="00451E0B" w:rsidRPr="0070574C" w:rsidRDefault="00451E0B" w:rsidP="009D09DC">
            <w:pPr>
              <w:spacing w:after="0" w:line="240" w:lineRule="auto"/>
              <w:ind w:left="0" w:right="0" w:firstLine="0"/>
              <w:jc w:val="center"/>
              <w:rPr>
                <w:rFonts w:eastAsia="Times New Roman"/>
              </w:rPr>
            </w:pPr>
            <w:r w:rsidRPr="0070574C">
              <w:rPr>
                <w:rFonts w:eastAsia="Times New Roman"/>
              </w:rPr>
              <w:t>Alto</w:t>
            </w:r>
            <w:r w:rsidRPr="0070574C">
              <w:rPr>
                <w:rFonts w:eastAsia="Times New Roman"/>
              </w:rPr>
              <w:br/>
              <w:t>(4)</w:t>
            </w:r>
          </w:p>
        </w:tc>
        <w:tc>
          <w:tcPr>
            <w:tcW w:w="824" w:type="dxa"/>
            <w:tcBorders>
              <w:top w:val="nil"/>
              <w:left w:val="nil"/>
              <w:bottom w:val="single" w:sz="4" w:space="0" w:color="auto"/>
              <w:right w:val="single" w:sz="4" w:space="0" w:color="auto"/>
            </w:tcBorders>
            <w:shd w:val="clear" w:color="000000" w:fill="FFFF00"/>
            <w:vAlign w:val="center"/>
            <w:hideMark/>
          </w:tcPr>
          <w:p w14:paraId="0E488A74" w14:textId="77777777" w:rsidR="00451E0B" w:rsidRPr="0070574C" w:rsidRDefault="00451E0B" w:rsidP="009D09DC">
            <w:pPr>
              <w:spacing w:after="0" w:line="240" w:lineRule="auto"/>
              <w:ind w:left="0" w:right="0" w:firstLine="0"/>
              <w:jc w:val="center"/>
              <w:rPr>
                <w:rFonts w:eastAsia="Times New Roman"/>
                <w:b/>
                <w:bCs/>
              </w:rPr>
            </w:pPr>
            <w:r w:rsidRPr="0070574C">
              <w:rPr>
                <w:rFonts w:eastAsia="Times New Roman"/>
                <w:b/>
                <w:bCs/>
              </w:rPr>
              <w:t>200</w:t>
            </w:r>
          </w:p>
        </w:tc>
        <w:tc>
          <w:tcPr>
            <w:tcW w:w="837" w:type="dxa"/>
            <w:tcBorders>
              <w:top w:val="nil"/>
              <w:left w:val="nil"/>
              <w:bottom w:val="single" w:sz="4" w:space="0" w:color="auto"/>
              <w:right w:val="single" w:sz="4" w:space="0" w:color="auto"/>
            </w:tcBorders>
            <w:shd w:val="clear" w:color="000000" w:fill="FFFF00"/>
            <w:vAlign w:val="center"/>
            <w:hideMark/>
          </w:tcPr>
          <w:p w14:paraId="0FF43E83" w14:textId="77777777" w:rsidR="00451E0B" w:rsidRPr="0070574C" w:rsidRDefault="00451E0B" w:rsidP="009D09DC">
            <w:pPr>
              <w:spacing w:after="0" w:line="240" w:lineRule="auto"/>
              <w:ind w:left="0" w:right="0" w:firstLine="0"/>
              <w:jc w:val="center"/>
              <w:rPr>
                <w:rFonts w:eastAsia="Times New Roman"/>
                <w:b/>
                <w:bCs/>
              </w:rPr>
            </w:pPr>
            <w:r w:rsidRPr="0070574C">
              <w:rPr>
                <w:rFonts w:eastAsia="Times New Roman"/>
                <w:b/>
                <w:bCs/>
              </w:rPr>
              <w:t>Medio</w:t>
            </w:r>
          </w:p>
        </w:tc>
        <w:tc>
          <w:tcPr>
            <w:tcW w:w="3623" w:type="dxa"/>
            <w:tcBorders>
              <w:top w:val="nil"/>
              <w:left w:val="nil"/>
              <w:bottom w:val="single" w:sz="4" w:space="0" w:color="auto"/>
              <w:right w:val="single" w:sz="4" w:space="0" w:color="auto"/>
            </w:tcBorders>
            <w:shd w:val="clear" w:color="auto" w:fill="auto"/>
            <w:vAlign w:val="center"/>
            <w:hideMark/>
          </w:tcPr>
          <w:p w14:paraId="56F82F2C" w14:textId="77777777" w:rsidR="00275C89" w:rsidRDefault="00451E0B" w:rsidP="009D09DC">
            <w:pPr>
              <w:spacing w:after="0" w:line="240" w:lineRule="auto"/>
              <w:ind w:left="0" w:right="0" w:firstLine="0"/>
              <w:rPr>
                <w:rFonts w:eastAsia="Times New Roman"/>
                <w:color w:val="auto"/>
              </w:rPr>
            </w:pPr>
            <w:r w:rsidRPr="0070574C">
              <w:rPr>
                <w:rFonts w:eastAsia="Times New Roman"/>
                <w:b/>
                <w:bCs/>
                <w:color w:val="auto"/>
              </w:rPr>
              <w:t xml:space="preserve">PO: </w:t>
            </w:r>
            <w:r w:rsidRPr="0070574C">
              <w:rPr>
                <w:rFonts w:eastAsia="Times New Roman"/>
                <w:color w:val="auto"/>
              </w:rPr>
              <w:t>Este escenario es probable pues se ha materializado en algunos casos o se han presentado situaciones de amenaza de su materialización; por ejemplo, con carencia de insumos en Ciencias Forenses. Se han presentado casos de falla de equipos de soporte como los aires acondicionados o UPS para centros de datos que han generado incidentes tecnológicos y como consecuencia</w:t>
            </w:r>
            <w:r w:rsidR="009F545E">
              <w:rPr>
                <w:rFonts w:eastAsia="Times New Roman"/>
                <w:color w:val="auto"/>
              </w:rPr>
              <w:t>,</w:t>
            </w:r>
            <w:r w:rsidRPr="0070574C">
              <w:rPr>
                <w:rFonts w:eastAsia="Times New Roman"/>
                <w:color w:val="auto"/>
              </w:rPr>
              <w:t xml:space="preserve"> la interrupción de servicios.</w:t>
            </w:r>
          </w:p>
          <w:p w14:paraId="280EEE2D" w14:textId="0791B13B" w:rsidR="00451E0B" w:rsidRPr="0070574C" w:rsidRDefault="00451E0B" w:rsidP="009D09DC">
            <w:pPr>
              <w:spacing w:after="0" w:line="240" w:lineRule="auto"/>
              <w:ind w:left="0" w:right="0" w:firstLine="0"/>
              <w:rPr>
                <w:rFonts w:eastAsia="Times New Roman"/>
                <w:color w:val="auto"/>
              </w:rPr>
            </w:pPr>
            <w:r w:rsidRPr="0070574C">
              <w:rPr>
                <w:rFonts w:eastAsia="Times New Roman"/>
                <w:color w:val="auto"/>
              </w:rPr>
              <w:br/>
            </w:r>
            <w:r w:rsidRPr="0070574C">
              <w:rPr>
                <w:rFonts w:eastAsia="Times New Roman"/>
                <w:b/>
                <w:bCs/>
                <w:color w:val="auto"/>
              </w:rPr>
              <w:t>I:</w:t>
            </w:r>
            <w:r w:rsidRPr="0070574C">
              <w:rPr>
                <w:rFonts w:eastAsia="Times New Roman"/>
                <w:color w:val="auto"/>
              </w:rPr>
              <w:t xml:space="preserve"> El impacto es categorizado como </w:t>
            </w:r>
            <w:r w:rsidRPr="0070574C">
              <w:rPr>
                <w:rFonts w:eastAsia="Times New Roman"/>
                <w:color w:val="auto"/>
              </w:rPr>
              <w:lastRenderedPageBreak/>
              <w:t xml:space="preserve">alto debido a que los factores de riesgo agrupados en este escenario afectan a procesos y servicios críticos del Poder Judicial, donde la dependencia de los insumos o equipos de soporte es alta. </w:t>
            </w:r>
          </w:p>
        </w:tc>
      </w:tr>
    </w:tbl>
    <w:p w14:paraId="2AB3BF99" w14:textId="4CCA1404" w:rsidR="00451E0B" w:rsidRPr="0070574C" w:rsidRDefault="00451E0B" w:rsidP="009D09DC">
      <w:pPr>
        <w:spacing w:after="0" w:line="240" w:lineRule="auto"/>
        <w:ind w:left="-5" w:right="94"/>
      </w:pPr>
    </w:p>
    <w:p w14:paraId="578FEE53" w14:textId="77777777" w:rsidR="00B019BE" w:rsidRPr="0070574C" w:rsidRDefault="00B019BE" w:rsidP="009D09DC">
      <w:pPr>
        <w:spacing w:after="0" w:line="240" w:lineRule="auto"/>
        <w:ind w:left="-5" w:right="94"/>
      </w:pPr>
      <w:r w:rsidRPr="0070574C">
        <w:rPr>
          <w:b/>
          <w:bCs/>
        </w:rPr>
        <w:t>Fuente:</w:t>
      </w:r>
      <w:r w:rsidRPr="0070574C">
        <w:t xml:space="preserve"> Elaboración propia a partir de metodología SEVRI-PJ, según datos recabados de análisis de riesgos para procesos y servicios críticos institucionales. </w:t>
      </w:r>
    </w:p>
    <w:p w14:paraId="026A0971" w14:textId="77777777" w:rsidR="00B019BE" w:rsidRPr="0070574C" w:rsidRDefault="00B019BE" w:rsidP="009D09DC">
      <w:pPr>
        <w:spacing w:after="0" w:line="240" w:lineRule="auto"/>
        <w:ind w:left="-5" w:right="94"/>
        <w:rPr>
          <w:b/>
          <w:bCs/>
          <w:highlight w:val="yellow"/>
        </w:rPr>
      </w:pPr>
    </w:p>
    <w:p w14:paraId="429B9C03" w14:textId="395B22DD" w:rsidR="00275C89" w:rsidRDefault="009F545E" w:rsidP="000E1EFF">
      <w:pPr>
        <w:spacing w:after="0" w:line="240" w:lineRule="auto"/>
        <w:ind w:left="-5" w:right="94"/>
      </w:pPr>
      <w:r>
        <w:t>Finalmente, a</w:t>
      </w:r>
      <w:r w:rsidRPr="009F545E">
        <w:t xml:space="preserve"> modo de resumen, </w:t>
      </w:r>
      <w:r>
        <w:t>la tabla 12 muestra el mapa de calor del SEVRI para los riesgos inherentes valorados en las tablas anteriores</w:t>
      </w:r>
      <w:r w:rsidR="005B5723">
        <w:t xml:space="preserve">. Tal como se puede observar en dicha tabla, conforme con el apetito de riesgo institucional, los cinco escenarios de riesgos de disrupción identificados se catalogan en las zonas roja y amarilla; es decir, </w:t>
      </w:r>
      <w:r w:rsidR="005B5723" w:rsidRPr="00275C89">
        <w:rPr>
          <w:b/>
          <w:bCs/>
        </w:rPr>
        <w:t xml:space="preserve">riesgo </w:t>
      </w:r>
      <w:r w:rsidR="009677B9" w:rsidRPr="00275C89">
        <w:rPr>
          <w:b/>
          <w:bCs/>
        </w:rPr>
        <w:t>Alto y Medio</w:t>
      </w:r>
      <w:r w:rsidR="009677B9">
        <w:t xml:space="preserve">; lo cual implica que a nivel institucional se deben establecer controles para evitar, transferir, prevenir o mitigar el impacto de estos riesgos. </w:t>
      </w:r>
    </w:p>
    <w:p w14:paraId="785556B1" w14:textId="77777777" w:rsidR="000E1EFF" w:rsidRDefault="000E1EFF" w:rsidP="000E1EFF">
      <w:pPr>
        <w:spacing w:after="0" w:line="240" w:lineRule="auto"/>
        <w:ind w:left="-5" w:right="94"/>
        <w:rPr>
          <w:b/>
        </w:rPr>
      </w:pPr>
    </w:p>
    <w:p w14:paraId="15CAEBB1" w14:textId="2BCBC043" w:rsidR="00B019BE" w:rsidRPr="0070574C" w:rsidRDefault="00B019BE" w:rsidP="009D09DC">
      <w:pPr>
        <w:pStyle w:val="Ttulo2"/>
        <w:spacing w:after="0" w:line="240" w:lineRule="auto"/>
        <w:jc w:val="both"/>
        <w:rPr>
          <w:rFonts w:eastAsia="Times New Roman"/>
          <w:sz w:val="22"/>
        </w:rPr>
      </w:pPr>
      <w:bookmarkStart w:id="27" w:name="_Toc155778538"/>
      <w:r w:rsidRPr="00900DA4">
        <w:rPr>
          <w:sz w:val="22"/>
        </w:rPr>
        <w:t xml:space="preserve">Tabla </w:t>
      </w:r>
      <w:r w:rsidR="00900DA4" w:rsidRPr="00900DA4">
        <w:rPr>
          <w:sz w:val="22"/>
        </w:rPr>
        <w:t>12</w:t>
      </w:r>
      <w:r w:rsidRPr="00900DA4">
        <w:rPr>
          <w:sz w:val="22"/>
        </w:rPr>
        <w:t>.</w:t>
      </w:r>
      <w:r w:rsidRPr="0070574C">
        <w:rPr>
          <w:sz w:val="22"/>
        </w:rPr>
        <w:t xml:space="preserve"> Mapa de calor </w:t>
      </w:r>
      <w:r w:rsidR="00A6159B" w:rsidRPr="0070574C">
        <w:rPr>
          <w:sz w:val="22"/>
        </w:rPr>
        <w:t xml:space="preserve">de SEVRI </w:t>
      </w:r>
      <w:r w:rsidRPr="0070574C">
        <w:rPr>
          <w:sz w:val="22"/>
        </w:rPr>
        <w:t xml:space="preserve">para los escenarios de riesgo </w:t>
      </w:r>
      <w:r w:rsidR="00A6159B" w:rsidRPr="0070574C">
        <w:rPr>
          <w:sz w:val="22"/>
        </w:rPr>
        <w:t xml:space="preserve">global </w:t>
      </w:r>
      <w:r w:rsidRPr="0070574C">
        <w:rPr>
          <w:sz w:val="22"/>
        </w:rPr>
        <w:t>de disrupción a la continuidad del servicio en el Poder Judicial</w:t>
      </w:r>
      <w:r w:rsidRPr="0070574C">
        <w:rPr>
          <w:rFonts w:eastAsia="Times New Roman"/>
          <w:sz w:val="22"/>
        </w:rPr>
        <w:t>.</w:t>
      </w:r>
      <w:bookmarkEnd w:id="27"/>
    </w:p>
    <w:p w14:paraId="32CBDA49" w14:textId="1567416F" w:rsidR="000926AF" w:rsidRPr="0070574C" w:rsidRDefault="000926AF" w:rsidP="009D09DC">
      <w:pPr>
        <w:spacing w:after="0" w:line="240" w:lineRule="auto"/>
        <w:ind w:left="-5" w:right="94"/>
      </w:pPr>
    </w:p>
    <w:p w14:paraId="3545E949" w14:textId="51DBF066" w:rsidR="00A6159B" w:rsidRPr="0070574C" w:rsidRDefault="00A6159B" w:rsidP="00275C89">
      <w:pPr>
        <w:spacing w:after="0" w:line="240" w:lineRule="auto"/>
        <w:ind w:left="-5" w:right="94"/>
        <w:jc w:val="center"/>
      </w:pPr>
      <w:r w:rsidRPr="0070574C">
        <w:rPr>
          <w:noProof/>
        </w:rPr>
        <w:drawing>
          <wp:inline distT="0" distB="0" distL="0" distR="0" wp14:anchorId="20407A9A" wp14:editId="7EC7114A">
            <wp:extent cx="5907819" cy="3426270"/>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180" cy="3465916"/>
                    </a:xfrm>
                    <a:prstGeom prst="rect">
                      <a:avLst/>
                    </a:prstGeom>
                    <a:noFill/>
                    <a:ln>
                      <a:noFill/>
                    </a:ln>
                  </pic:spPr>
                </pic:pic>
              </a:graphicData>
            </a:graphic>
          </wp:inline>
        </w:drawing>
      </w:r>
    </w:p>
    <w:p w14:paraId="7E63EF0C" w14:textId="77777777" w:rsidR="00275C89" w:rsidRDefault="00275C89" w:rsidP="009D09DC">
      <w:pPr>
        <w:spacing w:after="0" w:line="240" w:lineRule="auto"/>
        <w:ind w:left="-5" w:right="94"/>
        <w:rPr>
          <w:b/>
          <w:bCs/>
        </w:rPr>
      </w:pPr>
    </w:p>
    <w:p w14:paraId="7957926B" w14:textId="00956F26" w:rsidR="00A41A3B" w:rsidRDefault="00B019BE" w:rsidP="000E1EFF">
      <w:pPr>
        <w:spacing w:after="0" w:line="240" w:lineRule="auto"/>
        <w:ind w:left="-5" w:right="94"/>
        <w:rPr>
          <w:sz w:val="32"/>
          <w:szCs w:val="32"/>
        </w:rPr>
      </w:pPr>
      <w:r w:rsidRPr="0070574C">
        <w:rPr>
          <w:b/>
          <w:bCs/>
        </w:rPr>
        <w:t>Fuente:</w:t>
      </w:r>
      <w:r w:rsidRPr="0070574C">
        <w:t xml:space="preserve"> Elaboración propia a partir de metodología SEVRI-PJ, según datos recabados de análisis de riesgos para procesos y servicios críticos institucionales. </w:t>
      </w:r>
    </w:p>
    <w:p w14:paraId="10B6791F" w14:textId="391A0805" w:rsidR="00FA005E" w:rsidRPr="00900DA4" w:rsidRDefault="00FA005E" w:rsidP="009D09DC">
      <w:pPr>
        <w:pStyle w:val="Ttulo1"/>
        <w:spacing w:after="0" w:line="240" w:lineRule="auto"/>
        <w:rPr>
          <w:b/>
          <w:bCs/>
          <w:color w:val="002060"/>
          <w:sz w:val="32"/>
          <w:szCs w:val="32"/>
        </w:rPr>
      </w:pPr>
      <w:bookmarkStart w:id="28" w:name="_Toc155778539"/>
      <w:r w:rsidRPr="00900DA4">
        <w:rPr>
          <w:b/>
          <w:bCs/>
          <w:color w:val="002060"/>
          <w:sz w:val="32"/>
          <w:szCs w:val="32"/>
        </w:rPr>
        <w:lastRenderedPageBreak/>
        <w:t>8.</w:t>
      </w:r>
      <w:r w:rsidRPr="00900DA4">
        <w:rPr>
          <w:b/>
          <w:bCs/>
          <w:color w:val="002060"/>
          <w:sz w:val="32"/>
          <w:szCs w:val="32"/>
        </w:rPr>
        <w:tab/>
        <w:t>Análisis de riesgos y gestión de la continuidad</w:t>
      </w:r>
      <w:bookmarkEnd w:id="28"/>
    </w:p>
    <w:p w14:paraId="1F9EEEAA" w14:textId="08CAA801" w:rsidR="00FA005E" w:rsidRPr="0070574C" w:rsidRDefault="00FA005E" w:rsidP="009D09DC">
      <w:pPr>
        <w:spacing w:after="0" w:line="240" w:lineRule="auto"/>
        <w:ind w:left="-5" w:right="94"/>
      </w:pPr>
    </w:p>
    <w:p w14:paraId="003F4338" w14:textId="77777777" w:rsidR="00552902" w:rsidRDefault="00963A67" w:rsidP="009D09DC">
      <w:pPr>
        <w:spacing w:after="0" w:line="240" w:lineRule="auto"/>
        <w:ind w:left="-5" w:right="94"/>
      </w:pPr>
      <w:r>
        <w:t xml:space="preserve">En la gestión de la continuidad existen etapas clave: dos </w:t>
      </w:r>
      <w:r w:rsidR="00552902">
        <w:t xml:space="preserve">de las </w:t>
      </w:r>
      <w:r>
        <w:t xml:space="preserve">primeras (en orden de construcción) son la identificación de los </w:t>
      </w:r>
      <w:r w:rsidR="00552902">
        <w:t>procesos y servicios críticos que se realiza en el Análisis de Impacto al Servicio y posteriormente, l</w:t>
      </w:r>
      <w:r w:rsidRPr="00963A67">
        <w:t xml:space="preserve">a identificación de riesgos </w:t>
      </w:r>
      <w:r w:rsidR="00552902">
        <w:t>de disrupción asociada a los procesos y servicios críticos</w:t>
      </w:r>
      <w:r w:rsidRPr="0070574C">
        <w:t xml:space="preserve">. </w:t>
      </w:r>
    </w:p>
    <w:p w14:paraId="77F1CDFC" w14:textId="77777777" w:rsidR="00552902" w:rsidRDefault="00552902" w:rsidP="009D09DC">
      <w:pPr>
        <w:spacing w:after="0" w:line="240" w:lineRule="auto"/>
        <w:ind w:left="-5" w:right="94"/>
      </w:pPr>
    </w:p>
    <w:p w14:paraId="3184B630" w14:textId="13A3D131" w:rsidR="00963A67" w:rsidRDefault="00552902" w:rsidP="009D09DC">
      <w:pPr>
        <w:spacing w:after="0" w:line="240" w:lineRule="auto"/>
        <w:ind w:left="-5" w:right="94"/>
      </w:pPr>
      <w:r>
        <w:t xml:space="preserve">En el análisis de riesgos </w:t>
      </w:r>
      <w:r w:rsidR="00963A67" w:rsidRPr="0070574C">
        <w:t>se identific</w:t>
      </w:r>
      <w:r w:rsidR="00963A67">
        <w:t>a</w:t>
      </w:r>
      <w:r w:rsidR="00963A67" w:rsidRPr="0070574C">
        <w:t xml:space="preserve"> y se document</w:t>
      </w:r>
      <w:r w:rsidR="00963A67">
        <w:t>an</w:t>
      </w:r>
      <w:r w:rsidR="00963A67" w:rsidRPr="0070574C">
        <w:t xml:space="preserve"> aquellos eventos o amenazas que podrían impactar la continuidad del servicio de los procesos críticos del Poder Judicial y así, provocar una pérdida potencial para la institución. </w:t>
      </w:r>
      <w:r>
        <w:t xml:space="preserve">Su importancia </w:t>
      </w:r>
      <w:r w:rsidR="00963A67" w:rsidRPr="0070574C">
        <w:t xml:space="preserve">reside en el hecho de que la </w:t>
      </w:r>
      <w:r w:rsidR="00963A67">
        <w:t>i</w:t>
      </w:r>
      <w:r w:rsidR="00963A67" w:rsidRPr="0070574C">
        <w:t>nstitución s</w:t>
      </w:r>
      <w:r w:rsidR="00963A67">
        <w:t>o</w:t>
      </w:r>
      <w:r w:rsidR="00963A67" w:rsidRPr="0070574C">
        <w:t xml:space="preserve">lo podrá controlar eficazmente los eventos disruptivos que conoce y ha evaluado consistentemente.  </w:t>
      </w:r>
    </w:p>
    <w:p w14:paraId="4BF7BC0F" w14:textId="79F65A7F" w:rsidR="00963A67" w:rsidRDefault="00963A67" w:rsidP="009D09DC">
      <w:pPr>
        <w:spacing w:after="0" w:line="240" w:lineRule="auto"/>
        <w:ind w:left="-5" w:right="94"/>
      </w:pPr>
    </w:p>
    <w:p w14:paraId="13700B41" w14:textId="77777777" w:rsidR="009930C7" w:rsidRDefault="00200706" w:rsidP="009D09DC">
      <w:pPr>
        <w:spacing w:after="0" w:line="240" w:lineRule="auto"/>
        <w:ind w:left="-5" w:right="94"/>
      </w:pPr>
      <w:r>
        <w:t xml:space="preserve">Según el apetito al riesgo, la institución </w:t>
      </w:r>
      <w:r w:rsidR="00521FFF" w:rsidRPr="0070574C">
        <w:t>podría acepta</w:t>
      </w:r>
      <w:r w:rsidR="00521FFF">
        <w:t>r</w:t>
      </w:r>
      <w:r w:rsidR="00521FFF" w:rsidRPr="0070574C">
        <w:t xml:space="preserve"> aquellos riesgos ubicados en los niveles “Muy bajo” y “Bajo”, sin necesidad de implementar controles adicionales, aunque se deben monitorear igualmente ante los cambios en el contexto externo e interno que puedan requerir la revisión del análisis realizado.</w:t>
      </w:r>
    </w:p>
    <w:p w14:paraId="757FA642" w14:textId="77777777" w:rsidR="009930C7" w:rsidRDefault="009930C7" w:rsidP="009D09DC">
      <w:pPr>
        <w:spacing w:after="0" w:line="240" w:lineRule="auto"/>
        <w:ind w:left="-5" w:right="94"/>
      </w:pPr>
    </w:p>
    <w:p w14:paraId="1C881710" w14:textId="6883C6EE" w:rsidR="00521FFF" w:rsidRPr="0070574C" w:rsidRDefault="009930C7" w:rsidP="009D09DC">
      <w:pPr>
        <w:spacing w:after="0" w:line="240" w:lineRule="auto"/>
        <w:ind w:left="-5" w:right="94"/>
      </w:pPr>
      <w:r>
        <w:t xml:space="preserve">No obstante, </w:t>
      </w:r>
      <w:r w:rsidRPr="0070574C">
        <w:t xml:space="preserve">los riesgos que superan el criterio de aceptación de la </w:t>
      </w:r>
      <w:r>
        <w:t>i</w:t>
      </w:r>
      <w:r w:rsidRPr="0070574C">
        <w:t>nstitución se deben administrar</w:t>
      </w:r>
      <w:r>
        <w:t xml:space="preserve">; por lo que el análisis aplicado es un insumo vital para </w:t>
      </w:r>
      <w:r w:rsidR="00521FFF" w:rsidRPr="0070574C">
        <w:t>la toma de decisiones</w:t>
      </w:r>
      <w:r>
        <w:t>; ya que c</w:t>
      </w:r>
      <w:r w:rsidR="00521FFF" w:rsidRPr="0070574C">
        <w:t>on este conocimiento se pueden establecer los planes y estrategias para salvaguardar la vida de las personas y mitigar los impactos de un evento disruptivo en los procesos</w:t>
      </w:r>
      <w:r w:rsidR="00521FFF">
        <w:t xml:space="preserve"> o servicios</w:t>
      </w:r>
      <w:r w:rsidR="00521FFF" w:rsidRPr="0070574C">
        <w:t xml:space="preserve"> críticos del Poder Judicial. </w:t>
      </w:r>
    </w:p>
    <w:p w14:paraId="1A209981" w14:textId="22739392" w:rsidR="00521FFF" w:rsidRDefault="00521FFF" w:rsidP="009D09DC">
      <w:pPr>
        <w:spacing w:after="0" w:line="240" w:lineRule="auto"/>
        <w:ind w:left="-5" w:right="94"/>
      </w:pPr>
    </w:p>
    <w:p w14:paraId="0A56BABE" w14:textId="77777777" w:rsidR="00DE07E8" w:rsidRPr="003E4529" w:rsidRDefault="00DE07E8" w:rsidP="009D09DC">
      <w:pPr>
        <w:spacing w:after="0" w:line="240" w:lineRule="auto"/>
        <w:ind w:left="0" w:firstLine="0"/>
      </w:pPr>
      <w:r w:rsidRPr="003E4529">
        <w:t>La Guía de Implementación de la norma ISO 22301:2019 indica que:</w:t>
      </w:r>
    </w:p>
    <w:p w14:paraId="3C46C445" w14:textId="77777777" w:rsidR="00DE07E8" w:rsidRPr="003E4529" w:rsidRDefault="00DE07E8" w:rsidP="009D09DC">
      <w:pPr>
        <w:spacing w:after="0" w:line="240" w:lineRule="auto"/>
        <w:ind w:left="360"/>
      </w:pPr>
    </w:p>
    <w:p w14:paraId="01E45C38" w14:textId="7C947673" w:rsidR="00DE07E8" w:rsidRPr="003E4529" w:rsidRDefault="00DE07E8" w:rsidP="009D09DC">
      <w:pPr>
        <w:spacing w:after="0" w:line="240" w:lineRule="auto"/>
        <w:ind w:left="567"/>
      </w:pPr>
      <w:r w:rsidRPr="003E4529">
        <w:rPr>
          <w:i/>
          <w:iCs/>
        </w:rPr>
        <w:t>“El propósito de la norma no es necesariamente lograr la mitigación total del impacto de la interrupción, sino de ayudar a una organización a comprender la magnitud y el tipo de impacto que está dispuesta a aceptar después de una</w:t>
      </w:r>
      <w:r w:rsidRPr="0041678F">
        <w:rPr>
          <w:i/>
          <w:iCs/>
        </w:rPr>
        <w:t xml:space="preserve"> interrupción</w:t>
      </w:r>
      <w:r w:rsidR="008A2707">
        <w:rPr>
          <w:i/>
          <w:iCs/>
        </w:rPr>
        <w:t xml:space="preserve"> </w:t>
      </w:r>
      <w:r w:rsidRPr="00DE07E8">
        <w:rPr>
          <w:i/>
          <w:iCs/>
        </w:rPr>
        <w:t>para lo cual la organización desarrolla un sistema de continuidad del negocio dimensionado correctamente para sus necesidades”.</w:t>
      </w:r>
    </w:p>
    <w:p w14:paraId="30B278F5" w14:textId="77777777" w:rsidR="00DE07E8" w:rsidRPr="003E4529" w:rsidRDefault="00DE07E8" w:rsidP="009D09DC">
      <w:pPr>
        <w:spacing w:after="0" w:line="240" w:lineRule="auto"/>
        <w:ind w:left="360"/>
      </w:pPr>
    </w:p>
    <w:p w14:paraId="49D713B7" w14:textId="77777777" w:rsidR="00DE07E8" w:rsidRDefault="00DE07E8" w:rsidP="009D09DC">
      <w:pPr>
        <w:spacing w:after="0" w:line="240" w:lineRule="auto"/>
        <w:ind w:left="0" w:firstLine="0"/>
      </w:pPr>
      <w:r w:rsidRPr="003E4529">
        <w:t>Un Sistema de Gestión de Continuidad del Servicio (SGCS) es una agrupación de métodos, procedimientos y normas interrelacionados para salvaguardar la continuidad de los procesos y servicios críticos o esenciales. La norma orienta a que el establecimiento de</w:t>
      </w:r>
      <w:r>
        <w:t>l</w:t>
      </w:r>
      <w:r w:rsidRPr="003E4529">
        <w:t xml:space="preserve"> </w:t>
      </w:r>
      <w:r>
        <w:t>s</w:t>
      </w:r>
      <w:r w:rsidRPr="003E4529">
        <w:t>istema d</w:t>
      </w:r>
      <w:r>
        <w:t>a</w:t>
      </w:r>
      <w:r w:rsidRPr="003E4529">
        <w:t xml:space="preserve"> la capacidad a la organización para controlar, evaluar y continuar mejorando la continuidad del servicio.</w:t>
      </w:r>
    </w:p>
    <w:p w14:paraId="5B1C339D" w14:textId="77777777" w:rsidR="00DE07E8" w:rsidRDefault="00DE07E8" w:rsidP="009D09DC">
      <w:pPr>
        <w:spacing w:after="0" w:line="240" w:lineRule="auto"/>
        <w:ind w:left="360"/>
      </w:pPr>
    </w:p>
    <w:p w14:paraId="63F4E998" w14:textId="43762AE6" w:rsidR="00DE07E8" w:rsidRDefault="00DE07E8" w:rsidP="009D09DC">
      <w:pPr>
        <w:spacing w:after="0" w:line="240" w:lineRule="auto"/>
        <w:ind w:left="0" w:firstLine="0"/>
        <w:rPr>
          <w:lang w:val="es-ES"/>
        </w:rPr>
      </w:pPr>
      <w:r w:rsidRPr="0041678F">
        <w:t xml:space="preserve">Como parte del sistema, se establece la </w:t>
      </w:r>
      <w:r w:rsidRPr="0041678F">
        <w:rPr>
          <w:lang w:val="es-ES"/>
        </w:rPr>
        <w:t xml:space="preserve">Gestión de la Continuidad del Servicio (GCS), que es </w:t>
      </w:r>
      <w:r w:rsidRPr="0041678F">
        <w:rPr>
          <w:u w:val="single"/>
          <w:lang w:val="es-ES"/>
        </w:rPr>
        <w:t>el proceso de implementar y mantener la continuidad del servicio</w:t>
      </w:r>
      <w:r w:rsidRPr="0041678F">
        <w:rPr>
          <w:lang w:val="es-ES"/>
        </w:rPr>
        <w:t xml:space="preserve">; con el fin de </w:t>
      </w:r>
      <w:r w:rsidRPr="003D5E53">
        <w:rPr>
          <w:u w:val="single"/>
          <w:lang w:val="es-ES"/>
        </w:rPr>
        <w:t>preparar a la organización</w:t>
      </w:r>
      <w:r w:rsidRPr="0041678F">
        <w:rPr>
          <w:b/>
          <w:bCs/>
          <w:lang w:val="es-ES"/>
        </w:rPr>
        <w:t xml:space="preserve"> </w:t>
      </w:r>
      <w:r w:rsidRPr="0041678F">
        <w:rPr>
          <w:lang w:val="es-ES"/>
        </w:rPr>
        <w:t>para tratar incidentes disruptivos que, en caso contrario, podrían impedir el logro de sus objetivos (INTE ISO 22313-2015-SGCN Orientaciones).</w:t>
      </w:r>
    </w:p>
    <w:p w14:paraId="08CEE435" w14:textId="77777777" w:rsidR="00DE07E8" w:rsidRDefault="00DE07E8" w:rsidP="009D09DC">
      <w:pPr>
        <w:spacing w:after="0" w:line="240" w:lineRule="auto"/>
        <w:ind w:left="-5" w:right="94"/>
        <w:rPr>
          <w:highlight w:val="yellow"/>
        </w:rPr>
      </w:pPr>
    </w:p>
    <w:p w14:paraId="0DDBC731" w14:textId="0DB2F9C2" w:rsidR="00DE07E8" w:rsidRDefault="00DE07E8" w:rsidP="009D09DC">
      <w:pPr>
        <w:spacing w:after="0" w:line="240" w:lineRule="auto"/>
        <w:ind w:left="-5" w:right="94"/>
      </w:pPr>
      <w:r w:rsidRPr="00414EE9">
        <w:t xml:space="preserve">Como parte del sistema opera la administración del riesgo, que en principio no procura evitar los riesgos, pues la gestión de la continuidad parte de la base de la materialización de estos, </w:t>
      </w:r>
      <w:r w:rsidR="00171737" w:rsidRPr="00414EE9">
        <w:t xml:space="preserve">y a partir de ello, determinar </w:t>
      </w:r>
      <w:r w:rsidR="00414EE9" w:rsidRPr="00414EE9">
        <w:t>la manera de responder a un incidente disruptivo y definir cómo continuar o recuperar las actividades dentro de un plazo predeterminado, a nivel aceptable</w:t>
      </w:r>
      <w:r w:rsidRPr="00414EE9">
        <w:t>.</w:t>
      </w:r>
      <w:r>
        <w:t xml:space="preserve"> </w:t>
      </w:r>
    </w:p>
    <w:p w14:paraId="27589F16" w14:textId="77777777" w:rsidR="00DE07E8" w:rsidRDefault="00DE07E8" w:rsidP="009D09DC">
      <w:pPr>
        <w:spacing w:after="0" w:line="240" w:lineRule="auto"/>
        <w:ind w:left="0" w:firstLine="0"/>
        <w:rPr>
          <w:lang w:val="es-ES"/>
        </w:rPr>
      </w:pPr>
    </w:p>
    <w:p w14:paraId="525674A2" w14:textId="77777777" w:rsidR="008C261E" w:rsidRDefault="002B7C07" w:rsidP="009D09DC">
      <w:pPr>
        <w:spacing w:after="0" w:line="240" w:lineRule="auto"/>
        <w:ind w:left="-5" w:right="94"/>
      </w:pPr>
      <w:r>
        <w:t xml:space="preserve">El gráfico 2 muestra que ante un riesgo de disrupción inaceptable (según el apetito del riesgo institucional) </w:t>
      </w:r>
      <w:r w:rsidR="008D3048">
        <w:t>se</w:t>
      </w:r>
      <w:r>
        <w:t xml:space="preserve"> debe tener como prioridad la reducción del impacto. </w:t>
      </w:r>
      <w:r w:rsidR="0049679D">
        <w:t xml:space="preserve">En gestión de la continuidad la identificación y análisis de riesgo permite a la organización tomar medidas a través de </w:t>
      </w:r>
      <w:r w:rsidR="0049679D" w:rsidRPr="008D3048">
        <w:rPr>
          <w:b/>
          <w:bCs/>
        </w:rPr>
        <w:t>estrategias de continuidad</w:t>
      </w:r>
      <w:r w:rsidR="008D3048">
        <w:rPr>
          <w:b/>
          <w:bCs/>
        </w:rPr>
        <w:t xml:space="preserve"> del servicio</w:t>
      </w:r>
      <w:r w:rsidR="0049679D">
        <w:t xml:space="preserve"> que </w:t>
      </w:r>
      <w:r w:rsidR="008D3048">
        <w:t>ayuden a</w:t>
      </w:r>
      <w:r w:rsidR="0049679D">
        <w:t xml:space="preserve"> prevenir los riesgos y reducir sus efectos (impacto). Este es el caso de</w:t>
      </w:r>
      <w:r w:rsidR="008C261E">
        <w:t>:</w:t>
      </w:r>
      <w:r w:rsidR="0049679D">
        <w:t xml:space="preserve"> </w:t>
      </w:r>
    </w:p>
    <w:p w14:paraId="75CE32C8" w14:textId="77777777" w:rsidR="008C261E" w:rsidRDefault="008C261E" w:rsidP="009D09DC">
      <w:pPr>
        <w:spacing w:after="0" w:line="240" w:lineRule="auto"/>
        <w:ind w:left="-5" w:right="94"/>
      </w:pPr>
    </w:p>
    <w:p w14:paraId="62C2D945" w14:textId="2D62CCFF" w:rsidR="008C261E" w:rsidRDefault="001D2A64" w:rsidP="008C261E">
      <w:pPr>
        <w:pStyle w:val="Prrafodelista"/>
        <w:numPr>
          <w:ilvl w:val="0"/>
          <w:numId w:val="15"/>
        </w:numPr>
        <w:spacing w:after="0" w:line="240" w:lineRule="auto"/>
        <w:ind w:right="94"/>
      </w:pPr>
      <w:r>
        <w:t>P</w:t>
      </w:r>
      <w:r w:rsidR="0049679D">
        <w:t>lanes de capacitación y rotación del personal para reducir las dependencias de persona</w:t>
      </w:r>
      <w:r w:rsidR="008D3048">
        <w:t>l</w:t>
      </w:r>
      <w:r w:rsidR="0049679D">
        <w:t xml:space="preserve"> crítico y anticipar medidas ante la ausencia o indisponibilidad del personal titular a cargo de los procesos o servicios críticos; </w:t>
      </w:r>
    </w:p>
    <w:p w14:paraId="28CC4AAB" w14:textId="77777777" w:rsidR="008C261E" w:rsidRDefault="008C261E" w:rsidP="001D2A64">
      <w:pPr>
        <w:pStyle w:val="Prrafodelista"/>
        <w:spacing w:after="0" w:line="240" w:lineRule="auto"/>
        <w:ind w:left="345" w:right="94" w:firstLine="0"/>
      </w:pPr>
    </w:p>
    <w:p w14:paraId="234FF54E" w14:textId="45DCA6C5" w:rsidR="008C261E" w:rsidRDefault="001D2A64" w:rsidP="008C261E">
      <w:pPr>
        <w:pStyle w:val="Prrafodelista"/>
        <w:numPr>
          <w:ilvl w:val="0"/>
          <w:numId w:val="15"/>
        </w:numPr>
        <w:spacing w:after="0" w:line="240" w:lineRule="auto"/>
        <w:ind w:right="94"/>
      </w:pPr>
      <w:r>
        <w:t xml:space="preserve">Crear </w:t>
      </w:r>
      <w:r w:rsidR="0049679D">
        <w:t>redundancias en los sistemas de información a través de contingencias en sitios de datos alternos</w:t>
      </w:r>
      <w:r>
        <w:t>;</w:t>
      </w:r>
      <w:r w:rsidR="0049679D">
        <w:t xml:space="preserve"> </w:t>
      </w:r>
    </w:p>
    <w:p w14:paraId="4D82755F" w14:textId="77777777" w:rsidR="008C261E" w:rsidRDefault="008C261E" w:rsidP="001D2A64">
      <w:pPr>
        <w:pStyle w:val="Prrafodelista"/>
      </w:pPr>
    </w:p>
    <w:p w14:paraId="099F4FFB" w14:textId="735AB12D" w:rsidR="001D2A64" w:rsidRDefault="001D2A64" w:rsidP="008C261E">
      <w:pPr>
        <w:pStyle w:val="Prrafodelista"/>
        <w:numPr>
          <w:ilvl w:val="0"/>
          <w:numId w:val="15"/>
        </w:numPr>
        <w:spacing w:after="0" w:line="240" w:lineRule="auto"/>
        <w:ind w:right="94"/>
      </w:pPr>
      <w:r>
        <w:t xml:space="preserve">Dar </w:t>
      </w:r>
      <w:r w:rsidR="0049679D">
        <w:t>formación a más personal informático que requiere especia</w:t>
      </w:r>
      <w:r w:rsidR="008D3048">
        <w:t>liza</w:t>
      </w:r>
      <w:r w:rsidR="0049679D">
        <w:t xml:space="preserve">ción </w:t>
      </w:r>
      <w:r w:rsidR="0099777D">
        <w:t xml:space="preserve">para dar soporte a procesos o servicios críticos de la institución </w:t>
      </w:r>
      <w:r w:rsidR="0049679D">
        <w:t>o aplicar planes de revisión y pruebas a equipos sensibles</w:t>
      </w:r>
      <w:r w:rsidR="007E3A9A">
        <w:t xml:space="preserve"> que pueden afectar los sistemas de información; </w:t>
      </w:r>
    </w:p>
    <w:p w14:paraId="3FCBF905" w14:textId="77777777" w:rsidR="001D2A64" w:rsidRDefault="001D2A64" w:rsidP="001D2A64">
      <w:pPr>
        <w:pStyle w:val="Prrafodelista"/>
      </w:pPr>
    </w:p>
    <w:p w14:paraId="6E898024" w14:textId="11D58FE1" w:rsidR="001D2A64" w:rsidRDefault="001D2A64" w:rsidP="008C261E">
      <w:pPr>
        <w:pStyle w:val="Prrafodelista"/>
        <w:numPr>
          <w:ilvl w:val="0"/>
          <w:numId w:val="15"/>
        </w:numPr>
        <w:spacing w:after="0" w:line="240" w:lineRule="auto"/>
        <w:ind w:right="94"/>
      </w:pPr>
      <w:r>
        <w:t xml:space="preserve">Robustecer </w:t>
      </w:r>
      <w:r w:rsidR="007E3A9A">
        <w:t xml:space="preserve">las plataformas de seguridad para repeler ataques cibernéticos o fortalecer la inversión en hardware y software asociados a procesos y servicios críticos que dependen de tecnologías de información; </w:t>
      </w:r>
    </w:p>
    <w:p w14:paraId="2C05CDAE" w14:textId="77777777" w:rsidR="001D2A64" w:rsidRDefault="001D2A64" w:rsidP="001D2A64">
      <w:pPr>
        <w:pStyle w:val="Prrafodelista"/>
      </w:pPr>
    </w:p>
    <w:p w14:paraId="2DEE4B99" w14:textId="7EA6E263" w:rsidR="001D2A64" w:rsidRDefault="001D2A64" w:rsidP="008C261E">
      <w:pPr>
        <w:pStyle w:val="Prrafodelista"/>
        <w:numPr>
          <w:ilvl w:val="0"/>
          <w:numId w:val="15"/>
        </w:numPr>
        <w:spacing w:after="0" w:line="240" w:lineRule="auto"/>
        <w:ind w:right="94"/>
      </w:pPr>
      <w:r>
        <w:t xml:space="preserve">Negociar </w:t>
      </w:r>
      <w:r w:rsidR="007E3A9A">
        <w:t xml:space="preserve">acuerdos con terceros para </w:t>
      </w:r>
      <w:r w:rsidR="00382F59">
        <w:t xml:space="preserve">anticipar lugares a dónde trasladar físicamente la prestación de servicios en caso de </w:t>
      </w:r>
      <w:r w:rsidR="004F58FA">
        <w:t>indisponibilidad</w:t>
      </w:r>
      <w:r w:rsidR="00382F59">
        <w:t xml:space="preserve"> de la infraestructura física habitual </w:t>
      </w:r>
      <w:r w:rsidR="004A064E">
        <w:t xml:space="preserve">o </w:t>
      </w:r>
    </w:p>
    <w:p w14:paraId="29D70141" w14:textId="77777777" w:rsidR="001D2A64" w:rsidRDefault="001D2A64" w:rsidP="001D2A64">
      <w:pPr>
        <w:pStyle w:val="Prrafodelista"/>
      </w:pPr>
    </w:p>
    <w:p w14:paraId="1179D7C1" w14:textId="75E60214" w:rsidR="00DE07E8" w:rsidRDefault="001D2A64" w:rsidP="001D2A64">
      <w:pPr>
        <w:pStyle w:val="Prrafodelista"/>
        <w:numPr>
          <w:ilvl w:val="0"/>
          <w:numId w:val="15"/>
        </w:numPr>
        <w:spacing w:after="0" w:line="240" w:lineRule="auto"/>
        <w:ind w:right="94"/>
      </w:pPr>
      <w:r>
        <w:t xml:space="preserve">Tomar </w:t>
      </w:r>
      <w:r w:rsidR="004A064E">
        <w:t xml:space="preserve">medidas para la provisión regular de insumos de los cuales dependen procesos o servicios críticos; </w:t>
      </w:r>
      <w:r w:rsidR="00382F59">
        <w:t xml:space="preserve">entre otras medidas de anticipación. </w:t>
      </w:r>
    </w:p>
    <w:p w14:paraId="3E5D017F" w14:textId="110F4C51" w:rsidR="00382F59" w:rsidRDefault="00382F59" w:rsidP="009D09DC">
      <w:pPr>
        <w:spacing w:after="0" w:line="240" w:lineRule="auto"/>
        <w:ind w:left="-5" w:right="94"/>
      </w:pPr>
    </w:p>
    <w:p w14:paraId="311A22C9" w14:textId="214BC679" w:rsidR="00F05CBD" w:rsidRDefault="00F05CBD" w:rsidP="009D09DC">
      <w:pPr>
        <w:spacing w:after="0" w:line="240" w:lineRule="auto"/>
        <w:ind w:left="-5" w:right="94"/>
      </w:pPr>
      <w:r>
        <w:t xml:space="preserve">Por su parte, los </w:t>
      </w:r>
      <w:r w:rsidRPr="008D3048">
        <w:rPr>
          <w:b/>
          <w:bCs/>
        </w:rPr>
        <w:t>planes de continuidad del servicio</w:t>
      </w:r>
      <w:r>
        <w:t xml:space="preserve"> se orientan a </w:t>
      </w:r>
      <w:r w:rsidRPr="008D3048">
        <w:t xml:space="preserve">responder a un incidente disruptivo y </w:t>
      </w:r>
      <w:r>
        <w:t xml:space="preserve">en establecer </w:t>
      </w:r>
      <w:r w:rsidRPr="008D3048">
        <w:t>cómo continuar o recuperar</w:t>
      </w:r>
      <w:r>
        <w:t xml:space="preserve"> las</w:t>
      </w:r>
      <w:r w:rsidRPr="008D3048">
        <w:t xml:space="preserve"> actividades dentro de un plazo predeterminado</w:t>
      </w:r>
      <w:r>
        <w:t xml:space="preserve">, en función del tipo de amenaza o escenario disruptivo. Por tanto, estos planes se elaboran con base en </w:t>
      </w:r>
      <w:r w:rsidRPr="00247DDB">
        <w:t>las estrategias y las soluciones seleccionadas</w:t>
      </w:r>
      <w:r>
        <w:t xml:space="preserve"> para establecer </w:t>
      </w:r>
      <w:r w:rsidRPr="00247DDB">
        <w:t>los pasos inmediatos que se deben tomar durante</w:t>
      </w:r>
      <w:r w:rsidR="00C11513">
        <w:t xml:space="preserve"> </w:t>
      </w:r>
      <w:r w:rsidRPr="00247DDB">
        <w:t>una disrupción</w:t>
      </w:r>
      <w:r>
        <w:t xml:space="preserve"> y se centran </w:t>
      </w:r>
      <w:r w:rsidRPr="00247DDB">
        <w:t xml:space="preserve">en el impacto de los incidentes que potencialmente conducen a </w:t>
      </w:r>
      <w:r w:rsidR="00C11513">
        <w:t>ella</w:t>
      </w:r>
      <w:r>
        <w:t>.</w:t>
      </w:r>
    </w:p>
    <w:p w14:paraId="52B53BC8" w14:textId="77777777" w:rsidR="00F05CBD" w:rsidRDefault="00F05CBD" w:rsidP="009D09DC">
      <w:pPr>
        <w:spacing w:after="0" w:line="240" w:lineRule="auto"/>
        <w:ind w:left="-5" w:right="94"/>
      </w:pPr>
    </w:p>
    <w:p w14:paraId="0DC33B6E" w14:textId="458D7D25" w:rsidR="00F05CBD" w:rsidRDefault="00F05CBD" w:rsidP="009D09DC">
      <w:pPr>
        <w:spacing w:after="0" w:line="240" w:lineRule="auto"/>
        <w:ind w:left="-5" w:right="94"/>
      </w:pPr>
      <w:r>
        <w:t>Los p</w:t>
      </w:r>
      <w:r w:rsidRPr="00247DDB">
        <w:t xml:space="preserve">lanes de continuidad </w:t>
      </w:r>
      <w:r>
        <w:t>orientan</w:t>
      </w:r>
      <w:r w:rsidRPr="00247DDB">
        <w:t xml:space="preserve"> sobre qué se debe hacer para proseguir y recuperar las actividades prioritarias, </w:t>
      </w:r>
      <w:r w:rsidR="00C11513">
        <w:t xml:space="preserve">de manera que </w:t>
      </w:r>
      <w:r>
        <w:t xml:space="preserve">deben contener las instrucciones para </w:t>
      </w:r>
      <w:r w:rsidRPr="00247DDB">
        <w:t>saber en qué momento deben activarse los procedimientos para que las entregas de servicios se realicen de acuerdo con una capacidad previamente definida</w:t>
      </w:r>
      <w:r>
        <w:t xml:space="preserve"> (INTE G130 2022_Cor 2023)</w:t>
      </w:r>
      <w:r w:rsidR="00C11513">
        <w:t>; esto es, a un nivel aceptable, dentro de un plazo aceptable (trabajar en modo degr</w:t>
      </w:r>
      <w:r w:rsidR="00C41658">
        <w:t>ad</w:t>
      </w:r>
      <w:r w:rsidR="00C11513">
        <w:t>ado)</w:t>
      </w:r>
      <w:r w:rsidR="00C41658">
        <w:rPr>
          <w:rStyle w:val="Refdenotaalpie"/>
        </w:rPr>
        <w:footnoteReference w:id="1"/>
      </w:r>
      <w:r w:rsidRPr="00247DDB">
        <w:t>.</w:t>
      </w:r>
    </w:p>
    <w:p w14:paraId="15CBA149" w14:textId="77777777" w:rsidR="00F05CBD" w:rsidRDefault="00F05CBD" w:rsidP="009D09DC">
      <w:pPr>
        <w:spacing w:after="0" w:line="240" w:lineRule="auto"/>
        <w:ind w:left="-5" w:right="94"/>
      </w:pPr>
    </w:p>
    <w:p w14:paraId="144A425E" w14:textId="33ADCF1C" w:rsidR="00F05CBD" w:rsidRDefault="00F05CBD" w:rsidP="000E1EFF">
      <w:pPr>
        <w:spacing w:after="0" w:line="240" w:lineRule="auto"/>
        <w:ind w:left="-5" w:right="94"/>
      </w:pPr>
      <w:r w:rsidRPr="00022127">
        <w:lastRenderedPageBreak/>
        <w:t xml:space="preserve">Como tal, su propósito es mitigar el riesgo para reducir su impacto, de manera que se gestionen las consecuencias inmediatas de una disrupción y según lo establece la norma, </w:t>
      </w:r>
      <w:r w:rsidR="00022127">
        <w:t xml:space="preserve">contribuyan a </w:t>
      </w:r>
      <w:r w:rsidRPr="00022127">
        <w:t>preven</w:t>
      </w:r>
      <w:r w:rsidR="00022127">
        <w:t>ir</w:t>
      </w:r>
      <w:r w:rsidRPr="00022127">
        <w:t xml:space="preserve"> de nuevas pérdidas ante la interrupción de la normalidad en la prestación de servicios.</w:t>
      </w:r>
      <w:r>
        <w:t xml:space="preserve"> </w:t>
      </w:r>
    </w:p>
    <w:p w14:paraId="2A92BB7F" w14:textId="77777777" w:rsidR="00200706" w:rsidRPr="0070574C" w:rsidRDefault="00200706" w:rsidP="009D09DC">
      <w:pPr>
        <w:spacing w:after="0" w:line="240" w:lineRule="auto"/>
        <w:ind w:left="-5" w:right="94"/>
      </w:pPr>
    </w:p>
    <w:p w14:paraId="56C98693" w14:textId="1456792F" w:rsidR="009377F7" w:rsidRPr="0070574C" w:rsidRDefault="009377F7" w:rsidP="009D09DC">
      <w:pPr>
        <w:pStyle w:val="Ttulo3"/>
        <w:spacing w:after="0" w:line="240" w:lineRule="auto"/>
        <w:jc w:val="both"/>
        <w:rPr>
          <w:sz w:val="22"/>
        </w:rPr>
      </w:pPr>
      <w:bookmarkStart w:id="29" w:name="_Toc155778540"/>
      <w:r w:rsidRPr="006B1ADC">
        <w:rPr>
          <w:sz w:val="22"/>
        </w:rPr>
        <w:t>Gráfico 2. Tendencia del impacto de riesgos de continuidad ante medidas de administración.</w:t>
      </w:r>
      <w:bookmarkEnd w:id="29"/>
      <w:r w:rsidRPr="0070574C">
        <w:rPr>
          <w:sz w:val="22"/>
        </w:rPr>
        <w:t xml:space="preserve"> </w:t>
      </w:r>
    </w:p>
    <w:p w14:paraId="36B4F28B" w14:textId="77777777" w:rsidR="009377F7" w:rsidRPr="0070574C" w:rsidRDefault="009377F7" w:rsidP="009D09DC">
      <w:pPr>
        <w:spacing w:after="0" w:line="240" w:lineRule="auto"/>
        <w:ind w:left="-5" w:right="94"/>
      </w:pPr>
    </w:p>
    <w:p w14:paraId="2DDC3C9E" w14:textId="167FE9FB" w:rsidR="009377F7" w:rsidRPr="0070574C" w:rsidRDefault="009377F7" w:rsidP="00022127">
      <w:pPr>
        <w:spacing w:after="0" w:line="240" w:lineRule="auto"/>
        <w:ind w:left="-5" w:right="94"/>
        <w:jc w:val="center"/>
      </w:pPr>
      <w:r w:rsidRPr="0070574C">
        <w:rPr>
          <w:noProof/>
        </w:rPr>
        <w:drawing>
          <wp:inline distT="0" distB="0" distL="0" distR="0" wp14:anchorId="05485E8B" wp14:editId="7269047B">
            <wp:extent cx="5964307" cy="4715157"/>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6"/>
                    <a:stretch>
                      <a:fillRect/>
                    </a:stretch>
                  </pic:blipFill>
                  <pic:spPr>
                    <a:xfrm>
                      <a:off x="0" y="0"/>
                      <a:ext cx="5971024" cy="4720468"/>
                    </a:xfrm>
                    <a:prstGeom prst="rect">
                      <a:avLst/>
                    </a:prstGeom>
                  </pic:spPr>
                </pic:pic>
              </a:graphicData>
            </a:graphic>
          </wp:inline>
        </w:drawing>
      </w:r>
    </w:p>
    <w:p w14:paraId="44400731" w14:textId="0D655F5A" w:rsidR="009377F7" w:rsidRPr="0070574C" w:rsidRDefault="009377F7" w:rsidP="009D09DC">
      <w:pPr>
        <w:spacing w:after="0" w:line="240" w:lineRule="auto"/>
        <w:ind w:left="-5" w:right="94"/>
      </w:pPr>
    </w:p>
    <w:p w14:paraId="0507B905" w14:textId="63E2AEA0" w:rsidR="009377F7" w:rsidRPr="0070574C" w:rsidRDefault="009377F7" w:rsidP="009D09DC">
      <w:pPr>
        <w:spacing w:after="0" w:line="240" w:lineRule="auto"/>
        <w:ind w:left="-5" w:right="94"/>
      </w:pPr>
      <w:r w:rsidRPr="0070574C">
        <w:rPr>
          <w:b/>
          <w:bCs/>
        </w:rPr>
        <w:t>Fuente:</w:t>
      </w:r>
      <w:r w:rsidRPr="0070574C">
        <w:t xml:space="preserve"> Elaboración propia a partir de modelos de gestión aplicables.</w:t>
      </w:r>
    </w:p>
    <w:p w14:paraId="1B6FF9E5" w14:textId="31D28B47" w:rsidR="009377F7" w:rsidRPr="0070574C" w:rsidRDefault="009377F7" w:rsidP="009D09DC">
      <w:pPr>
        <w:spacing w:after="0" w:line="240" w:lineRule="auto"/>
        <w:ind w:left="-5" w:right="94"/>
      </w:pPr>
    </w:p>
    <w:p w14:paraId="7535E866" w14:textId="14D104DC" w:rsidR="009377F7" w:rsidRDefault="002527C7" w:rsidP="009D09DC">
      <w:pPr>
        <w:spacing w:after="0" w:line="240" w:lineRule="auto"/>
        <w:ind w:left="-5" w:right="94"/>
      </w:pPr>
      <w:r>
        <w:t xml:space="preserve">En otro sentido, la norma establece que la organización debe </w:t>
      </w:r>
      <w:r w:rsidRPr="00E7082B">
        <w:rPr>
          <w:b/>
          <w:bCs/>
        </w:rPr>
        <w:t>implementar y mantener</w:t>
      </w:r>
      <w:r>
        <w:t xml:space="preserve"> un proceso de evaluación de riesgos. También establece que l</w:t>
      </w:r>
      <w:r w:rsidRPr="002527C7">
        <w:t>as evaluaciones de riesgos deben realizarse a periodos planificados o cuando se produzcan cambios significativos en la organización o en el contexto en el que opera</w:t>
      </w:r>
      <w:r>
        <w:t xml:space="preserve"> (INTE G130 2022_Cor 2023)</w:t>
      </w:r>
      <w:r w:rsidRPr="00247DDB">
        <w:t>.</w:t>
      </w:r>
    </w:p>
    <w:p w14:paraId="31B43AAC" w14:textId="6A3BAEA6" w:rsidR="002527C7" w:rsidRDefault="002527C7" w:rsidP="009D09DC">
      <w:pPr>
        <w:spacing w:after="0" w:line="240" w:lineRule="auto"/>
        <w:ind w:left="-5" w:right="94"/>
      </w:pPr>
    </w:p>
    <w:p w14:paraId="7DB8EB66" w14:textId="77777777" w:rsidR="00E7082B" w:rsidRDefault="004E5858" w:rsidP="009D09DC">
      <w:pPr>
        <w:spacing w:after="0" w:line="240" w:lineRule="auto"/>
        <w:ind w:left="-5" w:right="94"/>
      </w:pPr>
      <w:r>
        <w:t xml:space="preserve">A nivel del Poder Judicial, esta gestión permanente </w:t>
      </w:r>
      <w:r w:rsidR="00106C5B">
        <w:t xml:space="preserve">debe incorporarse a la labor ordinaria de la oficina rectora en el SEVRI, que es la Oficina de Control Interno del Poder Judicial. En ese </w:t>
      </w:r>
      <w:r w:rsidR="00106C5B">
        <w:lastRenderedPageBreak/>
        <w:t>sentido, según acuerdo tomado por el Consejo Superior en la sesión 46-2023, celebrada el 1 de junio de 2023, artículo XLVI, esa</w:t>
      </w:r>
      <w:r w:rsidR="00106C5B" w:rsidRPr="00106C5B">
        <w:t xml:space="preserve"> Oficina </w:t>
      </w:r>
      <w:r w:rsidR="00106C5B">
        <w:t>debe</w:t>
      </w:r>
      <w:r w:rsidR="00E7082B">
        <w:t>:</w:t>
      </w:r>
    </w:p>
    <w:p w14:paraId="3866F7C6" w14:textId="77777777" w:rsidR="00E7082B" w:rsidRDefault="00E7082B" w:rsidP="009D09DC">
      <w:pPr>
        <w:spacing w:after="0" w:line="240" w:lineRule="auto"/>
        <w:ind w:left="-5" w:right="94"/>
      </w:pPr>
    </w:p>
    <w:p w14:paraId="21690EB5" w14:textId="613C4989" w:rsidR="00106C5B" w:rsidRPr="0070574C" w:rsidRDefault="00106C5B" w:rsidP="009D09DC">
      <w:pPr>
        <w:spacing w:after="0" w:line="240" w:lineRule="auto"/>
        <w:ind w:left="567" w:right="94" w:firstLine="0"/>
      </w:pPr>
      <w:r w:rsidRPr="00106C5B">
        <w:rPr>
          <w:i/>
          <w:iCs/>
        </w:rPr>
        <w:t>“Mantener dentro de su programación anual, las labores asociadas a la Gestión de Continuidad del Servicio, en cuanto a la identificación de riesgos asociados a procesos críticos y las gestiones que se deben desarrollar y llevar a cabo junto a las oficinas a cargo de esos procesos críticos, para el suministro de información necesaria en los planes del Sistema de Gestión de Continuidad del Servicio”</w:t>
      </w:r>
      <w:r w:rsidRPr="00106C5B">
        <w:t>.</w:t>
      </w:r>
    </w:p>
    <w:p w14:paraId="5AE5B803" w14:textId="1B752D8B" w:rsidR="009377F7" w:rsidRDefault="009377F7" w:rsidP="009D09DC">
      <w:pPr>
        <w:spacing w:after="0" w:line="240" w:lineRule="auto"/>
        <w:ind w:left="-5" w:right="94"/>
      </w:pPr>
    </w:p>
    <w:p w14:paraId="7960EF6E" w14:textId="0638CACB" w:rsidR="00E7082B" w:rsidRDefault="00E7082B" w:rsidP="009D09DC">
      <w:pPr>
        <w:spacing w:after="0" w:line="240" w:lineRule="auto"/>
        <w:ind w:left="-5" w:right="94"/>
      </w:pPr>
      <w:r>
        <w:t xml:space="preserve">A su vez, cada oficina o despacho judicial y, de manera particular las que cuentan con procesos o servicios catalogados como críticos en el </w:t>
      </w:r>
      <w:r w:rsidRPr="002A7E7A">
        <w:rPr>
          <w:i/>
          <w:iCs/>
        </w:rPr>
        <w:t>“Análisis de Impacto al Servicio Institucional”</w:t>
      </w:r>
      <w:r>
        <w:t xml:space="preserve">, debe incorporar el análisis de riesgos dentro de su propia gestión de la continuidad del servicio. </w:t>
      </w:r>
    </w:p>
    <w:p w14:paraId="3FB7180F" w14:textId="6E22CA2B" w:rsidR="00E7082B" w:rsidRDefault="00E7082B" w:rsidP="009D09DC">
      <w:pPr>
        <w:spacing w:after="0" w:line="240" w:lineRule="auto"/>
        <w:ind w:left="-5" w:right="94"/>
      </w:pPr>
    </w:p>
    <w:p w14:paraId="47B2C1D7" w14:textId="12DB758B" w:rsidR="00E7082B" w:rsidRDefault="00E7082B" w:rsidP="009D09DC">
      <w:pPr>
        <w:spacing w:after="0" w:line="240" w:lineRule="auto"/>
        <w:ind w:left="-5" w:right="94"/>
      </w:pPr>
      <w:r>
        <w:t xml:space="preserve">El gráfico 3 muestra </w:t>
      </w:r>
      <w:r w:rsidR="002A7E7A">
        <w:t xml:space="preserve">de manera general </w:t>
      </w:r>
      <w:r>
        <w:t xml:space="preserve">esta interrelación entre los sistemas de gestión que van desde la </w:t>
      </w:r>
      <w:r w:rsidR="00B70245">
        <w:t>operativa de la oficina a la gestión de la continuidad y la de riesgos</w:t>
      </w:r>
      <w:r>
        <w:t xml:space="preserve"> </w:t>
      </w:r>
    </w:p>
    <w:p w14:paraId="02D9DA5B" w14:textId="77777777" w:rsidR="00E7082B" w:rsidRPr="0070574C" w:rsidRDefault="00E7082B" w:rsidP="009D09DC">
      <w:pPr>
        <w:spacing w:after="0" w:line="240" w:lineRule="auto"/>
        <w:ind w:left="-5" w:right="94"/>
      </w:pPr>
    </w:p>
    <w:p w14:paraId="6899D7D9" w14:textId="3883E69B" w:rsidR="009377F7" w:rsidRPr="0070574C" w:rsidRDefault="009377F7" w:rsidP="009D09DC">
      <w:pPr>
        <w:pStyle w:val="Ttulo3"/>
        <w:spacing w:after="0" w:line="240" w:lineRule="auto"/>
        <w:jc w:val="both"/>
        <w:rPr>
          <w:sz w:val="22"/>
        </w:rPr>
      </w:pPr>
      <w:bookmarkStart w:id="30" w:name="_Toc155778541"/>
      <w:r w:rsidRPr="00900DA4">
        <w:rPr>
          <w:sz w:val="22"/>
        </w:rPr>
        <w:t>Gráfico 3. Relación</w:t>
      </w:r>
      <w:r w:rsidRPr="0070574C">
        <w:rPr>
          <w:sz w:val="22"/>
        </w:rPr>
        <w:t xml:space="preserve"> de modelos de gestión con la continuidad del servicio institucional.</w:t>
      </w:r>
      <w:bookmarkEnd w:id="30"/>
      <w:r w:rsidRPr="0070574C">
        <w:rPr>
          <w:sz w:val="22"/>
        </w:rPr>
        <w:t xml:space="preserve"> </w:t>
      </w:r>
    </w:p>
    <w:p w14:paraId="277FB044" w14:textId="77777777" w:rsidR="009377F7" w:rsidRPr="0070574C" w:rsidRDefault="009377F7" w:rsidP="009D09DC">
      <w:pPr>
        <w:spacing w:after="0" w:line="240" w:lineRule="auto"/>
        <w:ind w:left="-5" w:right="94"/>
      </w:pPr>
    </w:p>
    <w:p w14:paraId="1155D398" w14:textId="3EFA52F0" w:rsidR="009377F7" w:rsidRPr="0070574C" w:rsidRDefault="00244710" w:rsidP="009D09DC">
      <w:pPr>
        <w:spacing w:after="0" w:line="240" w:lineRule="auto"/>
        <w:ind w:left="-5" w:right="94"/>
        <w:jc w:val="center"/>
      </w:pPr>
      <w:r w:rsidRPr="00244710">
        <w:rPr>
          <w:noProof/>
        </w:rPr>
        <w:drawing>
          <wp:inline distT="0" distB="0" distL="0" distR="0" wp14:anchorId="244CA0F3" wp14:editId="5860CF42">
            <wp:extent cx="5678805" cy="4401820"/>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7"/>
                    <a:stretch>
                      <a:fillRect/>
                    </a:stretch>
                  </pic:blipFill>
                  <pic:spPr>
                    <a:xfrm>
                      <a:off x="0" y="0"/>
                      <a:ext cx="5678805" cy="4401820"/>
                    </a:xfrm>
                    <a:prstGeom prst="rect">
                      <a:avLst/>
                    </a:prstGeom>
                  </pic:spPr>
                </pic:pic>
              </a:graphicData>
            </a:graphic>
          </wp:inline>
        </w:drawing>
      </w:r>
    </w:p>
    <w:p w14:paraId="5B717712" w14:textId="77777777" w:rsidR="00244710" w:rsidRDefault="00244710" w:rsidP="009D09DC">
      <w:pPr>
        <w:spacing w:after="0" w:line="240" w:lineRule="auto"/>
        <w:ind w:left="-5" w:right="94"/>
        <w:rPr>
          <w:b/>
          <w:bCs/>
        </w:rPr>
      </w:pPr>
    </w:p>
    <w:p w14:paraId="0ABEAD4C" w14:textId="70DCA34B" w:rsidR="009377F7" w:rsidRPr="0070574C" w:rsidRDefault="009377F7" w:rsidP="009D09DC">
      <w:pPr>
        <w:spacing w:after="0" w:line="240" w:lineRule="auto"/>
        <w:ind w:left="-5" w:right="94"/>
      </w:pPr>
      <w:r w:rsidRPr="0070574C">
        <w:rPr>
          <w:b/>
          <w:bCs/>
        </w:rPr>
        <w:t>Fuente:</w:t>
      </w:r>
      <w:r w:rsidRPr="0070574C">
        <w:t xml:space="preserve"> Elaboración propia a partir de normas y modelos de gestión aplicables. </w:t>
      </w:r>
    </w:p>
    <w:p w14:paraId="77BE9AE5" w14:textId="77777777" w:rsidR="00244710" w:rsidRDefault="00244710" w:rsidP="009D09DC">
      <w:pPr>
        <w:spacing w:after="0" w:line="240" w:lineRule="auto"/>
        <w:ind w:left="-5" w:right="94"/>
      </w:pPr>
    </w:p>
    <w:p w14:paraId="21A99754" w14:textId="6ED24CC2" w:rsidR="009377F7" w:rsidRDefault="00B70245" w:rsidP="009D09DC">
      <w:pPr>
        <w:spacing w:after="0" w:line="240" w:lineRule="auto"/>
        <w:ind w:left="-5" w:right="94"/>
      </w:pPr>
      <w:r>
        <w:t xml:space="preserve">Al respecto, debe tenerse en cuenta que la norma instruye a que en una primera etapa la organización debe identificar sus procesos y servicios críticos o esenciales; posteriormente, se debe aplicar la evaluación de riesgos de disrupción, con el fin de definir las estrategias y soluciones de continuidad, para finalmente formular </w:t>
      </w:r>
      <w:r w:rsidR="002A7E7A">
        <w:t>(</w:t>
      </w:r>
      <w:r>
        <w:t>con esta información insumo</w:t>
      </w:r>
      <w:r w:rsidR="002A7E7A">
        <w:t>)</w:t>
      </w:r>
      <w:r>
        <w:t xml:space="preserve"> los </w:t>
      </w:r>
      <w:r w:rsidR="001E7895">
        <w:t xml:space="preserve">planes de continuidad del servicio. </w:t>
      </w:r>
    </w:p>
    <w:p w14:paraId="5E070724" w14:textId="4EA9E497" w:rsidR="001E7895" w:rsidRDefault="001E7895" w:rsidP="009D09DC">
      <w:pPr>
        <w:spacing w:after="0" w:line="240" w:lineRule="auto"/>
        <w:ind w:left="-5" w:right="94"/>
      </w:pPr>
    </w:p>
    <w:p w14:paraId="66B36000" w14:textId="44C195C2" w:rsidR="001E7895" w:rsidRPr="0070574C" w:rsidRDefault="001E7895" w:rsidP="009D09DC">
      <w:pPr>
        <w:spacing w:after="0" w:line="240" w:lineRule="auto"/>
        <w:ind w:left="-5" w:right="94"/>
      </w:pPr>
      <w:r>
        <w:t xml:space="preserve">En esta lógica, la función de cada despacho y oficina judicial junto con la labor de la Oficina de Control Interno vienen a vincularse y aportar a la gestión de la continuidad institucional, que </w:t>
      </w:r>
      <w:r w:rsidR="006502A7">
        <w:t xml:space="preserve">ha sido catalogado a nivel de la jerarquía institucional como un </w:t>
      </w:r>
      <w:r w:rsidR="006502A7" w:rsidRPr="006502A7">
        <w:rPr>
          <w:i/>
          <w:iCs/>
        </w:rPr>
        <w:t>“proceso institucional, de naturaleza crítica y estratégica dentro del Poder Judicial”.</w:t>
      </w:r>
    </w:p>
    <w:p w14:paraId="797AEF7E" w14:textId="77777777" w:rsidR="009377F7" w:rsidRPr="0070574C" w:rsidRDefault="009377F7" w:rsidP="009D09DC">
      <w:pPr>
        <w:spacing w:after="0" w:line="240" w:lineRule="auto"/>
        <w:ind w:left="-5" w:right="94"/>
      </w:pPr>
    </w:p>
    <w:p w14:paraId="702596AA" w14:textId="77777777" w:rsidR="009377F7" w:rsidRPr="0070574C" w:rsidRDefault="009377F7" w:rsidP="009D09DC">
      <w:pPr>
        <w:spacing w:after="0" w:line="240" w:lineRule="auto"/>
        <w:ind w:left="-5" w:right="94"/>
      </w:pPr>
    </w:p>
    <w:p w14:paraId="5F40EFAD" w14:textId="4A5501FF" w:rsidR="00B23A65" w:rsidRPr="00900DA4" w:rsidRDefault="0062484D" w:rsidP="009D09DC">
      <w:pPr>
        <w:pStyle w:val="Ttulo1"/>
        <w:spacing w:after="0" w:line="240" w:lineRule="auto"/>
        <w:jc w:val="both"/>
        <w:rPr>
          <w:b/>
          <w:bCs/>
          <w:color w:val="002060"/>
          <w:sz w:val="32"/>
          <w:szCs w:val="32"/>
        </w:rPr>
      </w:pPr>
      <w:bookmarkStart w:id="31" w:name="_Toc155778542"/>
      <w:r w:rsidRPr="00900DA4">
        <w:rPr>
          <w:b/>
          <w:bCs/>
          <w:color w:val="002060"/>
          <w:sz w:val="32"/>
          <w:szCs w:val="32"/>
        </w:rPr>
        <w:t>9</w:t>
      </w:r>
      <w:r w:rsidR="003B32D7" w:rsidRPr="00900DA4">
        <w:rPr>
          <w:b/>
          <w:bCs/>
          <w:color w:val="002060"/>
          <w:sz w:val="32"/>
          <w:szCs w:val="32"/>
        </w:rPr>
        <w:t>.</w:t>
      </w:r>
      <w:r w:rsidR="003B32D7" w:rsidRPr="00900DA4">
        <w:rPr>
          <w:b/>
          <w:bCs/>
          <w:color w:val="002060"/>
          <w:sz w:val="32"/>
          <w:szCs w:val="32"/>
        </w:rPr>
        <w:tab/>
        <w:t xml:space="preserve"> </w:t>
      </w:r>
      <w:r w:rsidR="00F02738">
        <w:rPr>
          <w:b/>
          <w:bCs/>
          <w:color w:val="002060"/>
          <w:sz w:val="32"/>
          <w:szCs w:val="32"/>
        </w:rPr>
        <w:t>T</w:t>
      </w:r>
      <w:r w:rsidRPr="00900DA4">
        <w:rPr>
          <w:b/>
          <w:bCs/>
          <w:color w:val="002060"/>
          <w:sz w:val="32"/>
          <w:szCs w:val="32"/>
        </w:rPr>
        <w:t>ratamiento de riesgos de disrupción</w:t>
      </w:r>
      <w:bookmarkEnd w:id="31"/>
      <w:r w:rsidR="003B32D7" w:rsidRPr="00900DA4">
        <w:rPr>
          <w:b/>
          <w:bCs/>
          <w:color w:val="002060"/>
          <w:sz w:val="32"/>
          <w:szCs w:val="32"/>
        </w:rPr>
        <w:t xml:space="preserve"> </w:t>
      </w:r>
    </w:p>
    <w:p w14:paraId="5D2369A2" w14:textId="77777777" w:rsidR="00BF4E36" w:rsidRPr="0070574C" w:rsidRDefault="00BF4E36" w:rsidP="009D09DC">
      <w:pPr>
        <w:spacing w:after="0" w:line="240" w:lineRule="auto"/>
        <w:ind w:left="-5" w:right="94"/>
      </w:pPr>
    </w:p>
    <w:p w14:paraId="626AE514" w14:textId="2E4F89A6" w:rsidR="00BA2056" w:rsidRDefault="00BA2056" w:rsidP="00BA2056">
      <w:pPr>
        <w:spacing w:after="0" w:line="240" w:lineRule="auto"/>
        <w:ind w:right="94"/>
      </w:pPr>
      <w:r w:rsidRPr="00BA2056">
        <w:t xml:space="preserve">Cada oficina o despacho judicial con procesos críticos debe </w:t>
      </w:r>
      <w:r>
        <w:t xml:space="preserve">realizar su análisis particular de riesgos de disrupción, según las amenazas que le sean particulares, en función de los procesos o servicios críticos a su cargo. </w:t>
      </w:r>
    </w:p>
    <w:p w14:paraId="7E7DD62F" w14:textId="3C8ED1AB" w:rsidR="00BA2056" w:rsidRDefault="00BA2056" w:rsidP="00BA2056">
      <w:pPr>
        <w:spacing w:after="0" w:line="240" w:lineRule="auto"/>
        <w:ind w:right="94"/>
      </w:pPr>
    </w:p>
    <w:p w14:paraId="022D06F4" w14:textId="5940C2EA" w:rsidR="0062484D" w:rsidRPr="0070574C" w:rsidRDefault="00BA2056" w:rsidP="00BA2056">
      <w:pPr>
        <w:spacing w:after="0" w:line="240" w:lineRule="auto"/>
        <w:ind w:right="94"/>
      </w:pPr>
      <w:r>
        <w:t xml:space="preserve">El </w:t>
      </w:r>
      <w:r w:rsidRPr="003E7273">
        <w:rPr>
          <w:i/>
          <w:iCs/>
        </w:rPr>
        <w:t>“Instructivo para la elaboración del Sistema Específico de Valoración de Riesgo Institucional (SEVRI)”</w:t>
      </w:r>
      <w:r>
        <w:t xml:space="preserve"> de la Oficina de Control Interno (versión 2022) ofrece una guía práctica de cómo realizar est</w:t>
      </w:r>
      <w:r w:rsidR="00A3069A">
        <w:t>a</w:t>
      </w:r>
      <w:r>
        <w:t xml:space="preserve"> </w:t>
      </w:r>
      <w:r w:rsidR="003E7273">
        <w:t>labor</w:t>
      </w:r>
      <w:r>
        <w:t xml:space="preserve">. No obstante, con el fin de coadyuvar en este ejercicio, en el presente informe se aporta </w:t>
      </w:r>
      <w:r w:rsidR="0062484D" w:rsidRPr="00BA2056">
        <w:t xml:space="preserve">una matriz </w:t>
      </w:r>
      <w:r w:rsidRPr="00BA2056">
        <w:t xml:space="preserve">de ejemplo </w:t>
      </w:r>
      <w:r w:rsidR="0062484D" w:rsidRPr="00BA2056">
        <w:t>para orientar el tratamiento de riesgos</w:t>
      </w:r>
      <w:r w:rsidRPr="00BA2056">
        <w:t xml:space="preserve"> de continuidad</w:t>
      </w:r>
      <w:r w:rsidR="0062484D" w:rsidRPr="00BA2056">
        <w:t>.</w:t>
      </w:r>
      <w:r w:rsidR="0062484D" w:rsidRPr="0070574C">
        <w:t xml:space="preserve"> </w:t>
      </w:r>
    </w:p>
    <w:p w14:paraId="507F162C" w14:textId="77777777" w:rsidR="0062484D" w:rsidRPr="0070574C" w:rsidRDefault="0062484D" w:rsidP="009D09DC">
      <w:pPr>
        <w:spacing w:after="0" w:line="240" w:lineRule="auto"/>
        <w:ind w:left="-5" w:right="94"/>
      </w:pPr>
    </w:p>
    <w:p w14:paraId="21EBC67D" w14:textId="5A1786DA" w:rsidR="00533798" w:rsidRDefault="003E7273" w:rsidP="00E1357A">
      <w:pPr>
        <w:pStyle w:val="Ttulo2"/>
        <w:jc w:val="both"/>
      </w:pPr>
      <w:bookmarkStart w:id="32" w:name="_Toc155778543"/>
      <w:r w:rsidRPr="00934D76">
        <w:rPr>
          <w:sz w:val="22"/>
        </w:rPr>
        <w:t xml:space="preserve">Tabla 13. Ejemplo: </w:t>
      </w:r>
      <w:r w:rsidR="00533798" w:rsidRPr="00934D76">
        <w:rPr>
          <w:sz w:val="22"/>
        </w:rPr>
        <w:t xml:space="preserve">Matriz de respuesta </w:t>
      </w:r>
      <w:r w:rsidRPr="00934D76">
        <w:rPr>
          <w:sz w:val="22"/>
        </w:rPr>
        <w:t>a riesgos de continuidad.</w:t>
      </w:r>
      <w:bookmarkEnd w:id="32"/>
    </w:p>
    <w:tbl>
      <w:tblPr>
        <w:tblStyle w:val="Tablaconcuadrcula"/>
        <w:tblW w:w="0" w:type="auto"/>
        <w:tblInd w:w="-5" w:type="dxa"/>
        <w:tblLook w:val="04A0" w:firstRow="1" w:lastRow="0" w:firstColumn="1" w:lastColumn="0" w:noHBand="0" w:noVBand="1"/>
      </w:tblPr>
      <w:tblGrid>
        <w:gridCol w:w="1846"/>
        <w:gridCol w:w="1982"/>
        <w:gridCol w:w="3830"/>
        <w:gridCol w:w="1739"/>
      </w:tblGrid>
      <w:tr w:rsidR="00FA3F6B" w:rsidRPr="00A955C7" w14:paraId="0A5CD79B" w14:textId="77777777" w:rsidTr="00532C4C">
        <w:tc>
          <w:tcPr>
            <w:tcW w:w="1846" w:type="dxa"/>
            <w:shd w:val="clear" w:color="auto" w:fill="002060"/>
            <w:vAlign w:val="center"/>
          </w:tcPr>
          <w:p w14:paraId="0DCADF9F" w14:textId="08F40DBB" w:rsidR="00533798" w:rsidRPr="00A955C7" w:rsidRDefault="00533798" w:rsidP="005743A6">
            <w:pPr>
              <w:spacing w:after="0" w:line="240" w:lineRule="auto"/>
              <w:ind w:left="0" w:right="96" w:firstLine="0"/>
              <w:jc w:val="center"/>
              <w:rPr>
                <w:b/>
                <w:bCs/>
                <w:color w:val="FFFFFF" w:themeColor="background1"/>
                <w:sz w:val="20"/>
                <w:szCs w:val="20"/>
              </w:rPr>
            </w:pPr>
            <w:r w:rsidRPr="00A955C7">
              <w:rPr>
                <w:b/>
                <w:bCs/>
                <w:color w:val="FFFFFF" w:themeColor="background1"/>
                <w:sz w:val="20"/>
                <w:szCs w:val="20"/>
              </w:rPr>
              <w:t>Riesgo / Escenario</w:t>
            </w:r>
          </w:p>
        </w:tc>
        <w:tc>
          <w:tcPr>
            <w:tcW w:w="1982" w:type="dxa"/>
            <w:shd w:val="clear" w:color="auto" w:fill="002060"/>
            <w:vAlign w:val="center"/>
          </w:tcPr>
          <w:p w14:paraId="3AF18A8A" w14:textId="3857CA45" w:rsidR="00533798" w:rsidRPr="00A955C7" w:rsidRDefault="00533798" w:rsidP="005743A6">
            <w:pPr>
              <w:spacing w:after="0" w:line="240" w:lineRule="auto"/>
              <w:ind w:left="0" w:right="96" w:firstLine="0"/>
              <w:jc w:val="center"/>
              <w:rPr>
                <w:b/>
                <w:bCs/>
                <w:color w:val="FFFFFF" w:themeColor="background1"/>
                <w:sz w:val="20"/>
                <w:szCs w:val="20"/>
              </w:rPr>
            </w:pPr>
            <w:r w:rsidRPr="00A955C7">
              <w:rPr>
                <w:b/>
                <w:bCs/>
                <w:color w:val="FFFFFF" w:themeColor="background1"/>
                <w:sz w:val="20"/>
                <w:szCs w:val="20"/>
              </w:rPr>
              <w:t>Fuentes / Controles / Efectos</w:t>
            </w:r>
          </w:p>
        </w:tc>
        <w:tc>
          <w:tcPr>
            <w:tcW w:w="3830" w:type="dxa"/>
            <w:shd w:val="clear" w:color="auto" w:fill="002060"/>
            <w:vAlign w:val="center"/>
          </w:tcPr>
          <w:p w14:paraId="5F5C9750" w14:textId="01718DE0" w:rsidR="00533798" w:rsidRPr="00A955C7" w:rsidRDefault="00533798" w:rsidP="005743A6">
            <w:pPr>
              <w:spacing w:after="0" w:line="240" w:lineRule="auto"/>
              <w:ind w:left="0" w:right="96" w:firstLine="0"/>
              <w:jc w:val="center"/>
              <w:rPr>
                <w:color w:val="FFFFFF" w:themeColor="background1"/>
                <w:sz w:val="20"/>
                <w:szCs w:val="20"/>
              </w:rPr>
            </w:pPr>
            <w:r w:rsidRPr="00A955C7">
              <w:rPr>
                <w:b/>
                <w:bCs/>
                <w:color w:val="FFFFFF" w:themeColor="background1"/>
                <w:sz w:val="20"/>
                <w:szCs w:val="20"/>
              </w:rPr>
              <w:t>Respuesta</w:t>
            </w:r>
          </w:p>
        </w:tc>
        <w:tc>
          <w:tcPr>
            <w:tcW w:w="1739" w:type="dxa"/>
            <w:shd w:val="clear" w:color="auto" w:fill="002060"/>
            <w:vAlign w:val="center"/>
          </w:tcPr>
          <w:p w14:paraId="7E25C754" w14:textId="7052A23A" w:rsidR="00533798" w:rsidRPr="00A955C7" w:rsidRDefault="00533798" w:rsidP="005743A6">
            <w:pPr>
              <w:spacing w:after="0" w:line="240" w:lineRule="auto"/>
              <w:ind w:left="0" w:right="96" w:firstLine="0"/>
              <w:jc w:val="center"/>
              <w:rPr>
                <w:b/>
                <w:bCs/>
                <w:color w:val="FFFFFF" w:themeColor="background1"/>
                <w:sz w:val="20"/>
                <w:szCs w:val="20"/>
              </w:rPr>
            </w:pPr>
            <w:r w:rsidRPr="00A955C7">
              <w:rPr>
                <w:b/>
                <w:bCs/>
                <w:color w:val="FFFFFF" w:themeColor="background1"/>
                <w:sz w:val="20"/>
                <w:szCs w:val="20"/>
              </w:rPr>
              <w:t>Responsable</w:t>
            </w:r>
          </w:p>
        </w:tc>
      </w:tr>
      <w:tr w:rsidR="00FA3F6B" w:rsidRPr="00A955C7" w14:paraId="213C85BE" w14:textId="77777777" w:rsidTr="00532C4C">
        <w:trPr>
          <w:tblHeader/>
        </w:trPr>
        <w:tc>
          <w:tcPr>
            <w:tcW w:w="1846" w:type="dxa"/>
            <w:vMerge w:val="restart"/>
            <w:shd w:val="clear" w:color="auto" w:fill="auto"/>
            <w:vAlign w:val="center"/>
          </w:tcPr>
          <w:p w14:paraId="5EF4FC31" w14:textId="3FD6826E" w:rsidR="00A86341" w:rsidRPr="00A955C7" w:rsidRDefault="00A86341" w:rsidP="005743A6">
            <w:pPr>
              <w:spacing w:after="0" w:line="240" w:lineRule="auto"/>
              <w:ind w:left="0" w:right="96"/>
              <w:rPr>
                <w:b/>
                <w:bCs/>
                <w:color w:val="auto"/>
                <w:sz w:val="20"/>
                <w:szCs w:val="20"/>
              </w:rPr>
            </w:pPr>
            <w:r w:rsidRPr="00A955C7">
              <w:rPr>
                <w:b/>
                <w:bCs/>
                <w:color w:val="auto"/>
                <w:sz w:val="20"/>
                <w:szCs w:val="20"/>
              </w:rPr>
              <w:t>Indisponibilidad del recurso humano</w:t>
            </w:r>
          </w:p>
        </w:tc>
        <w:tc>
          <w:tcPr>
            <w:tcW w:w="1982" w:type="dxa"/>
            <w:shd w:val="clear" w:color="auto" w:fill="auto"/>
            <w:vAlign w:val="center"/>
          </w:tcPr>
          <w:p w14:paraId="69491B92" w14:textId="77777777" w:rsidR="00150499" w:rsidRPr="00A955C7" w:rsidRDefault="00A86341" w:rsidP="005743A6">
            <w:pPr>
              <w:spacing w:after="0" w:line="240" w:lineRule="auto"/>
              <w:ind w:left="0" w:right="96" w:firstLine="0"/>
              <w:rPr>
                <w:b/>
                <w:bCs/>
                <w:color w:val="auto"/>
                <w:sz w:val="20"/>
                <w:szCs w:val="20"/>
              </w:rPr>
            </w:pPr>
            <w:r w:rsidRPr="00A955C7">
              <w:rPr>
                <w:b/>
                <w:bCs/>
                <w:color w:val="auto"/>
                <w:sz w:val="20"/>
                <w:szCs w:val="20"/>
              </w:rPr>
              <w:t>Fuentes</w:t>
            </w:r>
            <w:r w:rsidR="00150499" w:rsidRPr="00A955C7">
              <w:rPr>
                <w:b/>
                <w:bCs/>
                <w:color w:val="auto"/>
                <w:sz w:val="20"/>
                <w:szCs w:val="20"/>
              </w:rPr>
              <w:t xml:space="preserve"> </w:t>
            </w:r>
          </w:p>
          <w:p w14:paraId="777BDFE1" w14:textId="5C7AACEE" w:rsidR="00A86341" w:rsidRPr="00A955C7" w:rsidRDefault="00150499" w:rsidP="005743A6">
            <w:pPr>
              <w:spacing w:after="0" w:line="240" w:lineRule="auto"/>
              <w:ind w:left="0" w:right="96" w:firstLine="0"/>
              <w:rPr>
                <w:b/>
                <w:bCs/>
                <w:color w:val="auto"/>
                <w:sz w:val="20"/>
                <w:szCs w:val="20"/>
              </w:rPr>
            </w:pPr>
            <w:r w:rsidRPr="00A955C7">
              <w:rPr>
                <w:color w:val="auto"/>
                <w:sz w:val="20"/>
                <w:szCs w:val="20"/>
              </w:rPr>
              <w:t>(a prevenir)</w:t>
            </w:r>
          </w:p>
        </w:tc>
        <w:tc>
          <w:tcPr>
            <w:tcW w:w="3830" w:type="dxa"/>
            <w:shd w:val="clear" w:color="auto" w:fill="auto"/>
            <w:vAlign w:val="center"/>
          </w:tcPr>
          <w:p w14:paraId="6648BE9C" w14:textId="77777777" w:rsidR="00A86341" w:rsidRPr="00A955C7" w:rsidRDefault="00A86341" w:rsidP="005743A6">
            <w:pPr>
              <w:spacing w:after="0" w:line="240" w:lineRule="auto"/>
              <w:ind w:left="0" w:right="96" w:firstLine="0"/>
              <w:jc w:val="center"/>
              <w:rPr>
                <w:b/>
                <w:bCs/>
                <w:color w:val="auto"/>
                <w:sz w:val="20"/>
                <w:szCs w:val="20"/>
              </w:rPr>
            </w:pPr>
          </w:p>
        </w:tc>
        <w:tc>
          <w:tcPr>
            <w:tcW w:w="1739" w:type="dxa"/>
            <w:shd w:val="clear" w:color="auto" w:fill="auto"/>
            <w:vAlign w:val="center"/>
          </w:tcPr>
          <w:p w14:paraId="0FC55AE4" w14:textId="77777777" w:rsidR="00A86341" w:rsidRPr="00A955C7" w:rsidRDefault="00A86341" w:rsidP="005743A6">
            <w:pPr>
              <w:spacing w:after="0" w:line="240" w:lineRule="auto"/>
              <w:ind w:left="0" w:right="96" w:firstLine="0"/>
              <w:jc w:val="center"/>
              <w:rPr>
                <w:b/>
                <w:bCs/>
                <w:color w:val="auto"/>
                <w:sz w:val="20"/>
                <w:szCs w:val="20"/>
              </w:rPr>
            </w:pPr>
          </w:p>
        </w:tc>
      </w:tr>
      <w:tr w:rsidR="00FA3F6B" w:rsidRPr="00A955C7" w14:paraId="203EC3FB" w14:textId="77777777" w:rsidTr="00532C4C">
        <w:trPr>
          <w:tblHeader/>
        </w:trPr>
        <w:tc>
          <w:tcPr>
            <w:tcW w:w="1846" w:type="dxa"/>
            <w:vMerge/>
            <w:shd w:val="clear" w:color="auto" w:fill="auto"/>
            <w:vAlign w:val="center"/>
          </w:tcPr>
          <w:p w14:paraId="26C812FA" w14:textId="42C2A23B" w:rsidR="00A86341" w:rsidRPr="00A955C7" w:rsidRDefault="00A86341" w:rsidP="005743A6">
            <w:pPr>
              <w:spacing w:after="0" w:line="240" w:lineRule="auto"/>
              <w:ind w:left="0" w:right="96" w:firstLine="0"/>
              <w:rPr>
                <w:color w:val="auto"/>
                <w:sz w:val="20"/>
                <w:szCs w:val="20"/>
              </w:rPr>
            </w:pPr>
          </w:p>
        </w:tc>
        <w:tc>
          <w:tcPr>
            <w:tcW w:w="1982" w:type="dxa"/>
            <w:shd w:val="clear" w:color="auto" w:fill="auto"/>
            <w:vAlign w:val="center"/>
          </w:tcPr>
          <w:p w14:paraId="6EBE2382" w14:textId="77777777" w:rsidR="00A86341" w:rsidRPr="00A955C7" w:rsidRDefault="00A86341" w:rsidP="005743A6">
            <w:pPr>
              <w:spacing w:after="0" w:line="240" w:lineRule="auto"/>
              <w:ind w:left="0" w:right="96" w:firstLine="0"/>
              <w:rPr>
                <w:b/>
                <w:bCs/>
                <w:color w:val="auto"/>
                <w:sz w:val="20"/>
                <w:szCs w:val="20"/>
              </w:rPr>
            </w:pPr>
          </w:p>
          <w:p w14:paraId="378060D1" w14:textId="77777777" w:rsidR="00A86341" w:rsidRPr="00A955C7" w:rsidRDefault="00A86341" w:rsidP="005743A6">
            <w:pPr>
              <w:spacing w:after="0" w:line="240" w:lineRule="auto"/>
              <w:ind w:left="0" w:right="96" w:firstLine="0"/>
              <w:rPr>
                <w:b/>
                <w:bCs/>
                <w:color w:val="auto"/>
                <w:sz w:val="20"/>
                <w:szCs w:val="20"/>
              </w:rPr>
            </w:pPr>
          </w:p>
          <w:p w14:paraId="2835EDD5" w14:textId="0F652D1D" w:rsidR="00A86341" w:rsidRPr="00A955C7" w:rsidRDefault="00A86341" w:rsidP="005743A6">
            <w:pPr>
              <w:spacing w:after="0" w:line="240" w:lineRule="auto"/>
              <w:ind w:left="0" w:right="96" w:firstLine="0"/>
              <w:rPr>
                <w:b/>
                <w:bCs/>
                <w:color w:val="auto"/>
                <w:sz w:val="20"/>
                <w:szCs w:val="20"/>
              </w:rPr>
            </w:pPr>
            <w:r w:rsidRPr="00A955C7">
              <w:rPr>
                <w:b/>
                <w:bCs/>
                <w:color w:val="auto"/>
                <w:sz w:val="20"/>
                <w:szCs w:val="20"/>
              </w:rPr>
              <w:t>Factor externo (FE):</w:t>
            </w:r>
          </w:p>
          <w:p w14:paraId="289E3766" w14:textId="77777777" w:rsidR="00A86341" w:rsidRPr="00A955C7" w:rsidRDefault="00A86341" w:rsidP="005743A6">
            <w:pPr>
              <w:spacing w:after="0" w:line="240" w:lineRule="auto"/>
              <w:ind w:left="0" w:right="96" w:firstLine="0"/>
              <w:rPr>
                <w:b/>
                <w:bCs/>
                <w:color w:val="auto"/>
                <w:sz w:val="20"/>
                <w:szCs w:val="20"/>
              </w:rPr>
            </w:pPr>
          </w:p>
          <w:p w14:paraId="59498058" w14:textId="7D9C98E0" w:rsidR="00A86341" w:rsidRPr="00A955C7" w:rsidRDefault="006A2F07" w:rsidP="005743A6">
            <w:pPr>
              <w:spacing w:after="0" w:line="240" w:lineRule="auto"/>
              <w:ind w:left="0" w:right="96" w:firstLine="0"/>
              <w:rPr>
                <w:color w:val="auto"/>
                <w:sz w:val="20"/>
                <w:szCs w:val="20"/>
              </w:rPr>
            </w:pPr>
            <w:r w:rsidRPr="00A955C7">
              <w:rPr>
                <w:color w:val="auto"/>
                <w:sz w:val="20"/>
                <w:szCs w:val="20"/>
              </w:rPr>
              <w:t>Enfermedades contagiosas</w:t>
            </w:r>
            <w:r w:rsidR="00A86341" w:rsidRPr="00A955C7">
              <w:rPr>
                <w:color w:val="auto"/>
                <w:sz w:val="20"/>
                <w:szCs w:val="20"/>
              </w:rPr>
              <w:t>.</w:t>
            </w:r>
          </w:p>
          <w:p w14:paraId="6C1F417C" w14:textId="18BF3AD5" w:rsidR="00A86341" w:rsidRPr="00A955C7" w:rsidRDefault="00A86341" w:rsidP="005743A6">
            <w:pPr>
              <w:spacing w:after="0" w:line="240" w:lineRule="auto"/>
              <w:ind w:left="0" w:right="96" w:firstLine="0"/>
              <w:rPr>
                <w:color w:val="auto"/>
                <w:sz w:val="20"/>
                <w:szCs w:val="20"/>
              </w:rPr>
            </w:pPr>
            <w:r w:rsidRPr="00A955C7">
              <w:rPr>
                <w:color w:val="auto"/>
                <w:sz w:val="20"/>
                <w:szCs w:val="20"/>
              </w:rPr>
              <w:t xml:space="preserve">  </w:t>
            </w:r>
          </w:p>
          <w:p w14:paraId="648CC71A" w14:textId="3FACD3EC" w:rsidR="00A86341" w:rsidRPr="00A955C7" w:rsidRDefault="00A86341" w:rsidP="005743A6">
            <w:pPr>
              <w:spacing w:after="0" w:line="240" w:lineRule="auto"/>
              <w:ind w:left="0" w:right="96" w:firstLine="0"/>
              <w:rPr>
                <w:color w:val="auto"/>
                <w:sz w:val="20"/>
                <w:szCs w:val="20"/>
              </w:rPr>
            </w:pPr>
          </w:p>
        </w:tc>
        <w:tc>
          <w:tcPr>
            <w:tcW w:w="3830" w:type="dxa"/>
            <w:shd w:val="clear" w:color="auto" w:fill="auto"/>
            <w:vAlign w:val="center"/>
          </w:tcPr>
          <w:p w14:paraId="26ECFE58" w14:textId="77777777" w:rsidR="00A86341" w:rsidRPr="00A955C7" w:rsidRDefault="00FF1867" w:rsidP="00FF1867">
            <w:pPr>
              <w:spacing w:after="0" w:line="240" w:lineRule="auto"/>
              <w:ind w:right="96"/>
              <w:rPr>
                <w:b/>
                <w:bCs/>
                <w:color w:val="auto"/>
                <w:sz w:val="20"/>
                <w:szCs w:val="20"/>
              </w:rPr>
            </w:pPr>
            <w:r w:rsidRPr="00A955C7">
              <w:rPr>
                <w:b/>
                <w:bCs/>
                <w:color w:val="auto"/>
                <w:sz w:val="20"/>
                <w:szCs w:val="20"/>
              </w:rPr>
              <w:t xml:space="preserve">Prevenir: </w:t>
            </w:r>
          </w:p>
          <w:p w14:paraId="19B6C484" w14:textId="77777777" w:rsidR="00FF1867" w:rsidRPr="00A955C7" w:rsidRDefault="00FF1867" w:rsidP="00226479">
            <w:pPr>
              <w:pStyle w:val="Prrafodelista"/>
              <w:numPr>
                <w:ilvl w:val="0"/>
                <w:numId w:val="3"/>
              </w:numPr>
              <w:spacing w:after="0" w:line="240" w:lineRule="auto"/>
              <w:ind w:left="262" w:right="96" w:hanging="262"/>
              <w:rPr>
                <w:b/>
                <w:bCs/>
                <w:color w:val="auto"/>
                <w:sz w:val="20"/>
                <w:szCs w:val="20"/>
              </w:rPr>
            </w:pPr>
            <w:r w:rsidRPr="00A955C7">
              <w:rPr>
                <w:color w:val="auto"/>
                <w:sz w:val="20"/>
                <w:szCs w:val="20"/>
              </w:rPr>
              <w:t xml:space="preserve">Aplicar medidas sanitarias para evitar contagios. </w:t>
            </w:r>
          </w:p>
          <w:p w14:paraId="07BF18D3" w14:textId="50542102" w:rsidR="009E65AA" w:rsidRPr="00A955C7" w:rsidRDefault="009E65AA"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 xml:space="preserve">Elaborar protocolos para atender situaciones de urgencia sanitaria. </w:t>
            </w:r>
          </w:p>
        </w:tc>
        <w:tc>
          <w:tcPr>
            <w:tcW w:w="1739" w:type="dxa"/>
            <w:shd w:val="clear" w:color="auto" w:fill="auto"/>
            <w:vAlign w:val="center"/>
          </w:tcPr>
          <w:p w14:paraId="49280B1A" w14:textId="2478D396" w:rsidR="00A86341" w:rsidRPr="00A955C7" w:rsidRDefault="00A86341" w:rsidP="005743A6">
            <w:pPr>
              <w:spacing w:after="0" w:line="240" w:lineRule="auto"/>
              <w:ind w:left="0" w:right="96" w:firstLine="0"/>
              <w:rPr>
                <w:color w:val="auto"/>
                <w:sz w:val="20"/>
                <w:szCs w:val="20"/>
              </w:rPr>
            </w:pPr>
            <w:r w:rsidRPr="00A955C7">
              <w:rPr>
                <w:color w:val="auto"/>
                <w:sz w:val="20"/>
                <w:szCs w:val="20"/>
              </w:rPr>
              <w:t>Jefatura de la oficina</w:t>
            </w:r>
            <w:r w:rsidR="00150499" w:rsidRPr="00A955C7">
              <w:rPr>
                <w:color w:val="auto"/>
                <w:sz w:val="20"/>
                <w:szCs w:val="20"/>
              </w:rPr>
              <w:t xml:space="preserve">. </w:t>
            </w:r>
          </w:p>
        </w:tc>
      </w:tr>
      <w:tr w:rsidR="00FA3F6B" w:rsidRPr="00A955C7" w14:paraId="62516F03" w14:textId="77777777" w:rsidTr="00532C4C">
        <w:trPr>
          <w:tblHeader/>
        </w:trPr>
        <w:tc>
          <w:tcPr>
            <w:tcW w:w="1846" w:type="dxa"/>
            <w:vMerge/>
            <w:shd w:val="clear" w:color="auto" w:fill="auto"/>
            <w:vAlign w:val="center"/>
          </w:tcPr>
          <w:p w14:paraId="2AC44D98" w14:textId="77777777" w:rsidR="00A86341" w:rsidRPr="00A955C7" w:rsidRDefault="00A86341" w:rsidP="005743A6">
            <w:pPr>
              <w:spacing w:after="0" w:line="240" w:lineRule="auto"/>
              <w:ind w:left="0" w:right="96" w:firstLine="0"/>
              <w:rPr>
                <w:color w:val="auto"/>
                <w:sz w:val="20"/>
                <w:szCs w:val="20"/>
              </w:rPr>
            </w:pPr>
          </w:p>
        </w:tc>
        <w:tc>
          <w:tcPr>
            <w:tcW w:w="1982" w:type="dxa"/>
            <w:shd w:val="clear" w:color="auto" w:fill="auto"/>
            <w:vAlign w:val="center"/>
          </w:tcPr>
          <w:p w14:paraId="644AEC35" w14:textId="58C01A4C" w:rsidR="00A86341" w:rsidRPr="00A955C7" w:rsidRDefault="00A86341" w:rsidP="005743A6">
            <w:pPr>
              <w:spacing w:after="0" w:line="240" w:lineRule="auto"/>
              <w:ind w:left="0" w:right="96" w:firstLine="0"/>
              <w:rPr>
                <w:b/>
                <w:bCs/>
                <w:color w:val="auto"/>
                <w:sz w:val="20"/>
                <w:szCs w:val="20"/>
              </w:rPr>
            </w:pPr>
            <w:r w:rsidRPr="00A955C7">
              <w:rPr>
                <w:b/>
                <w:bCs/>
                <w:color w:val="auto"/>
                <w:sz w:val="20"/>
                <w:szCs w:val="20"/>
              </w:rPr>
              <w:t>Factor Humano (FH):</w:t>
            </w:r>
          </w:p>
          <w:p w14:paraId="5CBDB212" w14:textId="77777777" w:rsidR="00A86341" w:rsidRPr="00A955C7" w:rsidRDefault="00A86341" w:rsidP="005743A6">
            <w:pPr>
              <w:spacing w:after="0" w:line="240" w:lineRule="auto"/>
              <w:ind w:left="0" w:right="96" w:firstLine="0"/>
              <w:rPr>
                <w:b/>
                <w:bCs/>
                <w:color w:val="auto"/>
                <w:sz w:val="20"/>
                <w:szCs w:val="20"/>
              </w:rPr>
            </w:pPr>
          </w:p>
          <w:p w14:paraId="47E17A97" w14:textId="5D42839D" w:rsidR="00A86341" w:rsidRPr="00A955C7" w:rsidRDefault="00961580" w:rsidP="005743A6">
            <w:pPr>
              <w:spacing w:after="0" w:line="240" w:lineRule="auto"/>
              <w:ind w:left="0" w:right="96" w:firstLine="0"/>
              <w:rPr>
                <w:b/>
                <w:bCs/>
                <w:color w:val="auto"/>
                <w:sz w:val="20"/>
                <w:szCs w:val="20"/>
              </w:rPr>
            </w:pPr>
            <w:r w:rsidRPr="00A955C7">
              <w:rPr>
                <w:color w:val="auto"/>
                <w:sz w:val="20"/>
                <w:szCs w:val="20"/>
              </w:rPr>
              <w:t>Enfermedad</w:t>
            </w:r>
            <w:r w:rsidR="00A86341" w:rsidRPr="00A955C7">
              <w:rPr>
                <w:color w:val="auto"/>
                <w:sz w:val="20"/>
                <w:szCs w:val="20"/>
              </w:rPr>
              <w:t xml:space="preserve"> del personal </w:t>
            </w:r>
            <w:r w:rsidR="002347BB" w:rsidRPr="00A955C7">
              <w:rPr>
                <w:color w:val="auto"/>
                <w:sz w:val="20"/>
                <w:szCs w:val="20"/>
              </w:rPr>
              <w:t>capacitado o especializado</w:t>
            </w:r>
            <w:r w:rsidR="00A86341" w:rsidRPr="00A955C7">
              <w:rPr>
                <w:color w:val="auto"/>
                <w:sz w:val="20"/>
                <w:szCs w:val="20"/>
              </w:rPr>
              <w:t>.</w:t>
            </w:r>
          </w:p>
        </w:tc>
        <w:tc>
          <w:tcPr>
            <w:tcW w:w="3830" w:type="dxa"/>
            <w:shd w:val="clear" w:color="auto" w:fill="auto"/>
            <w:vAlign w:val="center"/>
          </w:tcPr>
          <w:p w14:paraId="67B38565" w14:textId="77777777" w:rsidR="00CE0CB9" w:rsidRPr="00A955C7" w:rsidRDefault="00CE0CB9" w:rsidP="00CE0CB9">
            <w:pPr>
              <w:spacing w:after="0" w:line="240" w:lineRule="auto"/>
              <w:ind w:left="0" w:right="96" w:firstLine="0"/>
              <w:rPr>
                <w:b/>
                <w:bCs/>
                <w:color w:val="auto"/>
                <w:sz w:val="20"/>
                <w:szCs w:val="20"/>
              </w:rPr>
            </w:pPr>
            <w:r w:rsidRPr="00A955C7">
              <w:rPr>
                <w:b/>
                <w:bCs/>
                <w:color w:val="auto"/>
                <w:sz w:val="20"/>
                <w:szCs w:val="20"/>
              </w:rPr>
              <w:t xml:space="preserve">Prevenir: </w:t>
            </w:r>
          </w:p>
          <w:p w14:paraId="6D1166A1" w14:textId="77777777" w:rsidR="00CE0CB9" w:rsidRPr="00A955C7" w:rsidRDefault="00CE0CB9"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 xml:space="preserve">Capacitar al personal para que asuma diferentes funciones. </w:t>
            </w:r>
          </w:p>
          <w:p w14:paraId="4F9B20C1" w14:textId="15B9301A" w:rsidR="00CE0CB9" w:rsidRPr="00A955C7" w:rsidRDefault="00CE0CB9"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Rotar funciones</w:t>
            </w:r>
            <w:r w:rsidR="00FF1867" w:rsidRPr="00A955C7">
              <w:rPr>
                <w:color w:val="auto"/>
                <w:sz w:val="20"/>
                <w:szCs w:val="20"/>
              </w:rPr>
              <w:t xml:space="preserve"> para que el personal conozca los diferentes puestos</w:t>
            </w:r>
            <w:r w:rsidRPr="00A955C7">
              <w:rPr>
                <w:color w:val="auto"/>
                <w:sz w:val="20"/>
                <w:szCs w:val="20"/>
              </w:rPr>
              <w:t xml:space="preserve">. </w:t>
            </w:r>
          </w:p>
          <w:p w14:paraId="0D44661B" w14:textId="77777777" w:rsidR="00CE0CB9" w:rsidRPr="00A955C7" w:rsidRDefault="00CE0CB9"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Documentar procedimientos de trabajo y socializarlos con el personal.</w:t>
            </w:r>
          </w:p>
          <w:p w14:paraId="645AFC98" w14:textId="77777777" w:rsidR="00961580" w:rsidRPr="00A955C7" w:rsidRDefault="00CE0CB9"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lastRenderedPageBreak/>
              <w:t>Establecer procedimiento para sustitución del personal.</w:t>
            </w:r>
          </w:p>
          <w:p w14:paraId="3028C4F1" w14:textId="2B1C220E" w:rsidR="00A86341" w:rsidRPr="00A955C7" w:rsidRDefault="00532C4C"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Elaborar procedimientos</w:t>
            </w:r>
            <w:r w:rsidR="00961580" w:rsidRPr="00A955C7">
              <w:rPr>
                <w:color w:val="auto"/>
                <w:sz w:val="20"/>
                <w:szCs w:val="20"/>
              </w:rPr>
              <w:t xml:space="preserve"> de continuidad para atender los procesos o servicios catalogados como críticos que se ven afectados por la ausencia del personal</w:t>
            </w:r>
            <w:r w:rsidR="009E65AA" w:rsidRPr="00A955C7">
              <w:rPr>
                <w:color w:val="auto"/>
                <w:sz w:val="20"/>
                <w:szCs w:val="20"/>
              </w:rPr>
              <w:t xml:space="preserve"> (puede implicar teletrabajo, refuerzo de personal de otras áreas o sedes, entre otras medidas)</w:t>
            </w:r>
            <w:r w:rsidR="00961580" w:rsidRPr="00A955C7">
              <w:rPr>
                <w:color w:val="auto"/>
                <w:sz w:val="20"/>
                <w:szCs w:val="20"/>
              </w:rPr>
              <w:t xml:space="preserve">. </w:t>
            </w:r>
          </w:p>
        </w:tc>
        <w:tc>
          <w:tcPr>
            <w:tcW w:w="1739" w:type="dxa"/>
            <w:shd w:val="clear" w:color="auto" w:fill="auto"/>
            <w:vAlign w:val="center"/>
          </w:tcPr>
          <w:p w14:paraId="271817AF" w14:textId="3AA6C0F7" w:rsidR="00A86341" w:rsidRPr="00A955C7" w:rsidRDefault="00150499" w:rsidP="005743A6">
            <w:pPr>
              <w:spacing w:after="0" w:line="240" w:lineRule="auto"/>
              <w:ind w:left="0" w:right="96" w:firstLine="0"/>
              <w:rPr>
                <w:color w:val="auto"/>
                <w:sz w:val="20"/>
                <w:szCs w:val="20"/>
              </w:rPr>
            </w:pPr>
            <w:r w:rsidRPr="00A955C7">
              <w:rPr>
                <w:color w:val="auto"/>
                <w:sz w:val="20"/>
                <w:szCs w:val="20"/>
              </w:rPr>
              <w:lastRenderedPageBreak/>
              <w:t>Jefatura de la oficina. Subjefatura o puesto de Coordinación.</w:t>
            </w:r>
          </w:p>
        </w:tc>
      </w:tr>
      <w:tr w:rsidR="00FA3F6B" w:rsidRPr="00A955C7" w14:paraId="6FC04E79" w14:textId="77777777" w:rsidTr="00532C4C">
        <w:trPr>
          <w:tblHeader/>
        </w:trPr>
        <w:tc>
          <w:tcPr>
            <w:tcW w:w="1846" w:type="dxa"/>
            <w:vMerge/>
            <w:shd w:val="clear" w:color="auto" w:fill="auto"/>
            <w:vAlign w:val="center"/>
          </w:tcPr>
          <w:p w14:paraId="2841FC19" w14:textId="77777777" w:rsidR="00A86341" w:rsidRPr="00A955C7" w:rsidRDefault="00A86341" w:rsidP="005743A6">
            <w:pPr>
              <w:spacing w:after="0" w:line="240" w:lineRule="auto"/>
              <w:ind w:left="0" w:right="96" w:firstLine="0"/>
              <w:rPr>
                <w:color w:val="auto"/>
                <w:sz w:val="20"/>
                <w:szCs w:val="20"/>
              </w:rPr>
            </w:pPr>
          </w:p>
        </w:tc>
        <w:tc>
          <w:tcPr>
            <w:tcW w:w="1982" w:type="dxa"/>
            <w:shd w:val="clear" w:color="auto" w:fill="auto"/>
            <w:vAlign w:val="center"/>
          </w:tcPr>
          <w:p w14:paraId="620B098F" w14:textId="77777777" w:rsidR="00150499" w:rsidRPr="00A955C7" w:rsidRDefault="00A86341" w:rsidP="00A86341">
            <w:pPr>
              <w:spacing w:after="0" w:line="240" w:lineRule="auto"/>
              <w:ind w:left="0" w:right="96" w:firstLine="0"/>
              <w:rPr>
                <w:b/>
                <w:bCs/>
                <w:color w:val="auto"/>
                <w:sz w:val="20"/>
                <w:szCs w:val="20"/>
              </w:rPr>
            </w:pPr>
            <w:r w:rsidRPr="00A955C7">
              <w:rPr>
                <w:b/>
                <w:bCs/>
                <w:color w:val="auto"/>
                <w:sz w:val="20"/>
                <w:szCs w:val="20"/>
              </w:rPr>
              <w:t>Controles</w:t>
            </w:r>
            <w:r w:rsidR="00254F35" w:rsidRPr="00A955C7">
              <w:rPr>
                <w:b/>
                <w:bCs/>
                <w:color w:val="auto"/>
                <w:sz w:val="20"/>
                <w:szCs w:val="20"/>
              </w:rPr>
              <w:t xml:space="preserve"> </w:t>
            </w:r>
          </w:p>
          <w:p w14:paraId="06711112" w14:textId="5F51D952" w:rsidR="00A86341" w:rsidRPr="00A955C7" w:rsidRDefault="00254F35" w:rsidP="00A86341">
            <w:pPr>
              <w:spacing w:after="0" w:line="240" w:lineRule="auto"/>
              <w:ind w:left="0" w:right="96" w:firstLine="0"/>
              <w:rPr>
                <w:b/>
                <w:bCs/>
                <w:color w:val="auto"/>
                <w:sz w:val="20"/>
                <w:szCs w:val="20"/>
              </w:rPr>
            </w:pPr>
            <w:r w:rsidRPr="00A955C7">
              <w:rPr>
                <w:color w:val="auto"/>
                <w:sz w:val="20"/>
                <w:szCs w:val="20"/>
              </w:rPr>
              <w:t>(a mejorar)</w:t>
            </w:r>
          </w:p>
        </w:tc>
        <w:tc>
          <w:tcPr>
            <w:tcW w:w="3830" w:type="dxa"/>
            <w:shd w:val="clear" w:color="auto" w:fill="auto"/>
            <w:vAlign w:val="center"/>
          </w:tcPr>
          <w:p w14:paraId="3AA885AE" w14:textId="02124B6C" w:rsidR="00FF1867" w:rsidRPr="00A955C7" w:rsidRDefault="00FF1867" w:rsidP="00150499">
            <w:pPr>
              <w:spacing w:after="0" w:line="240" w:lineRule="auto"/>
              <w:ind w:right="96"/>
              <w:rPr>
                <w:b/>
                <w:bCs/>
                <w:color w:val="auto"/>
                <w:sz w:val="20"/>
                <w:szCs w:val="20"/>
              </w:rPr>
            </w:pPr>
          </w:p>
        </w:tc>
        <w:tc>
          <w:tcPr>
            <w:tcW w:w="1739" w:type="dxa"/>
            <w:shd w:val="clear" w:color="auto" w:fill="auto"/>
            <w:vAlign w:val="center"/>
          </w:tcPr>
          <w:p w14:paraId="6E1D2924" w14:textId="2278744C" w:rsidR="00A86341" w:rsidRPr="00A955C7" w:rsidRDefault="00A86341" w:rsidP="005743A6">
            <w:pPr>
              <w:spacing w:after="0" w:line="240" w:lineRule="auto"/>
              <w:ind w:left="0" w:right="96" w:firstLine="0"/>
              <w:rPr>
                <w:color w:val="auto"/>
                <w:sz w:val="20"/>
                <w:szCs w:val="20"/>
              </w:rPr>
            </w:pPr>
          </w:p>
        </w:tc>
      </w:tr>
      <w:tr w:rsidR="00FA3F6B" w:rsidRPr="00A955C7" w14:paraId="2A227E6D" w14:textId="77777777" w:rsidTr="00532C4C">
        <w:trPr>
          <w:tblHeader/>
        </w:trPr>
        <w:tc>
          <w:tcPr>
            <w:tcW w:w="1846" w:type="dxa"/>
            <w:vMerge/>
            <w:shd w:val="clear" w:color="auto" w:fill="auto"/>
            <w:vAlign w:val="center"/>
          </w:tcPr>
          <w:p w14:paraId="567B41F8"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519EBADB" w14:textId="1ABC816E" w:rsidR="00150499" w:rsidRPr="00A955C7" w:rsidRDefault="00150499" w:rsidP="00150499">
            <w:pPr>
              <w:spacing w:after="0" w:line="240" w:lineRule="auto"/>
              <w:ind w:left="0" w:right="96" w:firstLine="0"/>
              <w:rPr>
                <w:b/>
                <w:bCs/>
                <w:color w:val="auto"/>
                <w:sz w:val="20"/>
                <w:szCs w:val="20"/>
              </w:rPr>
            </w:pPr>
          </w:p>
        </w:tc>
        <w:tc>
          <w:tcPr>
            <w:tcW w:w="3830" w:type="dxa"/>
            <w:shd w:val="clear" w:color="auto" w:fill="auto"/>
            <w:vAlign w:val="center"/>
          </w:tcPr>
          <w:p w14:paraId="5E9F64E5" w14:textId="456D5DFB" w:rsidR="00150499" w:rsidRPr="00A955C7" w:rsidRDefault="00A955C7" w:rsidP="00226479">
            <w:pPr>
              <w:pStyle w:val="Prrafodelista"/>
              <w:numPr>
                <w:ilvl w:val="0"/>
                <w:numId w:val="4"/>
              </w:numPr>
              <w:spacing w:after="0" w:line="240" w:lineRule="auto"/>
              <w:ind w:left="262" w:right="96" w:hanging="262"/>
              <w:rPr>
                <w:color w:val="auto"/>
                <w:sz w:val="20"/>
                <w:szCs w:val="20"/>
              </w:rPr>
            </w:pPr>
            <w:r w:rsidRPr="00A955C7">
              <w:rPr>
                <w:color w:val="auto"/>
                <w:sz w:val="20"/>
                <w:szCs w:val="20"/>
              </w:rPr>
              <w:t>Actualización periódica de los manuales o procedimientos</w:t>
            </w:r>
            <w:r w:rsidR="00150499" w:rsidRPr="00A955C7">
              <w:rPr>
                <w:color w:val="auto"/>
                <w:sz w:val="20"/>
                <w:szCs w:val="20"/>
              </w:rPr>
              <w:t xml:space="preserve">. </w:t>
            </w:r>
          </w:p>
          <w:p w14:paraId="174FC0BD" w14:textId="691B1170" w:rsidR="00150499" w:rsidRPr="00A955C7" w:rsidRDefault="00A955C7" w:rsidP="00226479">
            <w:pPr>
              <w:pStyle w:val="Prrafodelista"/>
              <w:numPr>
                <w:ilvl w:val="0"/>
                <w:numId w:val="4"/>
              </w:numPr>
              <w:spacing w:after="0" w:line="240" w:lineRule="auto"/>
              <w:ind w:left="301" w:right="96" w:hanging="292"/>
              <w:rPr>
                <w:color w:val="auto"/>
                <w:sz w:val="20"/>
                <w:szCs w:val="20"/>
              </w:rPr>
            </w:pPr>
            <w:r w:rsidRPr="00A955C7">
              <w:rPr>
                <w:color w:val="auto"/>
                <w:sz w:val="20"/>
                <w:szCs w:val="20"/>
              </w:rPr>
              <w:t>P</w:t>
            </w:r>
            <w:r w:rsidR="00150499" w:rsidRPr="00A955C7">
              <w:rPr>
                <w:color w:val="auto"/>
                <w:sz w:val="20"/>
                <w:szCs w:val="20"/>
              </w:rPr>
              <w:t xml:space="preserve">rocedimientos de trabajo </w:t>
            </w:r>
            <w:r w:rsidRPr="00A955C7">
              <w:rPr>
                <w:color w:val="auto"/>
                <w:sz w:val="20"/>
                <w:szCs w:val="20"/>
              </w:rPr>
              <w:t xml:space="preserve">para los diferentes </w:t>
            </w:r>
            <w:r w:rsidR="00150499" w:rsidRPr="00A955C7">
              <w:rPr>
                <w:color w:val="auto"/>
                <w:sz w:val="20"/>
                <w:szCs w:val="20"/>
              </w:rPr>
              <w:t>puestos</w:t>
            </w:r>
            <w:r w:rsidRPr="00A955C7">
              <w:rPr>
                <w:color w:val="auto"/>
                <w:sz w:val="20"/>
                <w:szCs w:val="20"/>
              </w:rPr>
              <w:t xml:space="preserve"> actualizados</w:t>
            </w:r>
            <w:r w:rsidR="00150499" w:rsidRPr="00A955C7">
              <w:rPr>
                <w:color w:val="auto"/>
                <w:sz w:val="20"/>
                <w:szCs w:val="20"/>
              </w:rPr>
              <w:t>.</w:t>
            </w:r>
          </w:p>
          <w:p w14:paraId="517355C0" w14:textId="0099D253" w:rsidR="007B5853" w:rsidRPr="00A955C7" w:rsidRDefault="00A955C7" w:rsidP="00226479">
            <w:pPr>
              <w:pStyle w:val="Prrafodelista"/>
              <w:numPr>
                <w:ilvl w:val="0"/>
                <w:numId w:val="4"/>
              </w:numPr>
              <w:spacing w:after="0" w:line="240" w:lineRule="auto"/>
              <w:ind w:left="301" w:right="96" w:hanging="292"/>
              <w:rPr>
                <w:color w:val="auto"/>
                <w:sz w:val="20"/>
                <w:szCs w:val="20"/>
              </w:rPr>
            </w:pPr>
            <w:r w:rsidRPr="00A955C7">
              <w:rPr>
                <w:color w:val="auto"/>
                <w:sz w:val="20"/>
                <w:szCs w:val="20"/>
              </w:rPr>
              <w:t>V</w:t>
            </w:r>
            <w:r w:rsidR="00B15310" w:rsidRPr="00A955C7">
              <w:rPr>
                <w:color w:val="auto"/>
                <w:sz w:val="20"/>
                <w:szCs w:val="20"/>
              </w:rPr>
              <w:t xml:space="preserve">erificación de </w:t>
            </w:r>
            <w:r w:rsidRPr="00A955C7">
              <w:rPr>
                <w:color w:val="auto"/>
                <w:sz w:val="20"/>
                <w:szCs w:val="20"/>
              </w:rPr>
              <w:t xml:space="preserve">la </w:t>
            </w:r>
            <w:r w:rsidR="007B5853" w:rsidRPr="00A955C7">
              <w:rPr>
                <w:color w:val="auto"/>
                <w:sz w:val="20"/>
                <w:szCs w:val="20"/>
              </w:rPr>
              <w:t xml:space="preserve">aplicación y funcionalidad </w:t>
            </w:r>
            <w:r w:rsidRPr="00A955C7">
              <w:rPr>
                <w:color w:val="auto"/>
                <w:sz w:val="20"/>
                <w:szCs w:val="20"/>
              </w:rPr>
              <w:t xml:space="preserve">de los planes </w:t>
            </w:r>
            <w:r w:rsidR="007B5853" w:rsidRPr="00A955C7">
              <w:rPr>
                <w:color w:val="auto"/>
                <w:sz w:val="20"/>
                <w:szCs w:val="20"/>
              </w:rPr>
              <w:t>ante situaciones simuladas</w:t>
            </w:r>
            <w:r w:rsidRPr="00A955C7">
              <w:rPr>
                <w:color w:val="auto"/>
                <w:sz w:val="20"/>
                <w:szCs w:val="20"/>
              </w:rPr>
              <w:t xml:space="preserve"> (Pruebas y simulacros</w:t>
            </w:r>
            <w:r w:rsidR="00B15310" w:rsidRPr="00A955C7">
              <w:rPr>
                <w:color w:val="auto"/>
                <w:sz w:val="20"/>
                <w:szCs w:val="20"/>
              </w:rPr>
              <w:t>)</w:t>
            </w:r>
            <w:r w:rsidR="007B5853" w:rsidRPr="00A955C7">
              <w:rPr>
                <w:color w:val="auto"/>
                <w:sz w:val="20"/>
                <w:szCs w:val="20"/>
              </w:rPr>
              <w:t>.</w:t>
            </w:r>
          </w:p>
        </w:tc>
        <w:tc>
          <w:tcPr>
            <w:tcW w:w="1739" w:type="dxa"/>
            <w:shd w:val="clear" w:color="auto" w:fill="auto"/>
            <w:vAlign w:val="center"/>
          </w:tcPr>
          <w:p w14:paraId="50AD79B2" w14:textId="1019013F" w:rsidR="00150499" w:rsidRPr="00A955C7" w:rsidRDefault="00150499" w:rsidP="00150499">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23C35752" w14:textId="77777777" w:rsidTr="00532C4C">
        <w:trPr>
          <w:tblHeader/>
        </w:trPr>
        <w:tc>
          <w:tcPr>
            <w:tcW w:w="1846" w:type="dxa"/>
            <w:vMerge/>
            <w:shd w:val="clear" w:color="auto" w:fill="auto"/>
            <w:vAlign w:val="center"/>
          </w:tcPr>
          <w:p w14:paraId="45FC00D9"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5692F871" w14:textId="77777777" w:rsidR="00150499" w:rsidRPr="00A955C7" w:rsidRDefault="00150499" w:rsidP="00150499">
            <w:pPr>
              <w:spacing w:after="0" w:line="240" w:lineRule="auto"/>
              <w:ind w:left="0" w:right="96" w:firstLine="0"/>
              <w:rPr>
                <w:b/>
                <w:bCs/>
                <w:color w:val="auto"/>
                <w:sz w:val="20"/>
                <w:szCs w:val="20"/>
              </w:rPr>
            </w:pPr>
            <w:r w:rsidRPr="00A955C7">
              <w:rPr>
                <w:b/>
                <w:bCs/>
                <w:color w:val="auto"/>
                <w:sz w:val="20"/>
                <w:szCs w:val="20"/>
              </w:rPr>
              <w:t xml:space="preserve">Efectos </w:t>
            </w:r>
          </w:p>
          <w:p w14:paraId="6FB97153" w14:textId="2C6FC2DA" w:rsidR="00150499" w:rsidRPr="00A955C7" w:rsidRDefault="00150499" w:rsidP="00150499">
            <w:pPr>
              <w:spacing w:after="0" w:line="240" w:lineRule="auto"/>
              <w:ind w:left="0" w:right="96" w:firstLine="0"/>
              <w:rPr>
                <w:b/>
                <w:bCs/>
                <w:color w:val="auto"/>
                <w:sz w:val="20"/>
                <w:szCs w:val="20"/>
              </w:rPr>
            </w:pPr>
            <w:r w:rsidRPr="00A955C7">
              <w:rPr>
                <w:color w:val="auto"/>
                <w:sz w:val="20"/>
                <w:szCs w:val="20"/>
              </w:rPr>
              <w:t>(a mitigar)</w:t>
            </w:r>
          </w:p>
        </w:tc>
        <w:tc>
          <w:tcPr>
            <w:tcW w:w="3830" w:type="dxa"/>
            <w:shd w:val="clear" w:color="auto" w:fill="auto"/>
            <w:vAlign w:val="center"/>
          </w:tcPr>
          <w:p w14:paraId="383D7DF4" w14:textId="47E5E790" w:rsidR="00150499" w:rsidRPr="00A955C7" w:rsidRDefault="00150499" w:rsidP="00150499">
            <w:pPr>
              <w:spacing w:after="0" w:line="240" w:lineRule="auto"/>
              <w:ind w:left="0" w:right="96" w:firstLine="0"/>
              <w:rPr>
                <w:color w:val="auto"/>
                <w:sz w:val="20"/>
                <w:szCs w:val="20"/>
              </w:rPr>
            </w:pPr>
          </w:p>
        </w:tc>
        <w:tc>
          <w:tcPr>
            <w:tcW w:w="1739" w:type="dxa"/>
            <w:shd w:val="clear" w:color="auto" w:fill="auto"/>
            <w:vAlign w:val="center"/>
          </w:tcPr>
          <w:p w14:paraId="2A15DCC6" w14:textId="77777777" w:rsidR="00150499" w:rsidRPr="00A955C7" w:rsidRDefault="00150499" w:rsidP="00150499">
            <w:pPr>
              <w:spacing w:after="0" w:line="240" w:lineRule="auto"/>
              <w:ind w:left="0" w:right="96" w:firstLine="0"/>
              <w:rPr>
                <w:color w:val="auto"/>
                <w:sz w:val="20"/>
                <w:szCs w:val="20"/>
              </w:rPr>
            </w:pPr>
          </w:p>
        </w:tc>
      </w:tr>
      <w:tr w:rsidR="00FA3F6B" w:rsidRPr="00A955C7" w14:paraId="2829977A" w14:textId="77777777" w:rsidTr="00532C4C">
        <w:trPr>
          <w:tblHeader/>
        </w:trPr>
        <w:tc>
          <w:tcPr>
            <w:tcW w:w="1846" w:type="dxa"/>
            <w:vMerge/>
            <w:shd w:val="clear" w:color="auto" w:fill="auto"/>
            <w:vAlign w:val="center"/>
          </w:tcPr>
          <w:p w14:paraId="22F13E5D" w14:textId="1B3EDCDF"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0913BAE7" w14:textId="77777777" w:rsidR="00150499" w:rsidRPr="00A955C7" w:rsidRDefault="00150499" w:rsidP="00150499">
            <w:pPr>
              <w:spacing w:after="0" w:line="240" w:lineRule="auto"/>
              <w:ind w:left="0" w:right="96" w:firstLine="0"/>
              <w:rPr>
                <w:b/>
                <w:bCs/>
                <w:color w:val="auto"/>
                <w:sz w:val="20"/>
                <w:szCs w:val="20"/>
              </w:rPr>
            </w:pPr>
            <w:r w:rsidRPr="00A955C7">
              <w:rPr>
                <w:b/>
                <w:bCs/>
                <w:color w:val="auto"/>
                <w:sz w:val="20"/>
                <w:szCs w:val="20"/>
              </w:rPr>
              <w:t>Factor Humano (FH):</w:t>
            </w:r>
          </w:p>
          <w:p w14:paraId="1BF248E2" w14:textId="24DB30F1" w:rsidR="00150499" w:rsidRPr="00A955C7" w:rsidRDefault="00150499" w:rsidP="00150499">
            <w:pPr>
              <w:spacing w:after="0" w:line="240" w:lineRule="auto"/>
              <w:ind w:left="0" w:right="96" w:firstLine="0"/>
              <w:rPr>
                <w:color w:val="auto"/>
                <w:sz w:val="20"/>
                <w:szCs w:val="20"/>
              </w:rPr>
            </w:pPr>
            <w:r w:rsidRPr="00A955C7">
              <w:rPr>
                <w:color w:val="auto"/>
                <w:sz w:val="20"/>
                <w:szCs w:val="20"/>
              </w:rPr>
              <w:t>Ausencia del personal responsable a cargo de procesos o servicios críticos.</w:t>
            </w:r>
          </w:p>
        </w:tc>
        <w:tc>
          <w:tcPr>
            <w:tcW w:w="3830" w:type="dxa"/>
            <w:shd w:val="clear" w:color="auto" w:fill="auto"/>
            <w:vAlign w:val="center"/>
          </w:tcPr>
          <w:p w14:paraId="662DD0E2" w14:textId="77777777" w:rsidR="00150499" w:rsidRPr="00A955C7" w:rsidRDefault="00150499" w:rsidP="00150499">
            <w:pPr>
              <w:spacing w:after="0" w:line="240" w:lineRule="auto"/>
              <w:ind w:left="0" w:right="96" w:firstLine="0"/>
              <w:rPr>
                <w:b/>
                <w:bCs/>
                <w:color w:val="auto"/>
                <w:sz w:val="20"/>
                <w:szCs w:val="20"/>
              </w:rPr>
            </w:pPr>
            <w:r w:rsidRPr="00A955C7">
              <w:rPr>
                <w:b/>
                <w:bCs/>
                <w:color w:val="auto"/>
                <w:sz w:val="20"/>
                <w:szCs w:val="20"/>
              </w:rPr>
              <w:t>Mitigar</w:t>
            </w:r>
          </w:p>
          <w:p w14:paraId="418227BD" w14:textId="77777777" w:rsidR="009E65AA" w:rsidRPr="00A955C7" w:rsidRDefault="009E65AA"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 xml:space="preserve">Aplicar teletrabajo, como estrategia de continuidad del servicio. </w:t>
            </w:r>
          </w:p>
          <w:p w14:paraId="38E2CA70" w14:textId="393B5E9E" w:rsidR="00150499" w:rsidRPr="00A955C7" w:rsidRDefault="009E65AA" w:rsidP="00226479">
            <w:pPr>
              <w:pStyle w:val="Prrafodelista"/>
              <w:numPr>
                <w:ilvl w:val="0"/>
                <w:numId w:val="3"/>
              </w:numPr>
              <w:spacing w:after="0" w:line="240" w:lineRule="auto"/>
              <w:ind w:left="262" w:right="96" w:hanging="262"/>
              <w:rPr>
                <w:color w:val="auto"/>
                <w:sz w:val="20"/>
                <w:szCs w:val="20"/>
              </w:rPr>
            </w:pPr>
            <w:r w:rsidRPr="00A955C7">
              <w:rPr>
                <w:color w:val="auto"/>
                <w:sz w:val="20"/>
                <w:szCs w:val="20"/>
              </w:rPr>
              <w:t>Ejecutar</w:t>
            </w:r>
            <w:r w:rsidR="00961580" w:rsidRPr="00A955C7">
              <w:rPr>
                <w:color w:val="auto"/>
                <w:sz w:val="20"/>
                <w:szCs w:val="20"/>
              </w:rPr>
              <w:t xml:space="preserve"> los </w:t>
            </w:r>
            <w:r w:rsidR="00150499" w:rsidRPr="00A955C7">
              <w:rPr>
                <w:color w:val="auto"/>
                <w:sz w:val="20"/>
                <w:szCs w:val="20"/>
              </w:rPr>
              <w:t xml:space="preserve">procedimientos de continuidad </w:t>
            </w:r>
            <w:r w:rsidR="00961580" w:rsidRPr="00A955C7">
              <w:rPr>
                <w:color w:val="auto"/>
                <w:sz w:val="20"/>
                <w:szCs w:val="20"/>
              </w:rPr>
              <w:t>para atender los procesos o servicios catalogados como críticos que se ven afectados por la ausencia del</w:t>
            </w:r>
            <w:r w:rsidR="00150499" w:rsidRPr="00A955C7">
              <w:rPr>
                <w:color w:val="auto"/>
                <w:sz w:val="20"/>
                <w:szCs w:val="20"/>
              </w:rPr>
              <w:t xml:space="preserve"> personal.</w:t>
            </w:r>
          </w:p>
        </w:tc>
        <w:tc>
          <w:tcPr>
            <w:tcW w:w="1739" w:type="dxa"/>
            <w:shd w:val="clear" w:color="auto" w:fill="auto"/>
            <w:vAlign w:val="center"/>
          </w:tcPr>
          <w:p w14:paraId="6F7CF756" w14:textId="22800ADB" w:rsidR="00150499" w:rsidRPr="00A955C7" w:rsidRDefault="00A342BA" w:rsidP="00150499">
            <w:pPr>
              <w:spacing w:after="0" w:line="240" w:lineRule="auto"/>
              <w:ind w:left="0" w:right="96" w:firstLine="0"/>
              <w:rPr>
                <w:color w:val="auto"/>
                <w:sz w:val="20"/>
                <w:szCs w:val="20"/>
              </w:rPr>
            </w:pPr>
            <w:r w:rsidRPr="00A955C7">
              <w:rPr>
                <w:color w:val="auto"/>
                <w:sz w:val="20"/>
                <w:szCs w:val="20"/>
              </w:rPr>
              <w:t xml:space="preserve">Jefatura de la oficina y todo el personal del despacho. </w:t>
            </w:r>
          </w:p>
        </w:tc>
      </w:tr>
      <w:tr w:rsidR="00FA3F6B" w:rsidRPr="00A955C7" w14:paraId="0DB4B682" w14:textId="77777777" w:rsidTr="00532C4C">
        <w:trPr>
          <w:tblHeader/>
        </w:trPr>
        <w:tc>
          <w:tcPr>
            <w:tcW w:w="1846" w:type="dxa"/>
            <w:vMerge w:val="restart"/>
            <w:shd w:val="clear" w:color="auto" w:fill="auto"/>
            <w:vAlign w:val="center"/>
          </w:tcPr>
          <w:p w14:paraId="7B771D12" w14:textId="6F3BE006" w:rsidR="00150499" w:rsidRPr="00A955C7" w:rsidRDefault="00150499" w:rsidP="00150499">
            <w:pPr>
              <w:spacing w:after="0" w:line="240" w:lineRule="auto"/>
              <w:ind w:left="0" w:right="96"/>
              <w:rPr>
                <w:b/>
                <w:bCs/>
                <w:color w:val="auto"/>
                <w:sz w:val="20"/>
                <w:szCs w:val="20"/>
              </w:rPr>
            </w:pPr>
            <w:r w:rsidRPr="00A955C7">
              <w:rPr>
                <w:b/>
                <w:bCs/>
                <w:color w:val="auto"/>
                <w:sz w:val="20"/>
                <w:szCs w:val="20"/>
              </w:rPr>
              <w:t>Indisponibilidad tecnológica</w:t>
            </w:r>
            <w:r w:rsidR="00B15310" w:rsidRPr="00A955C7">
              <w:rPr>
                <w:b/>
                <w:bCs/>
                <w:color w:val="auto"/>
                <w:sz w:val="20"/>
                <w:szCs w:val="20"/>
              </w:rPr>
              <w:t xml:space="preserve"> total</w:t>
            </w:r>
          </w:p>
        </w:tc>
        <w:tc>
          <w:tcPr>
            <w:tcW w:w="1982" w:type="dxa"/>
            <w:shd w:val="clear" w:color="auto" w:fill="auto"/>
            <w:vAlign w:val="center"/>
          </w:tcPr>
          <w:p w14:paraId="23A343FC" w14:textId="211FB6A5" w:rsidR="00150499" w:rsidRPr="00A955C7" w:rsidRDefault="00150499" w:rsidP="00150499">
            <w:pPr>
              <w:spacing w:after="0" w:line="240" w:lineRule="auto"/>
              <w:ind w:left="0" w:right="96" w:firstLine="0"/>
              <w:rPr>
                <w:color w:val="auto"/>
                <w:sz w:val="20"/>
                <w:szCs w:val="20"/>
              </w:rPr>
            </w:pPr>
            <w:r w:rsidRPr="00A955C7">
              <w:rPr>
                <w:b/>
                <w:bCs/>
                <w:color w:val="auto"/>
                <w:sz w:val="20"/>
                <w:szCs w:val="20"/>
              </w:rPr>
              <w:t>Fuentes</w:t>
            </w:r>
          </w:p>
        </w:tc>
        <w:tc>
          <w:tcPr>
            <w:tcW w:w="3830" w:type="dxa"/>
            <w:shd w:val="clear" w:color="auto" w:fill="auto"/>
            <w:vAlign w:val="center"/>
          </w:tcPr>
          <w:p w14:paraId="4973EB8B" w14:textId="77777777" w:rsidR="00150499" w:rsidRPr="00A955C7" w:rsidRDefault="00150499" w:rsidP="00150499">
            <w:pPr>
              <w:spacing w:after="0" w:line="240" w:lineRule="auto"/>
              <w:ind w:left="0" w:right="96" w:firstLine="0"/>
              <w:rPr>
                <w:b/>
                <w:bCs/>
                <w:color w:val="auto"/>
                <w:sz w:val="20"/>
                <w:szCs w:val="20"/>
              </w:rPr>
            </w:pPr>
          </w:p>
        </w:tc>
        <w:tc>
          <w:tcPr>
            <w:tcW w:w="1739" w:type="dxa"/>
            <w:shd w:val="clear" w:color="auto" w:fill="auto"/>
            <w:vAlign w:val="center"/>
          </w:tcPr>
          <w:p w14:paraId="7F201AE5" w14:textId="77777777" w:rsidR="00150499" w:rsidRPr="00A955C7" w:rsidRDefault="00150499" w:rsidP="00150499">
            <w:pPr>
              <w:spacing w:after="0" w:line="240" w:lineRule="auto"/>
              <w:ind w:left="0" w:right="96" w:firstLine="0"/>
              <w:rPr>
                <w:color w:val="auto"/>
                <w:sz w:val="20"/>
                <w:szCs w:val="20"/>
              </w:rPr>
            </w:pPr>
          </w:p>
        </w:tc>
      </w:tr>
      <w:tr w:rsidR="00F803B5" w:rsidRPr="00A955C7" w14:paraId="5D004E1D" w14:textId="77777777" w:rsidTr="00532C4C">
        <w:trPr>
          <w:tblHeader/>
        </w:trPr>
        <w:tc>
          <w:tcPr>
            <w:tcW w:w="1846" w:type="dxa"/>
            <w:vMerge/>
            <w:shd w:val="clear" w:color="auto" w:fill="auto"/>
            <w:vAlign w:val="center"/>
          </w:tcPr>
          <w:p w14:paraId="72155DEB" w14:textId="77777777" w:rsidR="005760B8" w:rsidRPr="00A955C7" w:rsidRDefault="005760B8" w:rsidP="00150499">
            <w:pPr>
              <w:spacing w:after="0" w:line="240" w:lineRule="auto"/>
              <w:ind w:left="0" w:right="96"/>
              <w:rPr>
                <w:b/>
                <w:bCs/>
                <w:color w:val="auto"/>
                <w:sz w:val="20"/>
                <w:szCs w:val="20"/>
              </w:rPr>
            </w:pPr>
          </w:p>
        </w:tc>
        <w:tc>
          <w:tcPr>
            <w:tcW w:w="1982" w:type="dxa"/>
            <w:shd w:val="clear" w:color="auto" w:fill="auto"/>
            <w:vAlign w:val="center"/>
          </w:tcPr>
          <w:p w14:paraId="5B4AB4B5" w14:textId="77777777" w:rsidR="005760B8" w:rsidRPr="00A955C7" w:rsidRDefault="005760B8" w:rsidP="005760B8">
            <w:pPr>
              <w:spacing w:after="0" w:line="240" w:lineRule="auto"/>
              <w:ind w:left="0" w:right="96" w:firstLine="0"/>
              <w:rPr>
                <w:b/>
                <w:bCs/>
                <w:color w:val="auto"/>
                <w:sz w:val="20"/>
                <w:szCs w:val="20"/>
              </w:rPr>
            </w:pPr>
            <w:r w:rsidRPr="00A955C7">
              <w:rPr>
                <w:b/>
                <w:bCs/>
                <w:color w:val="auto"/>
                <w:sz w:val="20"/>
                <w:szCs w:val="20"/>
              </w:rPr>
              <w:t>Factor externo (FE):</w:t>
            </w:r>
          </w:p>
          <w:p w14:paraId="38C0F9D5" w14:textId="6F56D2CE" w:rsidR="005760B8" w:rsidRPr="00A955C7" w:rsidRDefault="005760B8" w:rsidP="002B5523">
            <w:pPr>
              <w:spacing w:after="0" w:line="240" w:lineRule="auto"/>
              <w:ind w:left="0" w:right="96" w:firstLine="0"/>
              <w:rPr>
                <w:b/>
                <w:bCs/>
                <w:color w:val="auto"/>
                <w:sz w:val="20"/>
                <w:szCs w:val="20"/>
              </w:rPr>
            </w:pPr>
            <w:r w:rsidRPr="00A955C7">
              <w:rPr>
                <w:color w:val="auto"/>
                <w:sz w:val="20"/>
                <w:szCs w:val="20"/>
              </w:rPr>
              <w:t>Ataque cibernético.</w:t>
            </w:r>
          </w:p>
        </w:tc>
        <w:tc>
          <w:tcPr>
            <w:tcW w:w="3830" w:type="dxa"/>
            <w:shd w:val="clear" w:color="auto" w:fill="auto"/>
            <w:vAlign w:val="center"/>
          </w:tcPr>
          <w:p w14:paraId="0960A395" w14:textId="77777777" w:rsidR="005760B8" w:rsidRPr="00A955C7" w:rsidRDefault="005760B8" w:rsidP="005760B8">
            <w:pPr>
              <w:spacing w:after="0" w:line="240" w:lineRule="auto"/>
              <w:ind w:left="0" w:right="96" w:firstLine="0"/>
              <w:rPr>
                <w:b/>
                <w:bCs/>
                <w:color w:val="auto"/>
                <w:sz w:val="20"/>
                <w:szCs w:val="20"/>
              </w:rPr>
            </w:pPr>
            <w:r w:rsidRPr="00A955C7">
              <w:rPr>
                <w:b/>
                <w:bCs/>
                <w:color w:val="auto"/>
                <w:sz w:val="20"/>
                <w:szCs w:val="20"/>
              </w:rPr>
              <w:t xml:space="preserve">Prevenir: </w:t>
            </w:r>
          </w:p>
          <w:p w14:paraId="5B704EDD" w14:textId="77777777" w:rsidR="005760B8" w:rsidRPr="00A955C7" w:rsidRDefault="005760B8"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y aplicar una política de respaldo de información crítica o esencial.</w:t>
            </w:r>
          </w:p>
          <w:p w14:paraId="7E8E55EA" w14:textId="6EDF7A4F" w:rsidR="005760B8" w:rsidRPr="00A955C7" w:rsidRDefault="005760B8"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Prever recursos necesarios para ejecutar procesos o servicios críticos, de manera manual (sin sistemas</w:t>
            </w:r>
            <w:r w:rsidR="002B5523" w:rsidRPr="00A955C7">
              <w:rPr>
                <w:color w:val="auto"/>
                <w:sz w:val="20"/>
                <w:szCs w:val="20"/>
              </w:rPr>
              <w:t xml:space="preserve"> ni equipos</w:t>
            </w:r>
            <w:r w:rsidRPr="00A955C7">
              <w:rPr>
                <w:color w:val="auto"/>
                <w:sz w:val="20"/>
                <w:szCs w:val="20"/>
              </w:rPr>
              <w:t>).</w:t>
            </w:r>
          </w:p>
          <w:p w14:paraId="3582E5D9" w14:textId="77777777" w:rsidR="005760B8" w:rsidRPr="00A955C7" w:rsidRDefault="005760B8"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planes de continuidad para la ejecución manual de los procesos o servicios críticos o indispensables.</w:t>
            </w:r>
          </w:p>
          <w:p w14:paraId="5E3D24C9" w14:textId="79B888C6" w:rsidR="005760B8" w:rsidRPr="00A955C7" w:rsidRDefault="005760B8" w:rsidP="00226479">
            <w:pPr>
              <w:pStyle w:val="Prrafodelista"/>
              <w:numPr>
                <w:ilvl w:val="0"/>
                <w:numId w:val="5"/>
              </w:numPr>
              <w:spacing w:after="0" w:line="240" w:lineRule="auto"/>
              <w:ind w:left="301" w:right="96" w:hanging="283"/>
              <w:rPr>
                <w:b/>
                <w:bCs/>
                <w:color w:val="auto"/>
                <w:sz w:val="20"/>
                <w:szCs w:val="20"/>
              </w:rPr>
            </w:pPr>
            <w:r w:rsidRPr="00A955C7">
              <w:rPr>
                <w:color w:val="auto"/>
                <w:sz w:val="20"/>
                <w:szCs w:val="20"/>
              </w:rPr>
              <w:t>Socializar con todo el personal los planes diseñados para la continuidad del servicio.</w:t>
            </w:r>
          </w:p>
        </w:tc>
        <w:tc>
          <w:tcPr>
            <w:tcW w:w="1739" w:type="dxa"/>
            <w:shd w:val="clear" w:color="auto" w:fill="auto"/>
            <w:vAlign w:val="center"/>
          </w:tcPr>
          <w:p w14:paraId="6AB92D00" w14:textId="3F6AEFBA" w:rsidR="005760B8" w:rsidRPr="00A955C7" w:rsidRDefault="00A342BA" w:rsidP="00150499">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4EF6AFBE" w14:textId="77777777" w:rsidTr="00532C4C">
        <w:trPr>
          <w:tblHeader/>
        </w:trPr>
        <w:tc>
          <w:tcPr>
            <w:tcW w:w="1846" w:type="dxa"/>
            <w:vMerge/>
            <w:shd w:val="clear" w:color="auto" w:fill="auto"/>
            <w:vAlign w:val="center"/>
          </w:tcPr>
          <w:p w14:paraId="6EEF4D13"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6D6CC344" w14:textId="58AE9289" w:rsidR="00150499" w:rsidRPr="00A955C7" w:rsidRDefault="00150499" w:rsidP="00150499">
            <w:pPr>
              <w:spacing w:after="0" w:line="240" w:lineRule="auto"/>
              <w:ind w:left="0" w:right="96" w:firstLine="0"/>
              <w:rPr>
                <w:b/>
                <w:bCs/>
                <w:color w:val="auto"/>
                <w:sz w:val="20"/>
                <w:szCs w:val="20"/>
              </w:rPr>
            </w:pPr>
            <w:r w:rsidRPr="00A955C7">
              <w:rPr>
                <w:b/>
                <w:bCs/>
                <w:color w:val="auto"/>
                <w:sz w:val="20"/>
                <w:szCs w:val="20"/>
              </w:rPr>
              <w:t>Controles</w:t>
            </w:r>
          </w:p>
        </w:tc>
        <w:tc>
          <w:tcPr>
            <w:tcW w:w="3830" w:type="dxa"/>
            <w:shd w:val="clear" w:color="auto" w:fill="auto"/>
            <w:vAlign w:val="center"/>
          </w:tcPr>
          <w:p w14:paraId="008C012B" w14:textId="77777777" w:rsidR="00150499" w:rsidRPr="00A955C7" w:rsidRDefault="00150499" w:rsidP="00150499">
            <w:pPr>
              <w:spacing w:after="0" w:line="240" w:lineRule="auto"/>
              <w:ind w:left="0" w:right="96" w:firstLine="0"/>
              <w:rPr>
                <w:color w:val="auto"/>
                <w:sz w:val="20"/>
                <w:szCs w:val="20"/>
              </w:rPr>
            </w:pPr>
          </w:p>
        </w:tc>
        <w:tc>
          <w:tcPr>
            <w:tcW w:w="1739" w:type="dxa"/>
            <w:shd w:val="clear" w:color="auto" w:fill="auto"/>
            <w:vAlign w:val="center"/>
          </w:tcPr>
          <w:p w14:paraId="16156CAC" w14:textId="77777777" w:rsidR="00150499" w:rsidRPr="00A955C7" w:rsidRDefault="00150499" w:rsidP="00150499">
            <w:pPr>
              <w:spacing w:after="0" w:line="240" w:lineRule="auto"/>
              <w:ind w:left="0" w:right="96" w:firstLine="0"/>
              <w:rPr>
                <w:color w:val="auto"/>
                <w:sz w:val="20"/>
                <w:szCs w:val="20"/>
              </w:rPr>
            </w:pPr>
          </w:p>
        </w:tc>
      </w:tr>
      <w:tr w:rsidR="00FA3F6B" w:rsidRPr="00A955C7" w14:paraId="11DA52CB" w14:textId="77777777" w:rsidTr="00532C4C">
        <w:trPr>
          <w:trHeight w:val="691"/>
          <w:tblHeader/>
        </w:trPr>
        <w:tc>
          <w:tcPr>
            <w:tcW w:w="1846" w:type="dxa"/>
            <w:vMerge/>
            <w:shd w:val="clear" w:color="auto" w:fill="auto"/>
            <w:vAlign w:val="center"/>
          </w:tcPr>
          <w:p w14:paraId="17DB28C9"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4DB852A1" w14:textId="77777777" w:rsidR="00150499" w:rsidRPr="00A955C7" w:rsidRDefault="00150499" w:rsidP="00150499">
            <w:pPr>
              <w:spacing w:after="0" w:line="240" w:lineRule="auto"/>
              <w:ind w:left="0" w:right="96" w:firstLine="0"/>
              <w:rPr>
                <w:b/>
                <w:bCs/>
                <w:color w:val="auto"/>
                <w:sz w:val="20"/>
                <w:szCs w:val="20"/>
              </w:rPr>
            </w:pPr>
          </w:p>
        </w:tc>
        <w:tc>
          <w:tcPr>
            <w:tcW w:w="3830" w:type="dxa"/>
            <w:shd w:val="clear" w:color="auto" w:fill="auto"/>
            <w:vAlign w:val="center"/>
          </w:tcPr>
          <w:p w14:paraId="517094E9" w14:textId="77777777" w:rsidR="005A4791" w:rsidRPr="005A4791" w:rsidRDefault="005A4791" w:rsidP="00226479">
            <w:pPr>
              <w:pStyle w:val="Prrafodelista"/>
              <w:numPr>
                <w:ilvl w:val="0"/>
                <w:numId w:val="4"/>
              </w:numPr>
              <w:spacing w:after="0" w:line="240" w:lineRule="auto"/>
              <w:ind w:left="317" w:right="96" w:hanging="284"/>
              <w:rPr>
                <w:color w:val="auto"/>
                <w:sz w:val="20"/>
                <w:szCs w:val="20"/>
              </w:rPr>
            </w:pPr>
            <w:r w:rsidRPr="005A4791">
              <w:rPr>
                <w:color w:val="auto"/>
                <w:sz w:val="20"/>
                <w:szCs w:val="20"/>
              </w:rPr>
              <w:t xml:space="preserve">Actualización periódica de los manuales o procedimientos. </w:t>
            </w:r>
          </w:p>
          <w:p w14:paraId="670DA015" w14:textId="77777777" w:rsidR="005A4791" w:rsidRPr="005A4791" w:rsidRDefault="005A4791" w:rsidP="00226479">
            <w:pPr>
              <w:pStyle w:val="Prrafodelista"/>
              <w:numPr>
                <w:ilvl w:val="0"/>
                <w:numId w:val="4"/>
              </w:numPr>
              <w:spacing w:after="0" w:line="240" w:lineRule="auto"/>
              <w:ind w:left="317" w:right="96" w:hanging="284"/>
              <w:rPr>
                <w:color w:val="auto"/>
                <w:sz w:val="20"/>
                <w:szCs w:val="20"/>
              </w:rPr>
            </w:pPr>
            <w:r w:rsidRPr="005A4791">
              <w:rPr>
                <w:color w:val="auto"/>
                <w:sz w:val="20"/>
                <w:szCs w:val="20"/>
              </w:rPr>
              <w:t>Procedimientos de trabajo para los diferentes puestos actualizados.</w:t>
            </w:r>
          </w:p>
          <w:p w14:paraId="3346B964" w14:textId="35C1AAF2" w:rsidR="00150499" w:rsidRPr="005A4791" w:rsidRDefault="005A4791" w:rsidP="00226479">
            <w:pPr>
              <w:pStyle w:val="Prrafodelista"/>
              <w:numPr>
                <w:ilvl w:val="0"/>
                <w:numId w:val="4"/>
              </w:numPr>
              <w:spacing w:after="0" w:line="240" w:lineRule="auto"/>
              <w:ind w:left="317" w:right="96" w:hanging="284"/>
              <w:rPr>
                <w:color w:val="auto"/>
                <w:sz w:val="20"/>
                <w:szCs w:val="20"/>
              </w:rPr>
            </w:pPr>
            <w:r w:rsidRPr="005A4791">
              <w:rPr>
                <w:color w:val="auto"/>
                <w:sz w:val="20"/>
                <w:szCs w:val="20"/>
              </w:rPr>
              <w:lastRenderedPageBreak/>
              <w:t>Verificación de la aplicación y funcionalidad de los planes ante situaciones simuladas (Pruebas y simulacros).</w:t>
            </w:r>
          </w:p>
        </w:tc>
        <w:tc>
          <w:tcPr>
            <w:tcW w:w="1739" w:type="dxa"/>
            <w:shd w:val="clear" w:color="auto" w:fill="auto"/>
            <w:vAlign w:val="center"/>
          </w:tcPr>
          <w:p w14:paraId="3B42EF12" w14:textId="047B98ED" w:rsidR="00150499" w:rsidRPr="00A955C7" w:rsidRDefault="00A342BA" w:rsidP="00150499">
            <w:pPr>
              <w:spacing w:after="0" w:line="240" w:lineRule="auto"/>
              <w:ind w:left="0" w:right="96" w:firstLine="0"/>
              <w:rPr>
                <w:color w:val="auto"/>
                <w:sz w:val="20"/>
                <w:szCs w:val="20"/>
              </w:rPr>
            </w:pPr>
            <w:r w:rsidRPr="00A955C7">
              <w:rPr>
                <w:color w:val="auto"/>
                <w:sz w:val="20"/>
                <w:szCs w:val="20"/>
              </w:rPr>
              <w:lastRenderedPageBreak/>
              <w:t>Jefatura de la oficina. Subjefatura o puesto de Coordinación.</w:t>
            </w:r>
          </w:p>
        </w:tc>
      </w:tr>
      <w:tr w:rsidR="00FA3F6B" w:rsidRPr="00A955C7" w14:paraId="79A80CB7" w14:textId="77777777" w:rsidTr="00532C4C">
        <w:trPr>
          <w:tblHeader/>
        </w:trPr>
        <w:tc>
          <w:tcPr>
            <w:tcW w:w="1846" w:type="dxa"/>
            <w:vMerge/>
            <w:shd w:val="clear" w:color="auto" w:fill="auto"/>
            <w:vAlign w:val="center"/>
          </w:tcPr>
          <w:p w14:paraId="3DF41C57"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58F01CB5" w14:textId="3C386D42" w:rsidR="00150499" w:rsidRPr="00A955C7" w:rsidRDefault="00150499" w:rsidP="00150499">
            <w:pPr>
              <w:spacing w:after="0" w:line="240" w:lineRule="auto"/>
              <w:ind w:left="0" w:right="96" w:firstLine="0"/>
              <w:rPr>
                <w:b/>
                <w:bCs/>
                <w:color w:val="auto"/>
                <w:sz w:val="20"/>
                <w:szCs w:val="20"/>
              </w:rPr>
            </w:pPr>
            <w:r w:rsidRPr="00A955C7">
              <w:rPr>
                <w:b/>
                <w:bCs/>
                <w:color w:val="auto"/>
                <w:sz w:val="20"/>
                <w:szCs w:val="20"/>
              </w:rPr>
              <w:t>Efectos</w:t>
            </w:r>
          </w:p>
        </w:tc>
        <w:tc>
          <w:tcPr>
            <w:tcW w:w="3830" w:type="dxa"/>
            <w:shd w:val="clear" w:color="auto" w:fill="auto"/>
            <w:vAlign w:val="center"/>
          </w:tcPr>
          <w:p w14:paraId="0E8A2333" w14:textId="77777777" w:rsidR="00150499" w:rsidRPr="00A955C7" w:rsidRDefault="00150499" w:rsidP="00150499">
            <w:pPr>
              <w:spacing w:after="0" w:line="240" w:lineRule="auto"/>
              <w:ind w:left="0" w:right="96" w:firstLine="0"/>
              <w:rPr>
                <w:color w:val="auto"/>
                <w:sz w:val="20"/>
                <w:szCs w:val="20"/>
              </w:rPr>
            </w:pPr>
          </w:p>
        </w:tc>
        <w:tc>
          <w:tcPr>
            <w:tcW w:w="1739" w:type="dxa"/>
            <w:shd w:val="clear" w:color="auto" w:fill="auto"/>
            <w:vAlign w:val="center"/>
          </w:tcPr>
          <w:p w14:paraId="64750E07" w14:textId="77777777" w:rsidR="00150499" w:rsidRPr="00A955C7" w:rsidRDefault="00150499" w:rsidP="00150499">
            <w:pPr>
              <w:spacing w:after="0" w:line="240" w:lineRule="auto"/>
              <w:ind w:left="0" w:right="96" w:firstLine="0"/>
              <w:rPr>
                <w:color w:val="auto"/>
                <w:sz w:val="20"/>
                <w:szCs w:val="20"/>
              </w:rPr>
            </w:pPr>
          </w:p>
        </w:tc>
      </w:tr>
      <w:tr w:rsidR="00FA3F6B" w:rsidRPr="00A955C7" w14:paraId="3F741F45" w14:textId="77777777" w:rsidTr="00532C4C">
        <w:trPr>
          <w:trHeight w:val="499"/>
          <w:tblHeader/>
        </w:trPr>
        <w:tc>
          <w:tcPr>
            <w:tcW w:w="1846" w:type="dxa"/>
            <w:vMerge/>
            <w:shd w:val="clear" w:color="auto" w:fill="auto"/>
            <w:vAlign w:val="center"/>
          </w:tcPr>
          <w:p w14:paraId="22A9FF6B" w14:textId="77777777" w:rsidR="00150499" w:rsidRPr="00A955C7" w:rsidRDefault="00150499" w:rsidP="00150499">
            <w:pPr>
              <w:spacing w:after="0" w:line="240" w:lineRule="auto"/>
              <w:ind w:left="0" w:right="96" w:firstLine="0"/>
              <w:rPr>
                <w:color w:val="auto"/>
                <w:sz w:val="20"/>
                <w:szCs w:val="20"/>
              </w:rPr>
            </w:pPr>
          </w:p>
        </w:tc>
        <w:tc>
          <w:tcPr>
            <w:tcW w:w="1982" w:type="dxa"/>
            <w:shd w:val="clear" w:color="auto" w:fill="auto"/>
            <w:vAlign w:val="center"/>
          </w:tcPr>
          <w:p w14:paraId="6EB85F0B" w14:textId="33065D27" w:rsidR="00150499" w:rsidRPr="00A955C7" w:rsidRDefault="00177BDF" w:rsidP="00150499">
            <w:pPr>
              <w:spacing w:after="0" w:line="240" w:lineRule="auto"/>
              <w:ind w:left="0" w:right="96" w:firstLine="0"/>
              <w:rPr>
                <w:color w:val="auto"/>
                <w:sz w:val="20"/>
                <w:szCs w:val="20"/>
              </w:rPr>
            </w:pPr>
            <w:r w:rsidRPr="00A955C7">
              <w:rPr>
                <w:color w:val="auto"/>
                <w:sz w:val="20"/>
                <w:szCs w:val="20"/>
              </w:rPr>
              <w:t xml:space="preserve">Imposibilidad de acceder a los equipos de cómputo </w:t>
            </w:r>
            <w:r w:rsidR="002B5523" w:rsidRPr="00A955C7">
              <w:rPr>
                <w:color w:val="auto"/>
                <w:sz w:val="20"/>
                <w:szCs w:val="20"/>
              </w:rPr>
              <w:t>y</w:t>
            </w:r>
            <w:r w:rsidRPr="00A955C7">
              <w:rPr>
                <w:color w:val="auto"/>
                <w:sz w:val="20"/>
                <w:szCs w:val="20"/>
              </w:rPr>
              <w:t xml:space="preserve"> a los sistemas de información. </w:t>
            </w:r>
          </w:p>
        </w:tc>
        <w:tc>
          <w:tcPr>
            <w:tcW w:w="3830" w:type="dxa"/>
            <w:shd w:val="clear" w:color="auto" w:fill="auto"/>
            <w:vAlign w:val="center"/>
          </w:tcPr>
          <w:p w14:paraId="0462EC40" w14:textId="77777777" w:rsidR="008E2729" w:rsidRPr="00A955C7" w:rsidRDefault="008E2729" w:rsidP="008E2729">
            <w:pPr>
              <w:spacing w:after="0" w:line="240" w:lineRule="auto"/>
              <w:ind w:left="0" w:right="96" w:firstLine="0"/>
              <w:rPr>
                <w:b/>
                <w:bCs/>
                <w:color w:val="auto"/>
                <w:sz w:val="20"/>
                <w:szCs w:val="20"/>
              </w:rPr>
            </w:pPr>
            <w:r w:rsidRPr="00A955C7">
              <w:rPr>
                <w:b/>
                <w:bCs/>
                <w:color w:val="auto"/>
                <w:sz w:val="20"/>
                <w:szCs w:val="20"/>
              </w:rPr>
              <w:t>Mitigar</w:t>
            </w:r>
          </w:p>
          <w:p w14:paraId="32232B86" w14:textId="5A991DFD" w:rsidR="00150499" w:rsidRPr="00A955C7" w:rsidRDefault="008E2729" w:rsidP="00226479">
            <w:pPr>
              <w:pStyle w:val="Prrafodelista"/>
              <w:numPr>
                <w:ilvl w:val="0"/>
                <w:numId w:val="6"/>
              </w:numPr>
              <w:spacing w:after="0" w:line="240" w:lineRule="auto"/>
              <w:ind w:left="301" w:right="96" w:hanging="283"/>
              <w:rPr>
                <w:color w:val="auto"/>
                <w:sz w:val="20"/>
                <w:szCs w:val="20"/>
              </w:rPr>
            </w:pPr>
            <w:r w:rsidRPr="00A955C7">
              <w:rPr>
                <w:color w:val="auto"/>
                <w:sz w:val="20"/>
                <w:szCs w:val="20"/>
              </w:rPr>
              <w:t>Ejecutar los procedimientos de continuidad para atender los procesos o servicios catalogados como críticos que se ven afectados por la indisponibilidad de sistemas o enlaces de comunicación.</w:t>
            </w:r>
          </w:p>
        </w:tc>
        <w:tc>
          <w:tcPr>
            <w:tcW w:w="1739" w:type="dxa"/>
            <w:shd w:val="clear" w:color="auto" w:fill="auto"/>
            <w:vAlign w:val="center"/>
          </w:tcPr>
          <w:p w14:paraId="0A497758" w14:textId="7B971DB8" w:rsidR="00150499" w:rsidRPr="00A955C7" w:rsidRDefault="00A342BA" w:rsidP="00150499">
            <w:pPr>
              <w:spacing w:after="0" w:line="240" w:lineRule="auto"/>
              <w:ind w:left="0" w:right="96" w:firstLine="0"/>
              <w:rPr>
                <w:color w:val="auto"/>
                <w:sz w:val="20"/>
                <w:szCs w:val="20"/>
              </w:rPr>
            </w:pPr>
            <w:r w:rsidRPr="00A955C7">
              <w:rPr>
                <w:color w:val="auto"/>
                <w:sz w:val="20"/>
                <w:szCs w:val="20"/>
              </w:rPr>
              <w:t xml:space="preserve">Todo el personal de la oficina o despacho. </w:t>
            </w:r>
          </w:p>
        </w:tc>
      </w:tr>
      <w:tr w:rsidR="005A4791" w:rsidRPr="00A955C7" w14:paraId="35B30EDA" w14:textId="77777777" w:rsidTr="00532C4C">
        <w:trPr>
          <w:trHeight w:val="499"/>
          <w:tblHeader/>
        </w:trPr>
        <w:tc>
          <w:tcPr>
            <w:tcW w:w="1846" w:type="dxa"/>
            <w:vMerge w:val="restart"/>
            <w:shd w:val="clear" w:color="auto" w:fill="auto"/>
            <w:vAlign w:val="center"/>
          </w:tcPr>
          <w:p w14:paraId="1D275770" w14:textId="5B2C3F21"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Indisponibilidad tecnológica</w:t>
            </w:r>
            <w:r w:rsidR="00B15310" w:rsidRPr="00A955C7">
              <w:rPr>
                <w:b/>
                <w:bCs/>
                <w:color w:val="auto"/>
                <w:sz w:val="20"/>
                <w:szCs w:val="20"/>
              </w:rPr>
              <w:t xml:space="preserve"> parcial</w:t>
            </w:r>
          </w:p>
        </w:tc>
        <w:tc>
          <w:tcPr>
            <w:tcW w:w="1982" w:type="dxa"/>
            <w:shd w:val="clear" w:color="auto" w:fill="auto"/>
            <w:vAlign w:val="center"/>
          </w:tcPr>
          <w:p w14:paraId="095222C8" w14:textId="26ED9828"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Fuentes</w:t>
            </w:r>
          </w:p>
        </w:tc>
        <w:tc>
          <w:tcPr>
            <w:tcW w:w="3830" w:type="dxa"/>
            <w:shd w:val="clear" w:color="auto" w:fill="auto"/>
            <w:vAlign w:val="center"/>
          </w:tcPr>
          <w:p w14:paraId="2F0D03E3" w14:textId="77777777" w:rsidR="002B5523" w:rsidRPr="00A955C7" w:rsidRDefault="002B5523" w:rsidP="002B5523">
            <w:pPr>
              <w:spacing w:after="0" w:line="240" w:lineRule="auto"/>
              <w:ind w:left="0" w:right="96" w:firstLine="0"/>
              <w:rPr>
                <w:b/>
                <w:bCs/>
                <w:color w:val="auto"/>
                <w:sz w:val="20"/>
                <w:szCs w:val="20"/>
              </w:rPr>
            </w:pPr>
          </w:p>
        </w:tc>
        <w:tc>
          <w:tcPr>
            <w:tcW w:w="1739" w:type="dxa"/>
            <w:shd w:val="clear" w:color="auto" w:fill="auto"/>
            <w:vAlign w:val="center"/>
          </w:tcPr>
          <w:p w14:paraId="215ADBE8" w14:textId="77777777" w:rsidR="002B5523" w:rsidRPr="00A955C7" w:rsidRDefault="002B5523" w:rsidP="002B5523">
            <w:pPr>
              <w:spacing w:after="0" w:line="240" w:lineRule="auto"/>
              <w:ind w:left="0" w:right="96" w:firstLine="0"/>
              <w:rPr>
                <w:color w:val="auto"/>
                <w:sz w:val="20"/>
                <w:szCs w:val="20"/>
              </w:rPr>
            </w:pPr>
          </w:p>
        </w:tc>
      </w:tr>
      <w:tr w:rsidR="005A4791" w:rsidRPr="00A955C7" w14:paraId="74D3AE9B" w14:textId="77777777" w:rsidTr="00532C4C">
        <w:trPr>
          <w:trHeight w:val="499"/>
          <w:tblHeader/>
        </w:trPr>
        <w:tc>
          <w:tcPr>
            <w:tcW w:w="1846" w:type="dxa"/>
            <w:vMerge/>
            <w:shd w:val="clear" w:color="auto" w:fill="auto"/>
            <w:vAlign w:val="center"/>
          </w:tcPr>
          <w:p w14:paraId="0E2D4CB4"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43AFDDC0"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 xml:space="preserve">Infraestructura tecnológica (IT): </w:t>
            </w:r>
          </w:p>
          <w:p w14:paraId="7AE4456B" w14:textId="4CDAED3C" w:rsidR="002B5523" w:rsidRPr="00A955C7" w:rsidRDefault="002B5523" w:rsidP="002B5523">
            <w:pPr>
              <w:spacing w:after="0" w:line="240" w:lineRule="auto"/>
              <w:ind w:left="0" w:right="96" w:firstLine="0"/>
              <w:rPr>
                <w:color w:val="auto"/>
                <w:sz w:val="20"/>
                <w:szCs w:val="20"/>
              </w:rPr>
            </w:pPr>
            <w:r w:rsidRPr="00A955C7">
              <w:rPr>
                <w:color w:val="auto"/>
                <w:sz w:val="20"/>
                <w:szCs w:val="20"/>
              </w:rPr>
              <w:t>Falla de los sistemas de o de los enlaces de comunicación.</w:t>
            </w:r>
          </w:p>
        </w:tc>
        <w:tc>
          <w:tcPr>
            <w:tcW w:w="3830" w:type="dxa"/>
            <w:shd w:val="clear" w:color="auto" w:fill="auto"/>
            <w:vAlign w:val="center"/>
          </w:tcPr>
          <w:p w14:paraId="05CBF283"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 xml:space="preserve">Prevenir: </w:t>
            </w:r>
          </w:p>
          <w:p w14:paraId="7C234BA6" w14:textId="77777777"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y aplicar una política de respaldo de información crítica o esencial.</w:t>
            </w:r>
          </w:p>
          <w:p w14:paraId="711A2B1E" w14:textId="5AAA0764"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Prever recursos necesarios para ejecutar procesos o servicios críticos, sin sistemas.</w:t>
            </w:r>
          </w:p>
          <w:p w14:paraId="1C5D702A" w14:textId="77777777" w:rsidR="002B5523" w:rsidRPr="00A955C7" w:rsidRDefault="002B5523" w:rsidP="00226479">
            <w:pPr>
              <w:pStyle w:val="Prrafodelista"/>
              <w:numPr>
                <w:ilvl w:val="0"/>
                <w:numId w:val="5"/>
              </w:numPr>
              <w:spacing w:after="0" w:line="240" w:lineRule="auto"/>
              <w:ind w:left="301" w:right="96" w:hanging="283"/>
              <w:rPr>
                <w:b/>
                <w:bCs/>
                <w:color w:val="auto"/>
                <w:sz w:val="20"/>
                <w:szCs w:val="20"/>
              </w:rPr>
            </w:pPr>
            <w:r w:rsidRPr="00A955C7">
              <w:rPr>
                <w:color w:val="auto"/>
                <w:sz w:val="20"/>
                <w:szCs w:val="20"/>
              </w:rPr>
              <w:t>Diseñar planes de continuidad para la ejecución manual de los procesos o servicios críticos o indispensables.</w:t>
            </w:r>
          </w:p>
          <w:p w14:paraId="22480445" w14:textId="08F439E3" w:rsidR="002B5523" w:rsidRPr="00A955C7" w:rsidRDefault="002B5523" w:rsidP="00226479">
            <w:pPr>
              <w:pStyle w:val="Prrafodelista"/>
              <w:numPr>
                <w:ilvl w:val="0"/>
                <w:numId w:val="5"/>
              </w:numPr>
              <w:spacing w:after="0" w:line="240" w:lineRule="auto"/>
              <w:ind w:left="301" w:right="96" w:hanging="283"/>
              <w:rPr>
                <w:b/>
                <w:bCs/>
                <w:color w:val="auto"/>
                <w:sz w:val="20"/>
                <w:szCs w:val="20"/>
              </w:rPr>
            </w:pPr>
            <w:r w:rsidRPr="00A955C7">
              <w:rPr>
                <w:color w:val="auto"/>
                <w:sz w:val="20"/>
                <w:szCs w:val="20"/>
              </w:rPr>
              <w:t>Socializar con todo el personal los planes diseñados para la continuidad del servicio.</w:t>
            </w:r>
          </w:p>
        </w:tc>
        <w:tc>
          <w:tcPr>
            <w:tcW w:w="1739" w:type="dxa"/>
            <w:shd w:val="clear" w:color="auto" w:fill="auto"/>
            <w:vAlign w:val="center"/>
          </w:tcPr>
          <w:p w14:paraId="3FD8A235" w14:textId="0AFBFF52" w:rsidR="002B5523" w:rsidRPr="00A955C7" w:rsidRDefault="007301CF" w:rsidP="002B5523">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5A4791" w:rsidRPr="00A955C7" w14:paraId="0160F05B" w14:textId="77777777" w:rsidTr="00532C4C">
        <w:trPr>
          <w:trHeight w:val="499"/>
          <w:tblHeader/>
        </w:trPr>
        <w:tc>
          <w:tcPr>
            <w:tcW w:w="1846" w:type="dxa"/>
            <w:vMerge/>
            <w:shd w:val="clear" w:color="auto" w:fill="auto"/>
            <w:vAlign w:val="center"/>
          </w:tcPr>
          <w:p w14:paraId="3BB89171"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32B07897" w14:textId="6037AC38"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Controles</w:t>
            </w:r>
          </w:p>
        </w:tc>
        <w:tc>
          <w:tcPr>
            <w:tcW w:w="3830" w:type="dxa"/>
            <w:shd w:val="clear" w:color="auto" w:fill="auto"/>
            <w:vAlign w:val="center"/>
          </w:tcPr>
          <w:p w14:paraId="370EF8D8" w14:textId="77777777" w:rsidR="002B5523" w:rsidRPr="00A955C7" w:rsidRDefault="002B5523" w:rsidP="002B5523">
            <w:pPr>
              <w:spacing w:after="0" w:line="240" w:lineRule="auto"/>
              <w:ind w:left="0" w:right="96" w:firstLine="0"/>
              <w:rPr>
                <w:b/>
                <w:bCs/>
                <w:color w:val="auto"/>
                <w:sz w:val="20"/>
                <w:szCs w:val="20"/>
              </w:rPr>
            </w:pPr>
          </w:p>
        </w:tc>
        <w:tc>
          <w:tcPr>
            <w:tcW w:w="1739" w:type="dxa"/>
            <w:shd w:val="clear" w:color="auto" w:fill="auto"/>
            <w:vAlign w:val="center"/>
          </w:tcPr>
          <w:p w14:paraId="546D54F4" w14:textId="77777777" w:rsidR="002B5523" w:rsidRPr="00A955C7" w:rsidRDefault="002B5523" w:rsidP="002B5523">
            <w:pPr>
              <w:spacing w:after="0" w:line="240" w:lineRule="auto"/>
              <w:ind w:left="0" w:right="96" w:firstLine="0"/>
              <w:rPr>
                <w:color w:val="auto"/>
                <w:sz w:val="20"/>
                <w:szCs w:val="20"/>
              </w:rPr>
            </w:pPr>
          </w:p>
        </w:tc>
      </w:tr>
      <w:tr w:rsidR="005A4791" w:rsidRPr="00A955C7" w14:paraId="5DC9B850" w14:textId="77777777" w:rsidTr="00532C4C">
        <w:trPr>
          <w:trHeight w:val="499"/>
          <w:tblHeader/>
        </w:trPr>
        <w:tc>
          <w:tcPr>
            <w:tcW w:w="1846" w:type="dxa"/>
            <w:vMerge/>
            <w:shd w:val="clear" w:color="auto" w:fill="auto"/>
            <w:vAlign w:val="center"/>
          </w:tcPr>
          <w:p w14:paraId="4F3F9699"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5581401A" w14:textId="77777777" w:rsidR="002B5523" w:rsidRPr="00A955C7" w:rsidRDefault="002B5523" w:rsidP="002B5523">
            <w:pPr>
              <w:spacing w:after="0" w:line="240" w:lineRule="auto"/>
              <w:ind w:left="0" w:right="96" w:firstLine="0"/>
              <w:rPr>
                <w:color w:val="auto"/>
                <w:sz w:val="20"/>
                <w:szCs w:val="20"/>
              </w:rPr>
            </w:pPr>
          </w:p>
        </w:tc>
        <w:tc>
          <w:tcPr>
            <w:tcW w:w="3830" w:type="dxa"/>
            <w:shd w:val="clear" w:color="auto" w:fill="auto"/>
            <w:vAlign w:val="center"/>
          </w:tcPr>
          <w:p w14:paraId="63F88B0C"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 xml:space="preserve">Actualización periódica de los manuales o procedimientos. </w:t>
            </w:r>
          </w:p>
          <w:p w14:paraId="50FB3E86"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Procedimientos de trabajo para los diferentes puestos actualizados.</w:t>
            </w:r>
          </w:p>
          <w:p w14:paraId="5A84FB16" w14:textId="76C238E8" w:rsidR="002B5523" w:rsidRPr="00A955C7" w:rsidRDefault="005A4791" w:rsidP="00226479">
            <w:pPr>
              <w:pStyle w:val="Prrafodelista"/>
              <w:numPr>
                <w:ilvl w:val="0"/>
                <w:numId w:val="11"/>
              </w:numPr>
              <w:ind w:left="284" w:hanging="284"/>
              <w:rPr>
                <w:b/>
                <w:bCs/>
                <w:color w:val="auto"/>
                <w:sz w:val="20"/>
                <w:szCs w:val="20"/>
              </w:rPr>
            </w:pPr>
            <w:r w:rsidRPr="0077376A">
              <w:rPr>
                <w:sz w:val="20"/>
                <w:szCs w:val="20"/>
              </w:rPr>
              <w:t>Verificación de la aplicación y funcionalidad de los planes ante situaciones simuladas (Pruebas y simulacros).</w:t>
            </w:r>
          </w:p>
        </w:tc>
        <w:tc>
          <w:tcPr>
            <w:tcW w:w="1739" w:type="dxa"/>
            <w:shd w:val="clear" w:color="auto" w:fill="auto"/>
            <w:vAlign w:val="center"/>
          </w:tcPr>
          <w:p w14:paraId="3AA16C6F" w14:textId="007EA49E" w:rsidR="002B5523" w:rsidRPr="00A955C7" w:rsidRDefault="007301CF" w:rsidP="002B5523">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5A4791" w:rsidRPr="00A955C7" w14:paraId="170A282F" w14:textId="77777777" w:rsidTr="00532C4C">
        <w:trPr>
          <w:trHeight w:val="499"/>
          <w:tblHeader/>
        </w:trPr>
        <w:tc>
          <w:tcPr>
            <w:tcW w:w="1846" w:type="dxa"/>
            <w:vMerge/>
            <w:shd w:val="clear" w:color="auto" w:fill="auto"/>
            <w:vAlign w:val="center"/>
          </w:tcPr>
          <w:p w14:paraId="27EA346E"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5EEA2378" w14:textId="74DB575D"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Efectos</w:t>
            </w:r>
          </w:p>
        </w:tc>
        <w:tc>
          <w:tcPr>
            <w:tcW w:w="3830" w:type="dxa"/>
            <w:shd w:val="clear" w:color="auto" w:fill="auto"/>
            <w:vAlign w:val="center"/>
          </w:tcPr>
          <w:p w14:paraId="575FA5AF" w14:textId="77777777" w:rsidR="002B5523" w:rsidRPr="00A955C7" w:rsidRDefault="002B5523" w:rsidP="002B5523">
            <w:pPr>
              <w:spacing w:after="0" w:line="240" w:lineRule="auto"/>
              <w:ind w:left="0" w:right="96" w:firstLine="0"/>
              <w:rPr>
                <w:b/>
                <w:bCs/>
                <w:color w:val="auto"/>
                <w:sz w:val="20"/>
                <w:szCs w:val="20"/>
              </w:rPr>
            </w:pPr>
          </w:p>
        </w:tc>
        <w:tc>
          <w:tcPr>
            <w:tcW w:w="1739" w:type="dxa"/>
            <w:shd w:val="clear" w:color="auto" w:fill="auto"/>
            <w:vAlign w:val="center"/>
          </w:tcPr>
          <w:p w14:paraId="0B64046B" w14:textId="77777777" w:rsidR="002B5523" w:rsidRPr="00A955C7" w:rsidRDefault="002B5523" w:rsidP="002B5523">
            <w:pPr>
              <w:spacing w:after="0" w:line="240" w:lineRule="auto"/>
              <w:ind w:left="0" w:right="96" w:firstLine="0"/>
              <w:rPr>
                <w:color w:val="auto"/>
                <w:sz w:val="20"/>
                <w:szCs w:val="20"/>
              </w:rPr>
            </w:pPr>
          </w:p>
        </w:tc>
      </w:tr>
      <w:tr w:rsidR="005A4791" w:rsidRPr="00A955C7" w14:paraId="30DEA7D2" w14:textId="77777777" w:rsidTr="00532C4C">
        <w:trPr>
          <w:trHeight w:val="499"/>
          <w:tblHeader/>
        </w:trPr>
        <w:tc>
          <w:tcPr>
            <w:tcW w:w="1846" w:type="dxa"/>
            <w:vMerge/>
            <w:shd w:val="clear" w:color="auto" w:fill="auto"/>
            <w:vAlign w:val="center"/>
          </w:tcPr>
          <w:p w14:paraId="79B25468"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4FCEDCE9" w14:textId="77777777" w:rsidR="002B5523" w:rsidRPr="00A955C7" w:rsidRDefault="002B5523" w:rsidP="002B5523">
            <w:pPr>
              <w:spacing w:after="0" w:line="240" w:lineRule="auto"/>
              <w:ind w:left="0" w:right="96" w:firstLine="0"/>
              <w:rPr>
                <w:color w:val="auto"/>
                <w:sz w:val="20"/>
                <w:szCs w:val="20"/>
              </w:rPr>
            </w:pPr>
            <w:r w:rsidRPr="00A955C7">
              <w:rPr>
                <w:color w:val="auto"/>
                <w:sz w:val="20"/>
                <w:szCs w:val="20"/>
              </w:rPr>
              <w:t>Imposibilidad de utilizar los sistemas de información.</w:t>
            </w:r>
          </w:p>
          <w:p w14:paraId="39004224" w14:textId="77777777" w:rsidR="002B5523" w:rsidRPr="00A955C7" w:rsidRDefault="002B5523" w:rsidP="002B5523">
            <w:pPr>
              <w:spacing w:after="0" w:line="240" w:lineRule="auto"/>
              <w:ind w:left="0" w:right="96" w:firstLine="0"/>
              <w:rPr>
                <w:color w:val="auto"/>
                <w:sz w:val="20"/>
                <w:szCs w:val="20"/>
              </w:rPr>
            </w:pPr>
          </w:p>
          <w:p w14:paraId="495D1A22" w14:textId="6DC1A5BD"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 xml:space="preserve">Nota: </w:t>
            </w:r>
            <w:r w:rsidRPr="00A955C7">
              <w:rPr>
                <w:color w:val="auto"/>
                <w:sz w:val="20"/>
                <w:szCs w:val="20"/>
              </w:rPr>
              <w:t xml:space="preserve">Sí es posible utilizar aplicaciones locales de los equipos. </w:t>
            </w:r>
          </w:p>
        </w:tc>
        <w:tc>
          <w:tcPr>
            <w:tcW w:w="3830" w:type="dxa"/>
            <w:shd w:val="clear" w:color="auto" w:fill="auto"/>
            <w:vAlign w:val="center"/>
          </w:tcPr>
          <w:p w14:paraId="0A892D70"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Mitigar</w:t>
            </w:r>
          </w:p>
          <w:p w14:paraId="13C06A0A" w14:textId="433BC800" w:rsidR="002B5523" w:rsidRPr="00A955C7" w:rsidRDefault="002B5523" w:rsidP="00226479">
            <w:pPr>
              <w:pStyle w:val="Prrafodelista"/>
              <w:numPr>
                <w:ilvl w:val="0"/>
                <w:numId w:val="10"/>
              </w:numPr>
              <w:spacing w:after="0" w:line="240" w:lineRule="auto"/>
              <w:ind w:left="317" w:right="96" w:hanging="317"/>
              <w:rPr>
                <w:b/>
                <w:bCs/>
                <w:color w:val="auto"/>
                <w:sz w:val="20"/>
                <w:szCs w:val="20"/>
              </w:rPr>
            </w:pPr>
            <w:r w:rsidRPr="00A955C7">
              <w:rPr>
                <w:color w:val="auto"/>
                <w:sz w:val="20"/>
                <w:szCs w:val="20"/>
              </w:rPr>
              <w:t>Ejecutar los procedimientos de continuidad para atender los procesos o servicios catalogados como críticos que se ven afectados por la imposibilidad de acceder a los sistemas de información.</w:t>
            </w:r>
          </w:p>
        </w:tc>
        <w:tc>
          <w:tcPr>
            <w:tcW w:w="1739" w:type="dxa"/>
            <w:shd w:val="clear" w:color="auto" w:fill="auto"/>
            <w:vAlign w:val="center"/>
          </w:tcPr>
          <w:p w14:paraId="57B0B362" w14:textId="7DD9E360" w:rsidR="002B5523" w:rsidRPr="00A955C7" w:rsidRDefault="007301CF" w:rsidP="002B5523">
            <w:pPr>
              <w:spacing w:after="0" w:line="240" w:lineRule="auto"/>
              <w:ind w:left="0" w:right="96" w:firstLine="0"/>
              <w:rPr>
                <w:color w:val="auto"/>
                <w:sz w:val="20"/>
                <w:szCs w:val="20"/>
              </w:rPr>
            </w:pPr>
            <w:r w:rsidRPr="00A955C7">
              <w:rPr>
                <w:color w:val="auto"/>
                <w:sz w:val="20"/>
                <w:szCs w:val="20"/>
              </w:rPr>
              <w:t>Todo el personal de la oficina o despacho.</w:t>
            </w:r>
          </w:p>
        </w:tc>
      </w:tr>
      <w:tr w:rsidR="00FA3F6B" w:rsidRPr="00A955C7" w14:paraId="713CD167" w14:textId="77777777" w:rsidTr="00532C4C">
        <w:trPr>
          <w:tblHeader/>
        </w:trPr>
        <w:tc>
          <w:tcPr>
            <w:tcW w:w="1846" w:type="dxa"/>
            <w:vMerge w:val="restart"/>
            <w:shd w:val="clear" w:color="auto" w:fill="auto"/>
            <w:vAlign w:val="center"/>
          </w:tcPr>
          <w:p w14:paraId="5A6342B7" w14:textId="0FD62821"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Indisponibilidad de la infraestructura física</w:t>
            </w:r>
          </w:p>
        </w:tc>
        <w:tc>
          <w:tcPr>
            <w:tcW w:w="1982" w:type="dxa"/>
            <w:shd w:val="clear" w:color="auto" w:fill="auto"/>
            <w:vAlign w:val="center"/>
          </w:tcPr>
          <w:p w14:paraId="2D03597F" w14:textId="31DAFE62"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Fuentes</w:t>
            </w:r>
          </w:p>
        </w:tc>
        <w:tc>
          <w:tcPr>
            <w:tcW w:w="3830" w:type="dxa"/>
            <w:shd w:val="clear" w:color="auto" w:fill="auto"/>
            <w:vAlign w:val="center"/>
          </w:tcPr>
          <w:p w14:paraId="748D3001" w14:textId="395DB764"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67779284" w14:textId="77777777" w:rsidR="002B5523" w:rsidRPr="00A955C7" w:rsidRDefault="002B5523" w:rsidP="002B5523">
            <w:pPr>
              <w:spacing w:after="0" w:line="240" w:lineRule="auto"/>
              <w:ind w:left="0" w:right="96" w:firstLine="0"/>
              <w:rPr>
                <w:color w:val="auto"/>
                <w:sz w:val="20"/>
                <w:szCs w:val="20"/>
              </w:rPr>
            </w:pPr>
          </w:p>
        </w:tc>
      </w:tr>
      <w:tr w:rsidR="00FA3F6B" w:rsidRPr="00A955C7" w14:paraId="3B271262" w14:textId="77777777" w:rsidTr="00532C4C">
        <w:trPr>
          <w:tblHeader/>
        </w:trPr>
        <w:tc>
          <w:tcPr>
            <w:tcW w:w="1846" w:type="dxa"/>
            <w:vMerge/>
            <w:shd w:val="clear" w:color="auto" w:fill="auto"/>
            <w:vAlign w:val="center"/>
          </w:tcPr>
          <w:p w14:paraId="056FE45F"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115194AA"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Factor externo (FE):</w:t>
            </w:r>
          </w:p>
          <w:p w14:paraId="01C0FE20" w14:textId="0EC930C8" w:rsidR="002B5523" w:rsidRPr="00A955C7" w:rsidRDefault="002B5523" w:rsidP="002B5523">
            <w:pPr>
              <w:spacing w:after="0" w:line="240" w:lineRule="auto"/>
              <w:ind w:left="0" w:right="96" w:firstLine="0"/>
              <w:rPr>
                <w:color w:val="auto"/>
                <w:sz w:val="20"/>
                <w:szCs w:val="20"/>
              </w:rPr>
            </w:pPr>
            <w:r w:rsidRPr="00A955C7">
              <w:rPr>
                <w:color w:val="auto"/>
                <w:sz w:val="20"/>
                <w:szCs w:val="20"/>
              </w:rPr>
              <w:t>Inundación originada por desastres naturales.</w:t>
            </w:r>
          </w:p>
          <w:p w14:paraId="63E1C639" w14:textId="77777777" w:rsidR="002B5523" w:rsidRPr="00A955C7" w:rsidRDefault="002B5523" w:rsidP="002B5523">
            <w:pPr>
              <w:spacing w:after="0" w:line="240" w:lineRule="auto"/>
              <w:ind w:left="0" w:right="96" w:firstLine="0"/>
              <w:rPr>
                <w:b/>
                <w:bCs/>
                <w:color w:val="auto"/>
                <w:sz w:val="20"/>
                <w:szCs w:val="20"/>
              </w:rPr>
            </w:pPr>
          </w:p>
          <w:p w14:paraId="677E662D" w14:textId="62F1891E"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 xml:space="preserve">Infraestructura física (IF): </w:t>
            </w:r>
          </w:p>
          <w:p w14:paraId="3098CDE1" w14:textId="35A21AF7" w:rsidR="002B5523" w:rsidRPr="00A955C7" w:rsidRDefault="002B5523" w:rsidP="002B5523">
            <w:pPr>
              <w:spacing w:after="0" w:line="240" w:lineRule="auto"/>
              <w:ind w:left="0" w:right="96" w:firstLine="0"/>
              <w:rPr>
                <w:b/>
                <w:bCs/>
                <w:color w:val="auto"/>
                <w:sz w:val="20"/>
                <w:szCs w:val="20"/>
              </w:rPr>
            </w:pPr>
            <w:r w:rsidRPr="00A955C7">
              <w:rPr>
                <w:color w:val="auto"/>
                <w:sz w:val="20"/>
                <w:szCs w:val="20"/>
              </w:rPr>
              <w:t>Inundación por ruptura de tubería.</w:t>
            </w:r>
          </w:p>
        </w:tc>
        <w:tc>
          <w:tcPr>
            <w:tcW w:w="3830" w:type="dxa"/>
            <w:shd w:val="clear" w:color="auto" w:fill="auto"/>
            <w:vAlign w:val="center"/>
          </w:tcPr>
          <w:p w14:paraId="44114A0B"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 xml:space="preserve">Prevenir: </w:t>
            </w:r>
          </w:p>
          <w:p w14:paraId="66525FA9" w14:textId="798993C7"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protocolos para atender situaciones de emergencia por inundación.</w:t>
            </w:r>
          </w:p>
          <w:p w14:paraId="304DD83E" w14:textId="67264273"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 xml:space="preserve">Coordinar con la Administración y otras instancias para tomar la previsión de un lugar adecuado al cual trasladar de manera temporal y contingente los procesos o servicios críticos o esenciales. </w:t>
            </w:r>
          </w:p>
          <w:p w14:paraId="1D57AB7A" w14:textId="2C1A5E33"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 xml:space="preserve">Formalizar acuerdos con terceros para contar con espacios físicos, para trasladar de manera temporal y contingente los procesos o servicios críticos o esenciales, en caso necesario. </w:t>
            </w:r>
          </w:p>
          <w:p w14:paraId="012CC42B" w14:textId="478608F5"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Prever recursos necesarios para ejecutar procesos o servicios críticos, de manera contingente en espacios alternos.</w:t>
            </w:r>
          </w:p>
          <w:p w14:paraId="17277756" w14:textId="77777777"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planes de continuidad para la continuidad de los procesos o servicios críticos, en caso de indisponibilidad del espacio físico.</w:t>
            </w:r>
          </w:p>
          <w:p w14:paraId="711F0182" w14:textId="26D22FCF"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Socializar con todo el personal los planes diseñados para la continuidad del servicio en caso de indisponibilidad del espacio físico.</w:t>
            </w:r>
          </w:p>
        </w:tc>
        <w:tc>
          <w:tcPr>
            <w:tcW w:w="1739" w:type="dxa"/>
            <w:shd w:val="clear" w:color="auto" w:fill="auto"/>
            <w:vAlign w:val="center"/>
          </w:tcPr>
          <w:p w14:paraId="4D89D116" w14:textId="3B4526FF" w:rsidR="002B5523" w:rsidRPr="00A955C7" w:rsidRDefault="007301CF" w:rsidP="002B5523">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62D39724" w14:textId="77777777" w:rsidTr="00532C4C">
        <w:trPr>
          <w:tblHeader/>
        </w:trPr>
        <w:tc>
          <w:tcPr>
            <w:tcW w:w="1846" w:type="dxa"/>
            <w:vMerge/>
            <w:shd w:val="clear" w:color="auto" w:fill="auto"/>
            <w:vAlign w:val="center"/>
          </w:tcPr>
          <w:p w14:paraId="1AC61499"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3C10F4A5" w14:textId="3B115806"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Controles</w:t>
            </w:r>
          </w:p>
        </w:tc>
        <w:tc>
          <w:tcPr>
            <w:tcW w:w="3830" w:type="dxa"/>
            <w:shd w:val="clear" w:color="auto" w:fill="auto"/>
            <w:vAlign w:val="center"/>
          </w:tcPr>
          <w:p w14:paraId="71862738" w14:textId="77777777"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429B81E9" w14:textId="77777777" w:rsidR="002B5523" w:rsidRPr="00A955C7" w:rsidRDefault="002B5523" w:rsidP="002B5523">
            <w:pPr>
              <w:spacing w:after="0" w:line="240" w:lineRule="auto"/>
              <w:ind w:left="0" w:right="96" w:firstLine="0"/>
              <w:rPr>
                <w:color w:val="auto"/>
                <w:sz w:val="20"/>
                <w:szCs w:val="20"/>
              </w:rPr>
            </w:pPr>
          </w:p>
        </w:tc>
      </w:tr>
      <w:tr w:rsidR="00FA3F6B" w:rsidRPr="00A955C7" w14:paraId="6D1C8FFE" w14:textId="77777777" w:rsidTr="00532C4C">
        <w:trPr>
          <w:trHeight w:val="507"/>
          <w:tblHeader/>
        </w:trPr>
        <w:tc>
          <w:tcPr>
            <w:tcW w:w="1846" w:type="dxa"/>
            <w:vMerge/>
            <w:shd w:val="clear" w:color="auto" w:fill="auto"/>
            <w:vAlign w:val="center"/>
          </w:tcPr>
          <w:p w14:paraId="47E57532"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48CDD2DC" w14:textId="77777777" w:rsidR="002B5523" w:rsidRPr="00A955C7" w:rsidRDefault="002B5523" w:rsidP="002B5523">
            <w:pPr>
              <w:spacing w:after="0" w:line="240" w:lineRule="auto"/>
              <w:ind w:left="0" w:right="96" w:firstLine="0"/>
              <w:rPr>
                <w:b/>
                <w:bCs/>
                <w:color w:val="auto"/>
                <w:sz w:val="20"/>
                <w:szCs w:val="20"/>
              </w:rPr>
            </w:pPr>
          </w:p>
        </w:tc>
        <w:tc>
          <w:tcPr>
            <w:tcW w:w="3830" w:type="dxa"/>
            <w:shd w:val="clear" w:color="auto" w:fill="auto"/>
            <w:vAlign w:val="center"/>
          </w:tcPr>
          <w:p w14:paraId="6BAAA28E"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 xml:space="preserve">Actualización periódica de los manuales o procedimientos. </w:t>
            </w:r>
          </w:p>
          <w:p w14:paraId="0C2B14E7"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Procedimientos de trabajo para los diferentes puestos actualizados.</w:t>
            </w:r>
          </w:p>
          <w:p w14:paraId="1B1F17A4" w14:textId="56E7B055" w:rsidR="002B5523" w:rsidRPr="00A955C7" w:rsidRDefault="005A4791" w:rsidP="00226479">
            <w:pPr>
              <w:pStyle w:val="Prrafodelista"/>
              <w:numPr>
                <w:ilvl w:val="0"/>
                <w:numId w:val="11"/>
              </w:numPr>
              <w:ind w:left="284" w:hanging="284"/>
              <w:rPr>
                <w:color w:val="auto"/>
                <w:sz w:val="20"/>
                <w:szCs w:val="20"/>
              </w:rPr>
            </w:pPr>
            <w:r w:rsidRPr="0077376A">
              <w:rPr>
                <w:sz w:val="20"/>
                <w:szCs w:val="20"/>
              </w:rPr>
              <w:t>Verificación de la aplicación y funcionalidad de los planes ante situaciones simuladas (Pruebas y simulacros).</w:t>
            </w:r>
          </w:p>
        </w:tc>
        <w:tc>
          <w:tcPr>
            <w:tcW w:w="1739" w:type="dxa"/>
            <w:shd w:val="clear" w:color="auto" w:fill="auto"/>
            <w:vAlign w:val="center"/>
          </w:tcPr>
          <w:p w14:paraId="12DAC0A1" w14:textId="66F5C66C" w:rsidR="002B5523" w:rsidRPr="00A955C7" w:rsidRDefault="007301CF" w:rsidP="002B5523">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5455E4D7" w14:textId="77777777" w:rsidTr="00532C4C">
        <w:trPr>
          <w:tblHeader/>
        </w:trPr>
        <w:tc>
          <w:tcPr>
            <w:tcW w:w="1846" w:type="dxa"/>
            <w:vMerge/>
            <w:shd w:val="clear" w:color="auto" w:fill="auto"/>
            <w:vAlign w:val="center"/>
          </w:tcPr>
          <w:p w14:paraId="6BFF3B7C"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3999FC28" w14:textId="05AB92DB"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Efectos</w:t>
            </w:r>
          </w:p>
        </w:tc>
        <w:tc>
          <w:tcPr>
            <w:tcW w:w="3830" w:type="dxa"/>
            <w:shd w:val="clear" w:color="auto" w:fill="auto"/>
            <w:vAlign w:val="center"/>
          </w:tcPr>
          <w:p w14:paraId="636B6AF6" w14:textId="77777777"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2AF356CE" w14:textId="77777777" w:rsidR="002B5523" w:rsidRPr="00A955C7" w:rsidRDefault="002B5523" w:rsidP="002B5523">
            <w:pPr>
              <w:spacing w:after="0" w:line="240" w:lineRule="auto"/>
              <w:ind w:left="0" w:right="96" w:firstLine="0"/>
              <w:rPr>
                <w:color w:val="auto"/>
                <w:sz w:val="20"/>
                <w:szCs w:val="20"/>
              </w:rPr>
            </w:pPr>
          </w:p>
        </w:tc>
      </w:tr>
      <w:tr w:rsidR="00FA3F6B" w:rsidRPr="00A955C7" w14:paraId="52348391" w14:textId="77777777" w:rsidTr="00532C4C">
        <w:trPr>
          <w:trHeight w:val="433"/>
          <w:tblHeader/>
        </w:trPr>
        <w:tc>
          <w:tcPr>
            <w:tcW w:w="1846" w:type="dxa"/>
            <w:vMerge/>
            <w:shd w:val="clear" w:color="auto" w:fill="auto"/>
            <w:vAlign w:val="center"/>
          </w:tcPr>
          <w:p w14:paraId="01BD3ED6" w14:textId="77777777" w:rsidR="002B5523" w:rsidRPr="00A955C7" w:rsidRDefault="002B5523" w:rsidP="002B5523">
            <w:pPr>
              <w:spacing w:after="0" w:line="240" w:lineRule="auto"/>
              <w:ind w:left="0" w:right="96" w:firstLine="0"/>
              <w:rPr>
                <w:color w:val="auto"/>
                <w:sz w:val="20"/>
                <w:szCs w:val="20"/>
              </w:rPr>
            </w:pPr>
          </w:p>
        </w:tc>
        <w:tc>
          <w:tcPr>
            <w:tcW w:w="1982" w:type="dxa"/>
            <w:shd w:val="clear" w:color="auto" w:fill="auto"/>
            <w:vAlign w:val="center"/>
          </w:tcPr>
          <w:p w14:paraId="54204DFD" w14:textId="13B2F3D5" w:rsidR="002B5523" w:rsidRPr="00A955C7" w:rsidRDefault="002B5523" w:rsidP="002B5523">
            <w:pPr>
              <w:spacing w:after="0" w:line="240" w:lineRule="auto"/>
              <w:ind w:left="0" w:right="96" w:firstLine="0"/>
              <w:rPr>
                <w:color w:val="auto"/>
                <w:sz w:val="20"/>
                <w:szCs w:val="20"/>
              </w:rPr>
            </w:pPr>
            <w:r w:rsidRPr="00A955C7">
              <w:rPr>
                <w:color w:val="auto"/>
                <w:sz w:val="20"/>
                <w:szCs w:val="20"/>
              </w:rPr>
              <w:t xml:space="preserve">Imposibilidad de utilizar el espacio físico para la prestación de servicios. </w:t>
            </w:r>
          </w:p>
        </w:tc>
        <w:tc>
          <w:tcPr>
            <w:tcW w:w="3830" w:type="dxa"/>
            <w:shd w:val="clear" w:color="auto" w:fill="auto"/>
            <w:vAlign w:val="center"/>
          </w:tcPr>
          <w:p w14:paraId="4B33A2A7"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Mitigar</w:t>
            </w:r>
          </w:p>
          <w:p w14:paraId="765CD03B" w14:textId="1F2B2890" w:rsidR="002B5523" w:rsidRPr="00A955C7" w:rsidRDefault="002B5523" w:rsidP="00226479">
            <w:pPr>
              <w:pStyle w:val="Prrafodelista"/>
              <w:numPr>
                <w:ilvl w:val="0"/>
                <w:numId w:val="7"/>
              </w:numPr>
              <w:spacing w:after="0" w:line="240" w:lineRule="auto"/>
              <w:ind w:left="317" w:right="96" w:hanging="317"/>
              <w:rPr>
                <w:color w:val="auto"/>
                <w:sz w:val="20"/>
                <w:szCs w:val="20"/>
              </w:rPr>
            </w:pPr>
            <w:r w:rsidRPr="00A955C7">
              <w:rPr>
                <w:color w:val="auto"/>
                <w:sz w:val="20"/>
                <w:szCs w:val="20"/>
              </w:rPr>
              <w:t>Ejecutar los procedimientos de continuidad para atender los procesos o servicios catalogados como críticos que se ven afectados por la indisponibilidad de la infraestructura física.</w:t>
            </w:r>
          </w:p>
        </w:tc>
        <w:tc>
          <w:tcPr>
            <w:tcW w:w="1739" w:type="dxa"/>
            <w:shd w:val="clear" w:color="auto" w:fill="auto"/>
            <w:vAlign w:val="center"/>
          </w:tcPr>
          <w:p w14:paraId="61AD58CC" w14:textId="2AF4D1FD" w:rsidR="002B5523" w:rsidRPr="00A955C7" w:rsidRDefault="007301CF" w:rsidP="002B5523">
            <w:pPr>
              <w:spacing w:after="0" w:line="240" w:lineRule="auto"/>
              <w:ind w:left="0" w:right="96" w:firstLine="0"/>
              <w:rPr>
                <w:color w:val="auto"/>
                <w:sz w:val="20"/>
                <w:szCs w:val="20"/>
              </w:rPr>
            </w:pPr>
            <w:r w:rsidRPr="00A955C7">
              <w:rPr>
                <w:color w:val="auto"/>
                <w:sz w:val="20"/>
                <w:szCs w:val="20"/>
              </w:rPr>
              <w:t>Todo el personal de la oficina o despacho.</w:t>
            </w:r>
          </w:p>
        </w:tc>
      </w:tr>
      <w:tr w:rsidR="00FA3F6B" w:rsidRPr="00A955C7" w14:paraId="63DE2A68" w14:textId="77777777" w:rsidTr="00532C4C">
        <w:trPr>
          <w:tblHeader/>
        </w:trPr>
        <w:tc>
          <w:tcPr>
            <w:tcW w:w="1846" w:type="dxa"/>
            <w:vMerge w:val="restart"/>
            <w:shd w:val="clear" w:color="auto" w:fill="auto"/>
            <w:vAlign w:val="center"/>
          </w:tcPr>
          <w:p w14:paraId="1DFA7215" w14:textId="25CE3A0E"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Dependencia de proveedores externos</w:t>
            </w:r>
          </w:p>
        </w:tc>
        <w:tc>
          <w:tcPr>
            <w:tcW w:w="1982" w:type="dxa"/>
            <w:shd w:val="clear" w:color="auto" w:fill="auto"/>
            <w:vAlign w:val="center"/>
          </w:tcPr>
          <w:p w14:paraId="2BF73FE2" w14:textId="7BDF394F"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Fuentes</w:t>
            </w:r>
          </w:p>
        </w:tc>
        <w:tc>
          <w:tcPr>
            <w:tcW w:w="3830" w:type="dxa"/>
            <w:shd w:val="clear" w:color="auto" w:fill="auto"/>
            <w:vAlign w:val="center"/>
          </w:tcPr>
          <w:p w14:paraId="475A9A0B" w14:textId="3DA683BC"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79D462C5" w14:textId="77777777" w:rsidR="002B5523" w:rsidRPr="00A955C7" w:rsidRDefault="002B5523" w:rsidP="002B5523">
            <w:pPr>
              <w:spacing w:after="0" w:line="240" w:lineRule="auto"/>
              <w:ind w:left="0" w:right="96" w:firstLine="0"/>
              <w:rPr>
                <w:color w:val="auto"/>
                <w:sz w:val="20"/>
                <w:szCs w:val="20"/>
              </w:rPr>
            </w:pPr>
          </w:p>
        </w:tc>
      </w:tr>
      <w:tr w:rsidR="00FA3F6B" w:rsidRPr="00A955C7" w14:paraId="301766D0" w14:textId="77777777" w:rsidTr="00532C4C">
        <w:trPr>
          <w:tblHeader/>
        </w:trPr>
        <w:tc>
          <w:tcPr>
            <w:tcW w:w="1846" w:type="dxa"/>
            <w:vMerge/>
            <w:shd w:val="clear" w:color="auto" w:fill="auto"/>
            <w:vAlign w:val="center"/>
          </w:tcPr>
          <w:p w14:paraId="5B2B76C0" w14:textId="77777777" w:rsidR="002B5523" w:rsidRPr="00A955C7" w:rsidRDefault="002B5523" w:rsidP="002B5523">
            <w:pPr>
              <w:spacing w:after="0" w:line="240" w:lineRule="auto"/>
              <w:ind w:left="0" w:right="96" w:firstLine="0"/>
              <w:rPr>
                <w:b/>
                <w:bCs/>
                <w:color w:val="auto"/>
                <w:sz w:val="20"/>
                <w:szCs w:val="20"/>
              </w:rPr>
            </w:pPr>
          </w:p>
        </w:tc>
        <w:tc>
          <w:tcPr>
            <w:tcW w:w="1982" w:type="dxa"/>
            <w:shd w:val="clear" w:color="auto" w:fill="auto"/>
            <w:vAlign w:val="center"/>
          </w:tcPr>
          <w:p w14:paraId="5AF97F10"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Factor externo (FE):</w:t>
            </w:r>
          </w:p>
          <w:p w14:paraId="2D7794F8" w14:textId="1D0AC44B" w:rsidR="002B5523" w:rsidRPr="00A955C7" w:rsidRDefault="002B5523" w:rsidP="002B5523">
            <w:pPr>
              <w:spacing w:after="0" w:line="240" w:lineRule="auto"/>
              <w:ind w:left="0" w:right="96" w:firstLine="0"/>
              <w:rPr>
                <w:color w:val="auto"/>
                <w:sz w:val="20"/>
                <w:szCs w:val="20"/>
              </w:rPr>
            </w:pPr>
            <w:r w:rsidRPr="00A955C7">
              <w:rPr>
                <w:color w:val="auto"/>
                <w:sz w:val="20"/>
                <w:szCs w:val="20"/>
              </w:rPr>
              <w:t xml:space="preserve">Factores internacionales o </w:t>
            </w:r>
            <w:r w:rsidRPr="00A955C7">
              <w:rPr>
                <w:color w:val="auto"/>
                <w:sz w:val="20"/>
                <w:szCs w:val="20"/>
              </w:rPr>
              <w:lastRenderedPageBreak/>
              <w:t>locales de corte económico, social, político o tecnológico que inciden en la cadena logística de los proveedores o en los servicios que proveen (incluye información de otras instituciones públicas).</w:t>
            </w:r>
          </w:p>
        </w:tc>
        <w:tc>
          <w:tcPr>
            <w:tcW w:w="3830" w:type="dxa"/>
            <w:shd w:val="clear" w:color="auto" w:fill="auto"/>
            <w:vAlign w:val="center"/>
          </w:tcPr>
          <w:p w14:paraId="0C211B6B"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lastRenderedPageBreak/>
              <w:t xml:space="preserve">Prevenir: </w:t>
            </w:r>
          </w:p>
          <w:p w14:paraId="67AF50FF" w14:textId="674B9643"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 xml:space="preserve">Identificar proveedores de bienes o servicios asociados a procesos o servicios críticos. </w:t>
            </w:r>
          </w:p>
          <w:p w14:paraId="59D077E8" w14:textId="0797F97A"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lastRenderedPageBreak/>
              <w:t>Identificar los insumos requeridos para los procesos y servicios críticos, que dependen de proveedores externos.</w:t>
            </w:r>
          </w:p>
          <w:p w14:paraId="6DC24631" w14:textId="7B60FEF0"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Identificar los proveedores con mayor riesgo de incumplimiento en el suministro de bienes o servicios.</w:t>
            </w:r>
          </w:p>
          <w:p w14:paraId="5F9AB32D" w14:textId="577D7A53" w:rsidR="002B5523" w:rsidRPr="00A955C7" w:rsidRDefault="002B5523"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planes para la continuidad de los procesos o servicios críticos, en caso de posibles incumplimientos de proveedores externos.</w:t>
            </w:r>
          </w:p>
        </w:tc>
        <w:tc>
          <w:tcPr>
            <w:tcW w:w="1739" w:type="dxa"/>
            <w:shd w:val="clear" w:color="auto" w:fill="auto"/>
            <w:vAlign w:val="center"/>
          </w:tcPr>
          <w:p w14:paraId="4CD8B152" w14:textId="7DCA0981" w:rsidR="002B5523" w:rsidRPr="00A955C7" w:rsidRDefault="007301CF" w:rsidP="002B5523">
            <w:pPr>
              <w:spacing w:after="0" w:line="240" w:lineRule="auto"/>
              <w:ind w:left="0" w:right="96" w:firstLine="0"/>
              <w:rPr>
                <w:color w:val="auto"/>
                <w:sz w:val="20"/>
                <w:szCs w:val="20"/>
              </w:rPr>
            </w:pPr>
            <w:r w:rsidRPr="00A955C7">
              <w:rPr>
                <w:color w:val="auto"/>
                <w:sz w:val="20"/>
                <w:szCs w:val="20"/>
              </w:rPr>
              <w:lastRenderedPageBreak/>
              <w:t xml:space="preserve">Jefatura de la oficina. Subjefatura o </w:t>
            </w:r>
            <w:r w:rsidRPr="00A955C7">
              <w:rPr>
                <w:color w:val="auto"/>
                <w:sz w:val="20"/>
                <w:szCs w:val="20"/>
              </w:rPr>
              <w:lastRenderedPageBreak/>
              <w:t>puesto de Coordinación.</w:t>
            </w:r>
          </w:p>
        </w:tc>
      </w:tr>
      <w:tr w:rsidR="00FA3F6B" w:rsidRPr="00A955C7" w14:paraId="14D66F6D" w14:textId="77777777" w:rsidTr="00532C4C">
        <w:trPr>
          <w:tblHeader/>
        </w:trPr>
        <w:tc>
          <w:tcPr>
            <w:tcW w:w="1846" w:type="dxa"/>
            <w:vMerge/>
            <w:shd w:val="clear" w:color="auto" w:fill="auto"/>
            <w:vAlign w:val="center"/>
          </w:tcPr>
          <w:p w14:paraId="3762EF29" w14:textId="77777777" w:rsidR="002B5523" w:rsidRPr="00A955C7" w:rsidRDefault="002B5523" w:rsidP="002B5523">
            <w:pPr>
              <w:spacing w:after="0" w:line="240" w:lineRule="auto"/>
              <w:ind w:left="0" w:right="96" w:firstLine="0"/>
              <w:rPr>
                <w:b/>
                <w:bCs/>
                <w:color w:val="auto"/>
                <w:sz w:val="20"/>
                <w:szCs w:val="20"/>
              </w:rPr>
            </w:pPr>
          </w:p>
        </w:tc>
        <w:tc>
          <w:tcPr>
            <w:tcW w:w="1982" w:type="dxa"/>
            <w:shd w:val="clear" w:color="auto" w:fill="auto"/>
            <w:vAlign w:val="center"/>
          </w:tcPr>
          <w:p w14:paraId="697DD5DA" w14:textId="1EFD1666"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Controles</w:t>
            </w:r>
          </w:p>
        </w:tc>
        <w:tc>
          <w:tcPr>
            <w:tcW w:w="3830" w:type="dxa"/>
            <w:shd w:val="clear" w:color="auto" w:fill="auto"/>
            <w:vAlign w:val="center"/>
          </w:tcPr>
          <w:p w14:paraId="1B8203DC" w14:textId="77777777"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65DAC578" w14:textId="77777777" w:rsidR="002B5523" w:rsidRPr="00A955C7" w:rsidRDefault="002B5523" w:rsidP="002B5523">
            <w:pPr>
              <w:spacing w:after="0" w:line="240" w:lineRule="auto"/>
              <w:ind w:left="0" w:right="96" w:firstLine="0"/>
              <w:rPr>
                <w:color w:val="auto"/>
                <w:sz w:val="20"/>
                <w:szCs w:val="20"/>
              </w:rPr>
            </w:pPr>
          </w:p>
        </w:tc>
      </w:tr>
      <w:tr w:rsidR="00FA3F6B" w:rsidRPr="00A955C7" w14:paraId="0DF8CA8F" w14:textId="77777777" w:rsidTr="00532C4C">
        <w:trPr>
          <w:trHeight w:val="497"/>
          <w:tblHeader/>
        </w:trPr>
        <w:tc>
          <w:tcPr>
            <w:tcW w:w="1846" w:type="dxa"/>
            <w:vMerge/>
            <w:shd w:val="clear" w:color="auto" w:fill="auto"/>
            <w:vAlign w:val="center"/>
          </w:tcPr>
          <w:p w14:paraId="12595CCD" w14:textId="77777777" w:rsidR="002B5523" w:rsidRPr="00A955C7" w:rsidRDefault="002B5523" w:rsidP="002B5523">
            <w:pPr>
              <w:spacing w:after="0" w:line="240" w:lineRule="auto"/>
              <w:ind w:left="0" w:right="96" w:firstLine="0"/>
              <w:rPr>
                <w:b/>
                <w:bCs/>
                <w:color w:val="auto"/>
                <w:sz w:val="20"/>
                <w:szCs w:val="20"/>
              </w:rPr>
            </w:pPr>
          </w:p>
        </w:tc>
        <w:tc>
          <w:tcPr>
            <w:tcW w:w="1982" w:type="dxa"/>
            <w:shd w:val="clear" w:color="auto" w:fill="auto"/>
            <w:vAlign w:val="center"/>
          </w:tcPr>
          <w:p w14:paraId="0949DD92" w14:textId="77777777" w:rsidR="002B5523" w:rsidRPr="00A955C7" w:rsidRDefault="002B5523" w:rsidP="002B5523">
            <w:pPr>
              <w:spacing w:after="0" w:line="240" w:lineRule="auto"/>
              <w:ind w:left="0" w:right="96" w:firstLine="0"/>
              <w:rPr>
                <w:b/>
                <w:bCs/>
                <w:color w:val="auto"/>
                <w:sz w:val="20"/>
                <w:szCs w:val="20"/>
              </w:rPr>
            </w:pPr>
          </w:p>
        </w:tc>
        <w:tc>
          <w:tcPr>
            <w:tcW w:w="3830" w:type="dxa"/>
            <w:shd w:val="clear" w:color="auto" w:fill="auto"/>
            <w:vAlign w:val="center"/>
          </w:tcPr>
          <w:p w14:paraId="309003BB" w14:textId="2212247A" w:rsidR="002B5523" w:rsidRPr="00A955C7" w:rsidRDefault="005A4791" w:rsidP="00226479">
            <w:pPr>
              <w:pStyle w:val="Prrafodelista"/>
              <w:numPr>
                <w:ilvl w:val="0"/>
                <w:numId w:val="4"/>
              </w:numPr>
              <w:spacing w:after="0" w:line="240" w:lineRule="auto"/>
              <w:ind w:left="262" w:right="96" w:hanging="262"/>
              <w:rPr>
                <w:color w:val="auto"/>
                <w:sz w:val="20"/>
                <w:szCs w:val="20"/>
              </w:rPr>
            </w:pPr>
            <w:r>
              <w:rPr>
                <w:color w:val="auto"/>
                <w:sz w:val="20"/>
                <w:szCs w:val="20"/>
              </w:rPr>
              <w:t>C</w:t>
            </w:r>
            <w:r w:rsidR="002B5523" w:rsidRPr="00A955C7">
              <w:rPr>
                <w:color w:val="auto"/>
                <w:sz w:val="20"/>
                <w:szCs w:val="20"/>
              </w:rPr>
              <w:t xml:space="preserve">ontrol o seguimiento al cumplimiento de proveedores. </w:t>
            </w:r>
          </w:p>
          <w:p w14:paraId="278B8964"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 xml:space="preserve">Actualización periódica de los manuales o procedimientos. </w:t>
            </w:r>
          </w:p>
          <w:p w14:paraId="2F228CA2"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Procedimientos de trabajo para los diferentes puestos actualizados.</w:t>
            </w:r>
          </w:p>
          <w:p w14:paraId="5B79EB61" w14:textId="77777777" w:rsidR="005A4791" w:rsidRDefault="005A4791" w:rsidP="00226479">
            <w:pPr>
              <w:pStyle w:val="Prrafodelista"/>
              <w:numPr>
                <w:ilvl w:val="0"/>
                <w:numId w:val="11"/>
              </w:numPr>
              <w:ind w:left="284" w:hanging="284"/>
            </w:pPr>
            <w:r w:rsidRPr="0077376A">
              <w:rPr>
                <w:sz w:val="20"/>
                <w:szCs w:val="20"/>
              </w:rPr>
              <w:t>Verificación de la aplicación y funcionalidad de los planes ante situaciones simuladas (Pruebas y simulacros).</w:t>
            </w:r>
          </w:p>
          <w:p w14:paraId="71C5ED3F" w14:textId="27CABB98" w:rsidR="002B5523" w:rsidRPr="00A955C7" w:rsidRDefault="002B5523" w:rsidP="00226479">
            <w:pPr>
              <w:pStyle w:val="Prrafodelista"/>
              <w:numPr>
                <w:ilvl w:val="0"/>
                <w:numId w:val="4"/>
              </w:numPr>
              <w:spacing w:after="0" w:line="240" w:lineRule="auto"/>
              <w:ind w:left="301" w:right="96" w:hanging="292"/>
              <w:rPr>
                <w:color w:val="auto"/>
                <w:sz w:val="20"/>
                <w:szCs w:val="20"/>
              </w:rPr>
            </w:pPr>
          </w:p>
        </w:tc>
        <w:tc>
          <w:tcPr>
            <w:tcW w:w="1739" w:type="dxa"/>
            <w:shd w:val="clear" w:color="auto" w:fill="auto"/>
            <w:vAlign w:val="center"/>
          </w:tcPr>
          <w:p w14:paraId="512B8777" w14:textId="4ADB85C2" w:rsidR="002B5523" w:rsidRPr="00A955C7" w:rsidRDefault="007301CF" w:rsidP="002B5523">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66D3B10E" w14:textId="77777777" w:rsidTr="00532C4C">
        <w:trPr>
          <w:tblHeader/>
        </w:trPr>
        <w:tc>
          <w:tcPr>
            <w:tcW w:w="1846" w:type="dxa"/>
            <w:vMerge/>
            <w:shd w:val="clear" w:color="auto" w:fill="auto"/>
            <w:vAlign w:val="center"/>
          </w:tcPr>
          <w:p w14:paraId="5956B943" w14:textId="77777777" w:rsidR="002B5523" w:rsidRPr="00A955C7" w:rsidRDefault="002B5523" w:rsidP="002B5523">
            <w:pPr>
              <w:spacing w:after="0" w:line="240" w:lineRule="auto"/>
              <w:ind w:left="0" w:right="96" w:firstLine="0"/>
              <w:rPr>
                <w:b/>
                <w:bCs/>
                <w:color w:val="auto"/>
                <w:sz w:val="20"/>
                <w:szCs w:val="20"/>
              </w:rPr>
            </w:pPr>
          </w:p>
        </w:tc>
        <w:tc>
          <w:tcPr>
            <w:tcW w:w="1982" w:type="dxa"/>
            <w:shd w:val="clear" w:color="auto" w:fill="auto"/>
            <w:vAlign w:val="center"/>
          </w:tcPr>
          <w:p w14:paraId="6F0E161B" w14:textId="35C6E129"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Efectos</w:t>
            </w:r>
          </w:p>
        </w:tc>
        <w:tc>
          <w:tcPr>
            <w:tcW w:w="3830" w:type="dxa"/>
            <w:shd w:val="clear" w:color="auto" w:fill="auto"/>
            <w:vAlign w:val="center"/>
          </w:tcPr>
          <w:p w14:paraId="0A72F0B0" w14:textId="77777777"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7688528C" w14:textId="77777777" w:rsidR="002B5523" w:rsidRPr="00A955C7" w:rsidRDefault="002B5523" w:rsidP="002B5523">
            <w:pPr>
              <w:spacing w:after="0" w:line="240" w:lineRule="auto"/>
              <w:ind w:left="0" w:right="96" w:firstLine="0"/>
              <w:rPr>
                <w:color w:val="auto"/>
                <w:sz w:val="20"/>
                <w:szCs w:val="20"/>
              </w:rPr>
            </w:pPr>
          </w:p>
        </w:tc>
      </w:tr>
      <w:tr w:rsidR="00FA3F6B" w:rsidRPr="00A955C7" w14:paraId="485F254D" w14:textId="77777777" w:rsidTr="00532C4C">
        <w:trPr>
          <w:trHeight w:val="579"/>
          <w:tblHeader/>
        </w:trPr>
        <w:tc>
          <w:tcPr>
            <w:tcW w:w="1846" w:type="dxa"/>
            <w:vMerge/>
            <w:shd w:val="clear" w:color="auto" w:fill="auto"/>
            <w:vAlign w:val="center"/>
          </w:tcPr>
          <w:p w14:paraId="79EC626E" w14:textId="77777777" w:rsidR="002B5523" w:rsidRPr="00A955C7" w:rsidRDefault="002B5523" w:rsidP="002B5523">
            <w:pPr>
              <w:spacing w:after="0" w:line="240" w:lineRule="auto"/>
              <w:ind w:left="0" w:right="96" w:firstLine="0"/>
              <w:rPr>
                <w:b/>
                <w:bCs/>
                <w:color w:val="auto"/>
                <w:sz w:val="20"/>
                <w:szCs w:val="20"/>
              </w:rPr>
            </w:pPr>
          </w:p>
        </w:tc>
        <w:tc>
          <w:tcPr>
            <w:tcW w:w="1982" w:type="dxa"/>
            <w:shd w:val="clear" w:color="auto" w:fill="auto"/>
            <w:vAlign w:val="center"/>
          </w:tcPr>
          <w:p w14:paraId="7C891D9E" w14:textId="269DBDC8" w:rsidR="002B5523" w:rsidRPr="00A955C7" w:rsidRDefault="002B5523" w:rsidP="002B5523">
            <w:pPr>
              <w:spacing w:after="0" w:line="240" w:lineRule="auto"/>
              <w:ind w:left="0" w:right="96" w:firstLine="0"/>
              <w:rPr>
                <w:color w:val="auto"/>
                <w:sz w:val="20"/>
                <w:szCs w:val="20"/>
              </w:rPr>
            </w:pPr>
            <w:r w:rsidRPr="00A955C7">
              <w:rPr>
                <w:color w:val="auto"/>
                <w:sz w:val="20"/>
                <w:szCs w:val="20"/>
              </w:rPr>
              <w:t xml:space="preserve">Carencia de bienes o servicios provistos por proveedores externos. </w:t>
            </w:r>
          </w:p>
        </w:tc>
        <w:tc>
          <w:tcPr>
            <w:tcW w:w="3830" w:type="dxa"/>
            <w:shd w:val="clear" w:color="auto" w:fill="auto"/>
            <w:vAlign w:val="center"/>
          </w:tcPr>
          <w:p w14:paraId="2D5D801C" w14:textId="77777777"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Mitigar</w:t>
            </w:r>
          </w:p>
          <w:p w14:paraId="33421E2D" w14:textId="770887A9" w:rsidR="002B5523" w:rsidRPr="00A955C7" w:rsidRDefault="002B5523" w:rsidP="00226479">
            <w:pPr>
              <w:pStyle w:val="Prrafodelista"/>
              <w:numPr>
                <w:ilvl w:val="0"/>
                <w:numId w:val="8"/>
              </w:numPr>
              <w:spacing w:after="0" w:line="240" w:lineRule="auto"/>
              <w:ind w:left="317" w:right="96" w:hanging="284"/>
              <w:rPr>
                <w:color w:val="auto"/>
                <w:sz w:val="20"/>
                <w:szCs w:val="20"/>
              </w:rPr>
            </w:pPr>
            <w:r w:rsidRPr="00A955C7">
              <w:rPr>
                <w:color w:val="auto"/>
                <w:sz w:val="20"/>
                <w:szCs w:val="20"/>
              </w:rPr>
              <w:t>Ejecutar los procedimientos de continuidad para atender los procesos o servicios catalogados como críticos que se ven afectados por la indisponibilidad de la infraestructura física.</w:t>
            </w:r>
          </w:p>
        </w:tc>
        <w:tc>
          <w:tcPr>
            <w:tcW w:w="1739" w:type="dxa"/>
            <w:shd w:val="clear" w:color="auto" w:fill="auto"/>
            <w:vAlign w:val="center"/>
          </w:tcPr>
          <w:p w14:paraId="0A8C6DDB" w14:textId="684EBE41" w:rsidR="002B5523" w:rsidRPr="00A955C7" w:rsidRDefault="007301CF" w:rsidP="002B5523">
            <w:pPr>
              <w:spacing w:after="0" w:line="240" w:lineRule="auto"/>
              <w:ind w:left="0" w:right="96" w:firstLine="0"/>
              <w:rPr>
                <w:color w:val="auto"/>
                <w:sz w:val="20"/>
                <w:szCs w:val="20"/>
              </w:rPr>
            </w:pPr>
            <w:r w:rsidRPr="00A955C7">
              <w:rPr>
                <w:color w:val="auto"/>
                <w:sz w:val="20"/>
                <w:szCs w:val="20"/>
              </w:rPr>
              <w:t>Todo el personal de la oficina o despacho.</w:t>
            </w:r>
          </w:p>
        </w:tc>
      </w:tr>
      <w:tr w:rsidR="00FA3F6B" w:rsidRPr="00A955C7" w14:paraId="083706B7" w14:textId="77777777" w:rsidTr="00532C4C">
        <w:trPr>
          <w:tblHeader/>
        </w:trPr>
        <w:tc>
          <w:tcPr>
            <w:tcW w:w="1846" w:type="dxa"/>
            <w:vMerge w:val="restart"/>
            <w:shd w:val="clear" w:color="auto" w:fill="auto"/>
            <w:vAlign w:val="center"/>
          </w:tcPr>
          <w:p w14:paraId="453A5B7F" w14:textId="25A8C67D" w:rsidR="002B5523" w:rsidRPr="00A955C7" w:rsidRDefault="002B5523" w:rsidP="002B5523">
            <w:pPr>
              <w:spacing w:after="0" w:line="240" w:lineRule="auto"/>
              <w:ind w:left="0" w:right="96" w:firstLine="0"/>
              <w:rPr>
                <w:b/>
                <w:bCs/>
                <w:color w:val="auto"/>
                <w:sz w:val="20"/>
                <w:szCs w:val="20"/>
              </w:rPr>
            </w:pPr>
            <w:r w:rsidRPr="00A955C7">
              <w:rPr>
                <w:b/>
                <w:bCs/>
                <w:color w:val="auto"/>
                <w:sz w:val="20"/>
                <w:szCs w:val="20"/>
              </w:rPr>
              <w:t>Carencia de insumos</w:t>
            </w:r>
          </w:p>
        </w:tc>
        <w:tc>
          <w:tcPr>
            <w:tcW w:w="1982" w:type="dxa"/>
            <w:shd w:val="clear" w:color="auto" w:fill="auto"/>
            <w:vAlign w:val="center"/>
          </w:tcPr>
          <w:p w14:paraId="6AD4F35F" w14:textId="03F916AA" w:rsidR="002B5523" w:rsidRPr="00A955C7" w:rsidRDefault="002B5523" w:rsidP="002B5523">
            <w:pPr>
              <w:spacing w:after="0" w:line="240" w:lineRule="auto"/>
              <w:ind w:left="0" w:right="96" w:firstLine="0"/>
              <w:rPr>
                <w:color w:val="auto"/>
                <w:sz w:val="20"/>
                <w:szCs w:val="20"/>
              </w:rPr>
            </w:pPr>
            <w:r w:rsidRPr="00A955C7">
              <w:rPr>
                <w:b/>
                <w:bCs/>
                <w:color w:val="auto"/>
                <w:sz w:val="20"/>
                <w:szCs w:val="20"/>
              </w:rPr>
              <w:t>Fuentes</w:t>
            </w:r>
          </w:p>
        </w:tc>
        <w:tc>
          <w:tcPr>
            <w:tcW w:w="3830" w:type="dxa"/>
            <w:shd w:val="clear" w:color="auto" w:fill="auto"/>
            <w:vAlign w:val="center"/>
          </w:tcPr>
          <w:p w14:paraId="0689745C" w14:textId="05E71B47" w:rsidR="002B5523" w:rsidRPr="00A955C7" w:rsidRDefault="002B5523" w:rsidP="002B5523">
            <w:pPr>
              <w:spacing w:after="0" w:line="240" w:lineRule="auto"/>
              <w:ind w:left="0" w:right="96" w:firstLine="0"/>
              <w:rPr>
                <w:color w:val="auto"/>
                <w:sz w:val="20"/>
                <w:szCs w:val="20"/>
              </w:rPr>
            </w:pPr>
          </w:p>
        </w:tc>
        <w:tc>
          <w:tcPr>
            <w:tcW w:w="1739" w:type="dxa"/>
            <w:shd w:val="clear" w:color="auto" w:fill="auto"/>
            <w:vAlign w:val="center"/>
          </w:tcPr>
          <w:p w14:paraId="62418FD0" w14:textId="77777777" w:rsidR="002B5523" w:rsidRPr="00A955C7" w:rsidRDefault="002B5523" w:rsidP="002B5523">
            <w:pPr>
              <w:spacing w:after="0" w:line="240" w:lineRule="auto"/>
              <w:ind w:left="0" w:right="96" w:firstLine="0"/>
              <w:rPr>
                <w:color w:val="auto"/>
                <w:sz w:val="20"/>
                <w:szCs w:val="20"/>
              </w:rPr>
            </w:pPr>
          </w:p>
        </w:tc>
      </w:tr>
      <w:tr w:rsidR="00FA3F6B" w:rsidRPr="00A955C7" w14:paraId="65593156" w14:textId="77777777" w:rsidTr="00532C4C">
        <w:trPr>
          <w:trHeight w:val="411"/>
          <w:tblHeader/>
        </w:trPr>
        <w:tc>
          <w:tcPr>
            <w:tcW w:w="1846" w:type="dxa"/>
            <w:vMerge/>
            <w:shd w:val="clear" w:color="auto" w:fill="auto"/>
            <w:vAlign w:val="center"/>
          </w:tcPr>
          <w:p w14:paraId="1BD0130E" w14:textId="77777777" w:rsidR="00FA3F6B" w:rsidRPr="00A955C7" w:rsidRDefault="00FA3F6B" w:rsidP="00FA3F6B">
            <w:pPr>
              <w:spacing w:after="0" w:line="240" w:lineRule="auto"/>
              <w:ind w:left="0" w:right="96" w:firstLine="0"/>
              <w:rPr>
                <w:color w:val="auto"/>
                <w:sz w:val="20"/>
                <w:szCs w:val="20"/>
              </w:rPr>
            </w:pPr>
          </w:p>
        </w:tc>
        <w:tc>
          <w:tcPr>
            <w:tcW w:w="1982" w:type="dxa"/>
            <w:shd w:val="clear" w:color="auto" w:fill="auto"/>
            <w:vAlign w:val="center"/>
          </w:tcPr>
          <w:p w14:paraId="63A90851" w14:textId="1A72A368"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t>Factor externo/interno (FEI):</w:t>
            </w:r>
          </w:p>
          <w:p w14:paraId="414F0F66" w14:textId="77777777" w:rsidR="00FA3F6B" w:rsidRPr="00A955C7" w:rsidRDefault="00FA3F6B" w:rsidP="00FA3F6B">
            <w:pPr>
              <w:spacing w:after="0" w:line="240" w:lineRule="auto"/>
              <w:ind w:left="0" w:right="96" w:firstLine="0"/>
              <w:rPr>
                <w:color w:val="auto"/>
                <w:sz w:val="20"/>
                <w:szCs w:val="20"/>
              </w:rPr>
            </w:pPr>
            <w:r w:rsidRPr="00A955C7">
              <w:rPr>
                <w:color w:val="auto"/>
                <w:sz w:val="20"/>
                <w:szCs w:val="20"/>
              </w:rPr>
              <w:t>Imposibilidad de cualquier tipo para tramitar o ejecutar procedimientos de compra de insumos (sea presupuestaria, legal, de trámite, operativa, técnica, etc.).</w:t>
            </w:r>
          </w:p>
          <w:p w14:paraId="74DBE36A" w14:textId="77777777" w:rsidR="00FA3F6B" w:rsidRPr="00A955C7" w:rsidRDefault="00FA3F6B" w:rsidP="00FA3F6B">
            <w:pPr>
              <w:spacing w:after="0" w:line="240" w:lineRule="auto"/>
              <w:ind w:left="0" w:right="96" w:firstLine="0"/>
              <w:rPr>
                <w:color w:val="auto"/>
                <w:sz w:val="20"/>
                <w:szCs w:val="20"/>
              </w:rPr>
            </w:pPr>
          </w:p>
          <w:p w14:paraId="37BF9333" w14:textId="77777777"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t>Factor Externo (FE):</w:t>
            </w:r>
          </w:p>
          <w:p w14:paraId="1877CCAA" w14:textId="4B7EE1B2" w:rsidR="00FA3F6B" w:rsidRPr="00A955C7" w:rsidRDefault="00FA3F6B" w:rsidP="00FA3F6B">
            <w:pPr>
              <w:spacing w:after="0" w:line="240" w:lineRule="auto"/>
              <w:ind w:left="0" w:right="96" w:firstLine="0"/>
              <w:rPr>
                <w:color w:val="auto"/>
                <w:sz w:val="20"/>
                <w:szCs w:val="20"/>
              </w:rPr>
            </w:pPr>
            <w:r w:rsidRPr="00A955C7">
              <w:rPr>
                <w:color w:val="auto"/>
                <w:sz w:val="20"/>
                <w:szCs w:val="20"/>
              </w:rPr>
              <w:lastRenderedPageBreak/>
              <w:t>Incumplimiento de plazos de entrega de proveedores de insumos.</w:t>
            </w:r>
          </w:p>
        </w:tc>
        <w:tc>
          <w:tcPr>
            <w:tcW w:w="3830" w:type="dxa"/>
            <w:shd w:val="clear" w:color="auto" w:fill="auto"/>
            <w:vAlign w:val="center"/>
          </w:tcPr>
          <w:p w14:paraId="13499201" w14:textId="77777777"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lastRenderedPageBreak/>
              <w:t xml:space="preserve">Prevenir: </w:t>
            </w:r>
          </w:p>
          <w:p w14:paraId="3A6AA2FA" w14:textId="04FF4EB7" w:rsidR="00FA3F6B" w:rsidRPr="00A955C7" w:rsidRDefault="00FA3F6B"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Identificar insumos esenciales para los procesos y servicios críticos a cargo de la oficina o despacho.</w:t>
            </w:r>
          </w:p>
          <w:p w14:paraId="27FB238B" w14:textId="5CACD737" w:rsidR="00FA3F6B" w:rsidRPr="00A955C7" w:rsidRDefault="00FA3F6B"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Identificar las causas que pueden provocar la carestía de dichos insumos.</w:t>
            </w:r>
          </w:p>
          <w:p w14:paraId="06591B9B" w14:textId="77777777" w:rsidR="00FA3F6B" w:rsidRPr="00A955C7" w:rsidRDefault="00FA3F6B"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 xml:space="preserve">Establecer un stock de seguridad de los insumos indispensables. </w:t>
            </w:r>
          </w:p>
          <w:p w14:paraId="46F361A9" w14:textId="08BA1EF5" w:rsidR="00FA3F6B" w:rsidRPr="00A955C7" w:rsidRDefault="00FA3F6B" w:rsidP="00226479">
            <w:pPr>
              <w:pStyle w:val="Prrafodelista"/>
              <w:numPr>
                <w:ilvl w:val="0"/>
                <w:numId w:val="5"/>
              </w:numPr>
              <w:spacing w:after="0" w:line="240" w:lineRule="auto"/>
              <w:ind w:left="301" w:right="96" w:hanging="283"/>
              <w:rPr>
                <w:color w:val="auto"/>
                <w:sz w:val="20"/>
                <w:szCs w:val="20"/>
              </w:rPr>
            </w:pPr>
            <w:r w:rsidRPr="00A955C7">
              <w:rPr>
                <w:color w:val="auto"/>
                <w:sz w:val="20"/>
                <w:szCs w:val="20"/>
              </w:rPr>
              <w:t>Diseñar planes para la continuidad de los procesos o servicios críticos, en caso de escasez de los insumos esenciales.</w:t>
            </w:r>
          </w:p>
        </w:tc>
        <w:tc>
          <w:tcPr>
            <w:tcW w:w="1739" w:type="dxa"/>
            <w:shd w:val="clear" w:color="auto" w:fill="auto"/>
            <w:vAlign w:val="center"/>
          </w:tcPr>
          <w:p w14:paraId="01F66A50" w14:textId="62A752E5" w:rsidR="00FA3F6B" w:rsidRPr="00A955C7" w:rsidRDefault="007301CF" w:rsidP="00FA3F6B">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0132A1B5" w14:textId="77777777" w:rsidTr="00532C4C">
        <w:trPr>
          <w:tblHeader/>
        </w:trPr>
        <w:tc>
          <w:tcPr>
            <w:tcW w:w="1846" w:type="dxa"/>
            <w:vMerge/>
            <w:shd w:val="clear" w:color="auto" w:fill="auto"/>
            <w:vAlign w:val="center"/>
          </w:tcPr>
          <w:p w14:paraId="33C29F35" w14:textId="77777777" w:rsidR="00FA3F6B" w:rsidRPr="00A955C7" w:rsidRDefault="00FA3F6B" w:rsidP="00FA3F6B">
            <w:pPr>
              <w:spacing w:after="0" w:line="240" w:lineRule="auto"/>
              <w:ind w:left="0" w:right="96" w:firstLine="0"/>
              <w:rPr>
                <w:color w:val="auto"/>
                <w:sz w:val="20"/>
                <w:szCs w:val="20"/>
              </w:rPr>
            </w:pPr>
          </w:p>
        </w:tc>
        <w:tc>
          <w:tcPr>
            <w:tcW w:w="1982" w:type="dxa"/>
            <w:shd w:val="clear" w:color="auto" w:fill="auto"/>
            <w:vAlign w:val="center"/>
          </w:tcPr>
          <w:p w14:paraId="4C62821B" w14:textId="5BF0FF72"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t>Controles</w:t>
            </w:r>
          </w:p>
        </w:tc>
        <w:tc>
          <w:tcPr>
            <w:tcW w:w="3830" w:type="dxa"/>
            <w:shd w:val="clear" w:color="auto" w:fill="auto"/>
            <w:vAlign w:val="center"/>
          </w:tcPr>
          <w:p w14:paraId="7A261514" w14:textId="77777777" w:rsidR="00FA3F6B" w:rsidRPr="00A955C7" w:rsidRDefault="00FA3F6B" w:rsidP="00FA3F6B">
            <w:pPr>
              <w:spacing w:after="0" w:line="240" w:lineRule="auto"/>
              <w:ind w:left="0" w:right="96" w:firstLine="0"/>
              <w:rPr>
                <w:color w:val="auto"/>
                <w:sz w:val="20"/>
                <w:szCs w:val="20"/>
              </w:rPr>
            </w:pPr>
          </w:p>
        </w:tc>
        <w:tc>
          <w:tcPr>
            <w:tcW w:w="1739" w:type="dxa"/>
            <w:shd w:val="clear" w:color="auto" w:fill="auto"/>
            <w:vAlign w:val="center"/>
          </w:tcPr>
          <w:p w14:paraId="2203A737" w14:textId="77777777" w:rsidR="00FA3F6B" w:rsidRPr="00A955C7" w:rsidRDefault="00FA3F6B" w:rsidP="00FA3F6B">
            <w:pPr>
              <w:spacing w:after="0" w:line="240" w:lineRule="auto"/>
              <w:ind w:left="0" w:right="96" w:firstLine="0"/>
              <w:rPr>
                <w:color w:val="auto"/>
                <w:sz w:val="20"/>
                <w:szCs w:val="20"/>
              </w:rPr>
            </w:pPr>
          </w:p>
        </w:tc>
      </w:tr>
      <w:tr w:rsidR="00FA3F6B" w:rsidRPr="00A955C7" w14:paraId="006394B8" w14:textId="77777777" w:rsidTr="00532C4C">
        <w:trPr>
          <w:trHeight w:val="515"/>
          <w:tblHeader/>
        </w:trPr>
        <w:tc>
          <w:tcPr>
            <w:tcW w:w="1846" w:type="dxa"/>
            <w:vMerge/>
            <w:shd w:val="clear" w:color="auto" w:fill="auto"/>
            <w:vAlign w:val="center"/>
          </w:tcPr>
          <w:p w14:paraId="043B62AD" w14:textId="77777777" w:rsidR="00FA3F6B" w:rsidRPr="00A955C7" w:rsidRDefault="00FA3F6B" w:rsidP="00FA3F6B">
            <w:pPr>
              <w:spacing w:after="0" w:line="240" w:lineRule="auto"/>
              <w:ind w:left="0" w:right="96" w:firstLine="0"/>
              <w:rPr>
                <w:color w:val="auto"/>
                <w:sz w:val="20"/>
                <w:szCs w:val="20"/>
              </w:rPr>
            </w:pPr>
          </w:p>
        </w:tc>
        <w:tc>
          <w:tcPr>
            <w:tcW w:w="1982" w:type="dxa"/>
            <w:shd w:val="clear" w:color="auto" w:fill="auto"/>
            <w:vAlign w:val="center"/>
          </w:tcPr>
          <w:p w14:paraId="75453381" w14:textId="77777777" w:rsidR="00FA3F6B" w:rsidRPr="00A955C7" w:rsidRDefault="00FA3F6B" w:rsidP="00FA3F6B">
            <w:pPr>
              <w:spacing w:after="0" w:line="240" w:lineRule="auto"/>
              <w:ind w:left="0" w:right="96" w:firstLine="0"/>
              <w:rPr>
                <w:b/>
                <w:bCs/>
                <w:color w:val="auto"/>
                <w:sz w:val="20"/>
                <w:szCs w:val="20"/>
              </w:rPr>
            </w:pPr>
          </w:p>
        </w:tc>
        <w:tc>
          <w:tcPr>
            <w:tcW w:w="3830" w:type="dxa"/>
            <w:shd w:val="clear" w:color="auto" w:fill="auto"/>
            <w:vAlign w:val="center"/>
          </w:tcPr>
          <w:p w14:paraId="5E7C359D" w14:textId="2150C3BB" w:rsidR="00FA3F6B" w:rsidRPr="00A955C7" w:rsidRDefault="005A4791" w:rsidP="00226479">
            <w:pPr>
              <w:pStyle w:val="Prrafodelista"/>
              <w:numPr>
                <w:ilvl w:val="0"/>
                <w:numId w:val="4"/>
              </w:numPr>
              <w:spacing w:after="0" w:line="240" w:lineRule="auto"/>
              <w:ind w:left="262" w:right="96" w:hanging="262"/>
              <w:rPr>
                <w:color w:val="auto"/>
                <w:sz w:val="20"/>
                <w:szCs w:val="20"/>
              </w:rPr>
            </w:pPr>
            <w:r>
              <w:rPr>
                <w:color w:val="auto"/>
                <w:sz w:val="20"/>
                <w:szCs w:val="20"/>
              </w:rPr>
              <w:t>C</w:t>
            </w:r>
            <w:r w:rsidR="00FA3F6B" w:rsidRPr="00A955C7">
              <w:rPr>
                <w:color w:val="auto"/>
                <w:sz w:val="20"/>
                <w:szCs w:val="20"/>
              </w:rPr>
              <w:t xml:space="preserve">ontrol de inventario y de la obsolescencia de los insumos. </w:t>
            </w:r>
          </w:p>
          <w:p w14:paraId="11E7FB1C" w14:textId="77777777" w:rsidR="005A4791" w:rsidRPr="0077376A" w:rsidRDefault="005A4791" w:rsidP="00226479">
            <w:pPr>
              <w:pStyle w:val="Prrafodelista"/>
              <w:numPr>
                <w:ilvl w:val="0"/>
                <w:numId w:val="11"/>
              </w:numPr>
              <w:ind w:left="284" w:right="96" w:hanging="284"/>
              <w:rPr>
                <w:sz w:val="20"/>
                <w:szCs w:val="20"/>
              </w:rPr>
            </w:pPr>
            <w:r w:rsidRPr="0077376A">
              <w:rPr>
                <w:sz w:val="20"/>
                <w:szCs w:val="20"/>
              </w:rPr>
              <w:t xml:space="preserve">Actualización periódica de los manuales o procedimientos. </w:t>
            </w:r>
          </w:p>
          <w:p w14:paraId="0AB9F5FB" w14:textId="77777777" w:rsidR="005A4791" w:rsidRDefault="005A4791" w:rsidP="00226479">
            <w:pPr>
              <w:pStyle w:val="Prrafodelista"/>
              <w:numPr>
                <w:ilvl w:val="0"/>
                <w:numId w:val="11"/>
              </w:numPr>
              <w:ind w:left="284" w:hanging="284"/>
            </w:pPr>
            <w:r w:rsidRPr="0077376A">
              <w:rPr>
                <w:sz w:val="20"/>
                <w:szCs w:val="20"/>
              </w:rPr>
              <w:t>Verificación de la aplicación y funcionalidad de los planes ante situaciones simuladas (Pruebas y simulacros).</w:t>
            </w:r>
          </w:p>
          <w:p w14:paraId="7AD5BF97" w14:textId="2D0E1FD5" w:rsidR="00FA3F6B" w:rsidRPr="00A955C7" w:rsidRDefault="00FA3F6B" w:rsidP="00226479">
            <w:pPr>
              <w:pStyle w:val="Prrafodelista"/>
              <w:numPr>
                <w:ilvl w:val="0"/>
                <w:numId w:val="4"/>
              </w:numPr>
              <w:spacing w:after="0" w:line="240" w:lineRule="auto"/>
              <w:ind w:left="301" w:right="96" w:hanging="292"/>
              <w:rPr>
                <w:color w:val="auto"/>
                <w:sz w:val="20"/>
                <w:szCs w:val="20"/>
              </w:rPr>
            </w:pPr>
          </w:p>
        </w:tc>
        <w:tc>
          <w:tcPr>
            <w:tcW w:w="1739" w:type="dxa"/>
            <w:shd w:val="clear" w:color="auto" w:fill="auto"/>
            <w:vAlign w:val="center"/>
          </w:tcPr>
          <w:p w14:paraId="7523FB10" w14:textId="4823F8DA" w:rsidR="00FA3F6B" w:rsidRPr="00A955C7" w:rsidRDefault="007301CF" w:rsidP="00FA3F6B">
            <w:pPr>
              <w:spacing w:after="0" w:line="240" w:lineRule="auto"/>
              <w:ind w:left="0" w:right="96" w:firstLine="0"/>
              <w:rPr>
                <w:color w:val="auto"/>
                <w:sz w:val="20"/>
                <w:szCs w:val="20"/>
              </w:rPr>
            </w:pPr>
            <w:r w:rsidRPr="00A955C7">
              <w:rPr>
                <w:color w:val="auto"/>
                <w:sz w:val="20"/>
                <w:szCs w:val="20"/>
              </w:rPr>
              <w:t>Jefatura de la oficina. Subjefatura o puesto de Coordinación.</w:t>
            </w:r>
          </w:p>
        </w:tc>
      </w:tr>
      <w:tr w:rsidR="00FA3F6B" w:rsidRPr="00A955C7" w14:paraId="4FCB6324" w14:textId="77777777" w:rsidTr="00532C4C">
        <w:trPr>
          <w:tblHeader/>
        </w:trPr>
        <w:tc>
          <w:tcPr>
            <w:tcW w:w="1846" w:type="dxa"/>
            <w:vMerge/>
            <w:shd w:val="clear" w:color="auto" w:fill="auto"/>
            <w:vAlign w:val="center"/>
          </w:tcPr>
          <w:p w14:paraId="430FDF69" w14:textId="77777777" w:rsidR="00FA3F6B" w:rsidRPr="00A955C7" w:rsidRDefault="00FA3F6B" w:rsidP="00FA3F6B">
            <w:pPr>
              <w:spacing w:after="0" w:line="240" w:lineRule="auto"/>
              <w:ind w:left="0" w:right="96" w:firstLine="0"/>
              <w:rPr>
                <w:color w:val="auto"/>
                <w:sz w:val="20"/>
                <w:szCs w:val="20"/>
              </w:rPr>
            </w:pPr>
          </w:p>
        </w:tc>
        <w:tc>
          <w:tcPr>
            <w:tcW w:w="1982" w:type="dxa"/>
            <w:shd w:val="clear" w:color="auto" w:fill="auto"/>
            <w:vAlign w:val="center"/>
          </w:tcPr>
          <w:p w14:paraId="52FA9CE1" w14:textId="6AAD44C0"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t>Efectos</w:t>
            </w:r>
          </w:p>
        </w:tc>
        <w:tc>
          <w:tcPr>
            <w:tcW w:w="3830" w:type="dxa"/>
            <w:shd w:val="clear" w:color="auto" w:fill="auto"/>
            <w:vAlign w:val="center"/>
          </w:tcPr>
          <w:p w14:paraId="7361467E" w14:textId="77777777" w:rsidR="00FA3F6B" w:rsidRPr="00A955C7" w:rsidRDefault="00FA3F6B" w:rsidP="00FA3F6B">
            <w:pPr>
              <w:spacing w:after="0" w:line="240" w:lineRule="auto"/>
              <w:ind w:left="0" w:right="96" w:firstLine="0"/>
              <w:rPr>
                <w:color w:val="auto"/>
                <w:sz w:val="20"/>
                <w:szCs w:val="20"/>
              </w:rPr>
            </w:pPr>
          </w:p>
        </w:tc>
        <w:tc>
          <w:tcPr>
            <w:tcW w:w="1739" w:type="dxa"/>
            <w:shd w:val="clear" w:color="auto" w:fill="auto"/>
            <w:vAlign w:val="center"/>
          </w:tcPr>
          <w:p w14:paraId="75DA390B" w14:textId="77777777" w:rsidR="00FA3F6B" w:rsidRPr="00A955C7" w:rsidRDefault="00FA3F6B" w:rsidP="00FA3F6B">
            <w:pPr>
              <w:spacing w:after="0" w:line="240" w:lineRule="auto"/>
              <w:ind w:left="0" w:right="96" w:firstLine="0"/>
              <w:rPr>
                <w:color w:val="auto"/>
                <w:sz w:val="20"/>
                <w:szCs w:val="20"/>
              </w:rPr>
            </w:pPr>
          </w:p>
        </w:tc>
      </w:tr>
      <w:tr w:rsidR="00FA3F6B" w:rsidRPr="00A955C7" w14:paraId="67CDB5F4" w14:textId="77777777" w:rsidTr="00532C4C">
        <w:trPr>
          <w:trHeight w:val="569"/>
          <w:tblHeader/>
        </w:trPr>
        <w:tc>
          <w:tcPr>
            <w:tcW w:w="1846" w:type="dxa"/>
            <w:vMerge/>
            <w:shd w:val="clear" w:color="auto" w:fill="auto"/>
            <w:vAlign w:val="center"/>
          </w:tcPr>
          <w:p w14:paraId="650CDA20" w14:textId="77777777" w:rsidR="00FA3F6B" w:rsidRPr="00A955C7" w:rsidRDefault="00FA3F6B" w:rsidP="00FA3F6B">
            <w:pPr>
              <w:spacing w:after="0" w:line="240" w:lineRule="auto"/>
              <w:ind w:left="0" w:right="96" w:firstLine="0"/>
              <w:rPr>
                <w:color w:val="auto"/>
                <w:sz w:val="20"/>
                <w:szCs w:val="20"/>
              </w:rPr>
            </w:pPr>
          </w:p>
        </w:tc>
        <w:tc>
          <w:tcPr>
            <w:tcW w:w="1982" w:type="dxa"/>
            <w:shd w:val="clear" w:color="auto" w:fill="auto"/>
            <w:vAlign w:val="center"/>
          </w:tcPr>
          <w:p w14:paraId="3918EE05" w14:textId="35F90AA9" w:rsidR="00FA3F6B" w:rsidRPr="00A955C7" w:rsidRDefault="00B15310" w:rsidP="00FA3F6B">
            <w:pPr>
              <w:spacing w:after="0" w:line="240" w:lineRule="auto"/>
              <w:ind w:left="0" w:right="96" w:firstLine="0"/>
              <w:rPr>
                <w:color w:val="auto"/>
                <w:sz w:val="20"/>
                <w:szCs w:val="20"/>
              </w:rPr>
            </w:pPr>
            <w:r w:rsidRPr="00A955C7">
              <w:rPr>
                <w:color w:val="auto"/>
                <w:sz w:val="20"/>
                <w:szCs w:val="20"/>
              </w:rPr>
              <w:t xml:space="preserve">Imposibilidad de ejecutar los procedimientos por carecer </w:t>
            </w:r>
            <w:r w:rsidR="00FA3F6B" w:rsidRPr="00A955C7">
              <w:rPr>
                <w:color w:val="auto"/>
                <w:sz w:val="20"/>
                <w:szCs w:val="20"/>
              </w:rPr>
              <w:t xml:space="preserve">de insumos </w:t>
            </w:r>
            <w:r w:rsidRPr="00A955C7">
              <w:rPr>
                <w:color w:val="auto"/>
                <w:sz w:val="20"/>
                <w:szCs w:val="20"/>
              </w:rPr>
              <w:t>esenciales</w:t>
            </w:r>
            <w:r w:rsidR="00FA3F6B" w:rsidRPr="00A955C7">
              <w:rPr>
                <w:color w:val="auto"/>
                <w:sz w:val="20"/>
                <w:szCs w:val="20"/>
              </w:rPr>
              <w:t>.</w:t>
            </w:r>
          </w:p>
        </w:tc>
        <w:tc>
          <w:tcPr>
            <w:tcW w:w="3830" w:type="dxa"/>
            <w:shd w:val="clear" w:color="auto" w:fill="auto"/>
            <w:vAlign w:val="center"/>
          </w:tcPr>
          <w:p w14:paraId="4046E9EB" w14:textId="77777777" w:rsidR="00FA3F6B" w:rsidRPr="00A955C7" w:rsidRDefault="00FA3F6B" w:rsidP="00FA3F6B">
            <w:pPr>
              <w:spacing w:after="0" w:line="240" w:lineRule="auto"/>
              <w:ind w:left="0" w:right="96" w:firstLine="0"/>
              <w:rPr>
                <w:b/>
                <w:bCs/>
                <w:color w:val="auto"/>
                <w:sz w:val="20"/>
                <w:szCs w:val="20"/>
              </w:rPr>
            </w:pPr>
            <w:r w:rsidRPr="00A955C7">
              <w:rPr>
                <w:b/>
                <w:bCs/>
                <w:color w:val="auto"/>
                <w:sz w:val="20"/>
                <w:szCs w:val="20"/>
              </w:rPr>
              <w:t>Mitigar</w:t>
            </w:r>
          </w:p>
          <w:p w14:paraId="0C6FFAFB" w14:textId="7B88A007" w:rsidR="00FA3F6B" w:rsidRPr="00A955C7" w:rsidRDefault="00FA3F6B" w:rsidP="00226479">
            <w:pPr>
              <w:pStyle w:val="Prrafodelista"/>
              <w:numPr>
                <w:ilvl w:val="0"/>
                <w:numId w:val="9"/>
              </w:numPr>
              <w:tabs>
                <w:tab w:val="left" w:pos="317"/>
              </w:tabs>
              <w:spacing w:after="0" w:line="240" w:lineRule="auto"/>
              <w:ind w:right="96"/>
              <w:rPr>
                <w:color w:val="auto"/>
                <w:sz w:val="20"/>
                <w:szCs w:val="20"/>
              </w:rPr>
            </w:pPr>
            <w:r w:rsidRPr="00A955C7">
              <w:rPr>
                <w:color w:val="auto"/>
                <w:sz w:val="20"/>
                <w:szCs w:val="20"/>
              </w:rPr>
              <w:t>Ejecutar los procedimientos de continuidad para atender los procesos o servicios catalogados como críticos que se ven afectados por la indisponibilidad de la infraestructura física.</w:t>
            </w:r>
          </w:p>
        </w:tc>
        <w:tc>
          <w:tcPr>
            <w:tcW w:w="1739" w:type="dxa"/>
            <w:shd w:val="clear" w:color="auto" w:fill="auto"/>
            <w:vAlign w:val="center"/>
          </w:tcPr>
          <w:p w14:paraId="3EFC1566" w14:textId="0D2890FC" w:rsidR="00FA3F6B" w:rsidRPr="00A955C7" w:rsidRDefault="007301CF" w:rsidP="00FA3F6B">
            <w:pPr>
              <w:spacing w:after="0" w:line="240" w:lineRule="auto"/>
              <w:ind w:left="0" w:right="96" w:firstLine="0"/>
              <w:rPr>
                <w:color w:val="auto"/>
                <w:sz w:val="20"/>
                <w:szCs w:val="20"/>
              </w:rPr>
            </w:pPr>
            <w:r w:rsidRPr="00A955C7">
              <w:rPr>
                <w:color w:val="auto"/>
                <w:sz w:val="20"/>
                <w:szCs w:val="20"/>
              </w:rPr>
              <w:t>Todo el personal de la oficina o despacho.</w:t>
            </w:r>
          </w:p>
        </w:tc>
      </w:tr>
    </w:tbl>
    <w:p w14:paraId="0F3FAADD" w14:textId="715C939D" w:rsidR="00533798" w:rsidRDefault="00533798" w:rsidP="009D09DC">
      <w:pPr>
        <w:spacing w:after="0" w:line="240" w:lineRule="auto"/>
        <w:ind w:left="-5" w:right="94"/>
      </w:pPr>
    </w:p>
    <w:p w14:paraId="0797E10E" w14:textId="213E89F4" w:rsidR="00A3069A" w:rsidRPr="0070574C" w:rsidRDefault="00A3069A" w:rsidP="009D09DC">
      <w:pPr>
        <w:spacing w:after="0" w:line="240" w:lineRule="auto"/>
        <w:ind w:left="-5" w:right="94"/>
      </w:pPr>
      <w:r>
        <w:t xml:space="preserve">Fuente: Elaboración </w:t>
      </w:r>
      <w:r w:rsidR="00DA1601">
        <w:t xml:space="preserve">propia </w:t>
      </w:r>
      <w:r>
        <w:t>aplicando la metodología del SEVRI-PJ de la Oficina de Control Interno.</w:t>
      </w:r>
    </w:p>
    <w:p w14:paraId="1EDF6C4B" w14:textId="48E7A852" w:rsidR="00BF4E36" w:rsidRPr="0070574C" w:rsidRDefault="00BF4E36" w:rsidP="009D09DC">
      <w:pPr>
        <w:spacing w:after="0" w:line="240" w:lineRule="auto"/>
        <w:ind w:left="-5" w:right="94"/>
      </w:pPr>
    </w:p>
    <w:p w14:paraId="7A3133F1" w14:textId="63BEC1F2" w:rsidR="005D4059" w:rsidRDefault="00A3069A" w:rsidP="009D09DC">
      <w:pPr>
        <w:spacing w:after="0" w:line="240" w:lineRule="auto"/>
        <w:ind w:left="-5" w:right="94"/>
      </w:pPr>
      <w:r>
        <w:t xml:space="preserve">Tal como se dijo al anteceder esta tabla, cada oficina debe aplicar este ejercicio a su particularidad, según los factores de riesgo que le </w:t>
      </w:r>
      <w:r w:rsidR="00EA311F">
        <w:t>afecten</w:t>
      </w:r>
      <w:r>
        <w:t xml:space="preserve">, para lo cual pueden tomar como referente el contenido de la tabla </w:t>
      </w:r>
      <w:r w:rsidR="00A21C63" w:rsidRPr="00EA311F">
        <w:rPr>
          <w:i/>
          <w:iCs/>
        </w:rPr>
        <w:t xml:space="preserve">“Tabla 6. Identificación de riesgos de continuidad en el Poder Judicial” </w:t>
      </w:r>
      <w:r w:rsidR="00A21C63">
        <w:t xml:space="preserve">del presente informe. </w:t>
      </w:r>
    </w:p>
    <w:p w14:paraId="3CFB811F" w14:textId="1DC6994E" w:rsidR="00A3069A" w:rsidRDefault="00A3069A" w:rsidP="009D09DC">
      <w:pPr>
        <w:spacing w:after="0" w:line="240" w:lineRule="auto"/>
        <w:ind w:left="-5" w:right="94"/>
      </w:pPr>
    </w:p>
    <w:p w14:paraId="66F40C97" w14:textId="77777777" w:rsidR="0017748A" w:rsidRPr="0070574C" w:rsidRDefault="0017748A" w:rsidP="009D09DC">
      <w:pPr>
        <w:spacing w:after="0" w:line="240" w:lineRule="auto"/>
        <w:ind w:left="-5" w:right="94"/>
      </w:pPr>
    </w:p>
    <w:p w14:paraId="13058420" w14:textId="0080A529" w:rsidR="005D4059" w:rsidRPr="00900DA4" w:rsidRDefault="005D4059" w:rsidP="009D09DC">
      <w:pPr>
        <w:pStyle w:val="Ttulo1"/>
        <w:spacing w:after="0" w:line="240" w:lineRule="auto"/>
        <w:jc w:val="both"/>
        <w:rPr>
          <w:b/>
          <w:bCs/>
          <w:color w:val="002060"/>
          <w:sz w:val="32"/>
          <w:szCs w:val="32"/>
        </w:rPr>
      </w:pPr>
      <w:bookmarkStart w:id="33" w:name="_Toc155778544"/>
      <w:r w:rsidRPr="00900DA4">
        <w:rPr>
          <w:b/>
          <w:bCs/>
          <w:color w:val="002060"/>
          <w:sz w:val="32"/>
          <w:szCs w:val="32"/>
        </w:rPr>
        <w:t>10.</w:t>
      </w:r>
      <w:r w:rsidRPr="00900DA4">
        <w:rPr>
          <w:b/>
          <w:bCs/>
          <w:color w:val="002060"/>
          <w:sz w:val="32"/>
          <w:szCs w:val="32"/>
        </w:rPr>
        <w:tab/>
        <w:t xml:space="preserve"> Conclusiones</w:t>
      </w:r>
      <w:bookmarkEnd w:id="33"/>
      <w:r w:rsidRPr="00900DA4">
        <w:rPr>
          <w:b/>
          <w:bCs/>
          <w:color w:val="002060"/>
          <w:sz w:val="32"/>
          <w:szCs w:val="32"/>
        </w:rPr>
        <w:t xml:space="preserve"> </w:t>
      </w:r>
    </w:p>
    <w:p w14:paraId="164C953A" w14:textId="139F6781" w:rsidR="005D4059" w:rsidRPr="0070574C" w:rsidRDefault="005D4059" w:rsidP="009D09DC">
      <w:pPr>
        <w:spacing w:after="0" w:line="240" w:lineRule="auto"/>
        <w:ind w:left="-5" w:right="94"/>
      </w:pPr>
    </w:p>
    <w:p w14:paraId="3FAB4703" w14:textId="28234060" w:rsidR="006F2A3C" w:rsidRPr="006F2A3C" w:rsidRDefault="00D67677" w:rsidP="00934D76">
      <w:pPr>
        <w:spacing w:after="0" w:line="240" w:lineRule="auto"/>
        <w:ind w:left="-5" w:right="94"/>
        <w:rPr>
          <w:color w:val="FF0000"/>
        </w:rPr>
      </w:pPr>
      <w:r w:rsidRPr="00D67677">
        <w:rPr>
          <w:color w:val="auto"/>
        </w:rPr>
        <w:t>En</w:t>
      </w:r>
      <w:r w:rsidR="006F2A3C" w:rsidRPr="00D67677">
        <w:rPr>
          <w:color w:val="auto"/>
        </w:rPr>
        <w:t xml:space="preserve"> sesión del Consejo Superior número 48-2022, celebrada el 7 de junio de 2022, artículo LXXV (acuerdo confidencial), entre otros puntos, </w:t>
      </w:r>
      <w:r w:rsidRPr="00D67677">
        <w:rPr>
          <w:color w:val="auto"/>
        </w:rPr>
        <w:t xml:space="preserve">se </w:t>
      </w:r>
      <w:r w:rsidR="006F2A3C" w:rsidRPr="00D67677">
        <w:rPr>
          <w:color w:val="auto"/>
        </w:rPr>
        <w:t xml:space="preserve">avaló la conformación del </w:t>
      </w:r>
      <w:r w:rsidR="006F2A3C" w:rsidRPr="00D67677">
        <w:rPr>
          <w:i/>
          <w:iCs/>
          <w:color w:val="auto"/>
        </w:rPr>
        <w:t>“Proceso de Gestión de Continuidad del Servicio”</w:t>
      </w:r>
      <w:r w:rsidR="006F2A3C" w:rsidRPr="00D67677">
        <w:rPr>
          <w:color w:val="auto"/>
        </w:rPr>
        <w:t xml:space="preserve">, como un nuevo proceso institucional, de naturaleza crítica y estratégica dentro del Poder Judicial. Por su parte, la Ley General de Administración Pública en su artículo 4 establece la obligación de que todos los servicios públicos deben cumplir con principios y entre ellos </w:t>
      </w:r>
      <w:r w:rsidR="006F2A3C" w:rsidRPr="00EA311F">
        <w:rPr>
          <w:i/>
          <w:iCs/>
          <w:color w:val="auto"/>
        </w:rPr>
        <w:t>la continuidad del servicio</w:t>
      </w:r>
      <w:r w:rsidR="006F2A3C" w:rsidRPr="00D67677">
        <w:rPr>
          <w:color w:val="auto"/>
        </w:rPr>
        <w:t xml:space="preserve">; además, el artículo 14 de la Ley General de Control Interno establece el deber del jerarca y de los titulares subordinados de analizar y valorar los riesgos y adoptar las medidas necesarias para disminuir el nivel de riesgo, en este caso </w:t>
      </w:r>
      <w:r w:rsidRPr="00D67677">
        <w:rPr>
          <w:color w:val="auto"/>
        </w:rPr>
        <w:t>sobre la interrupción del</w:t>
      </w:r>
      <w:r w:rsidR="006F2A3C" w:rsidRPr="00D67677">
        <w:rPr>
          <w:color w:val="auto"/>
        </w:rPr>
        <w:t xml:space="preserve"> servicio público que presta el Poder Judicial. </w:t>
      </w:r>
    </w:p>
    <w:p w14:paraId="512D4E5D" w14:textId="77777777" w:rsidR="006F2A3C" w:rsidRDefault="006F2A3C" w:rsidP="00934D76">
      <w:pPr>
        <w:spacing w:after="0" w:line="240" w:lineRule="auto"/>
        <w:ind w:left="-5" w:right="94"/>
      </w:pPr>
    </w:p>
    <w:p w14:paraId="61740C61" w14:textId="6B696615" w:rsidR="007D4DD9" w:rsidRDefault="00B14538" w:rsidP="00934D76">
      <w:pPr>
        <w:spacing w:after="0" w:line="240" w:lineRule="auto"/>
        <w:ind w:left="-5" w:right="94"/>
      </w:pPr>
      <w:r>
        <w:t xml:space="preserve">En el presente análisis se determina el peso relativo de los </w:t>
      </w:r>
      <w:r w:rsidR="00934D76">
        <w:t>riesgos de disrupción para las actividades priorizadas del Poder Judicial</w:t>
      </w:r>
      <w:r>
        <w:t xml:space="preserve">, según </w:t>
      </w:r>
      <w:r w:rsidR="007D4DD9">
        <w:t xml:space="preserve">cuantificación aplicada a </w:t>
      </w:r>
      <w:r>
        <w:t>la identificación</w:t>
      </w:r>
      <w:r w:rsidR="007D4DD9">
        <w:t xml:space="preserve"> de riesgos</w:t>
      </w:r>
      <w:r>
        <w:t xml:space="preserve"> realizada por las persona</w:t>
      </w:r>
      <w:r w:rsidR="00EA311F">
        <w:t>s</w:t>
      </w:r>
      <w:r>
        <w:t xml:space="preserve"> dueñas de procesos</w:t>
      </w:r>
      <w:r w:rsidR="007D4DD9">
        <w:t xml:space="preserve"> y servicios críticos en el </w:t>
      </w:r>
      <w:r w:rsidR="007D4DD9" w:rsidRPr="00EA311F">
        <w:rPr>
          <w:i/>
          <w:iCs/>
        </w:rPr>
        <w:t xml:space="preserve">“Informe de </w:t>
      </w:r>
      <w:r w:rsidR="007D4DD9" w:rsidRPr="00EA311F">
        <w:rPr>
          <w:i/>
          <w:iCs/>
        </w:rPr>
        <w:lastRenderedPageBreak/>
        <w:t>Análisis de Riesgos de Continuidad del Servicio del Poder Judicial”</w:t>
      </w:r>
      <w:r w:rsidR="007D4DD9" w:rsidRPr="007D4DD9">
        <w:t>, aprobado por el Consejo Superior en la sesión 72-2020 celebrada el 16 de julio de 2020, artículo XIII.</w:t>
      </w:r>
    </w:p>
    <w:p w14:paraId="2ADEE63B" w14:textId="77777777" w:rsidR="007D4DD9" w:rsidRDefault="007D4DD9" w:rsidP="00934D76">
      <w:pPr>
        <w:spacing w:after="0" w:line="240" w:lineRule="auto"/>
        <w:ind w:left="-5" w:right="94"/>
      </w:pPr>
    </w:p>
    <w:p w14:paraId="13918027" w14:textId="1532A895" w:rsidR="00934D76" w:rsidRDefault="007D4DD9" w:rsidP="00934D76">
      <w:pPr>
        <w:spacing w:after="0" w:line="240" w:lineRule="auto"/>
        <w:ind w:left="-5" w:right="94"/>
      </w:pPr>
      <w:r>
        <w:t xml:space="preserve">A la ponderación de riesgos se incorpora la valoración según el conocimiento adquirido en el Poder Judicial con </w:t>
      </w:r>
      <w:r w:rsidR="00934D76">
        <w:t>los recientes cambios en la organización y en el contexto</w:t>
      </w:r>
      <w:r>
        <w:t xml:space="preserve">, principalmente por la vivencia de la materialización de riesgos derivados del </w:t>
      </w:r>
      <w:r w:rsidR="00EA311F">
        <w:t>h</w:t>
      </w:r>
      <w:r>
        <w:t>uracán Otto en el año 2016, la huelga del personal judicial en el año 2018, la pandemia ocasionada por el COVID-19 en el año 2020 y siguientes, la amenaza por ataques cibernéticos a instituciones públicas, así como otros riesgos de menor alcance, pero que también se han materializado (inundaciones, incidentes tecnológicos, cortes del suministro eléctrico, caídas de centros de datos, por ejemplo)</w:t>
      </w:r>
      <w:r w:rsidR="00934D76">
        <w:t>.</w:t>
      </w:r>
    </w:p>
    <w:p w14:paraId="4FEE2259" w14:textId="77777777" w:rsidR="00934D76" w:rsidRDefault="00934D76" w:rsidP="00934D76">
      <w:pPr>
        <w:spacing w:after="0" w:line="240" w:lineRule="auto"/>
        <w:ind w:left="-5" w:right="94"/>
      </w:pPr>
    </w:p>
    <w:p w14:paraId="1760EE77" w14:textId="1859E0AE" w:rsidR="009A1793" w:rsidRPr="0070574C" w:rsidRDefault="007D4DD9" w:rsidP="00934D76">
      <w:pPr>
        <w:spacing w:after="0" w:line="240" w:lineRule="auto"/>
        <w:ind w:left="-5" w:right="94"/>
      </w:pPr>
      <w:r>
        <w:t>De esta m</w:t>
      </w:r>
      <w:r w:rsidR="00EA311F">
        <w:t>a</w:t>
      </w:r>
      <w:r>
        <w:t xml:space="preserve">nera, en este documento se consiga el resultado de la identificación de </w:t>
      </w:r>
      <w:r w:rsidR="00934D76">
        <w:t>los riesgos de continuidad vinculados a los procesos y servicios institucionales que resultan críticos o esenciales para el Poder Judicial</w:t>
      </w:r>
      <w:r>
        <w:t>; a la vez que se c</w:t>
      </w:r>
      <w:r w:rsidR="00934D76">
        <w:t>ategorizar</w:t>
      </w:r>
      <w:r>
        <w:t>on</w:t>
      </w:r>
      <w:r w:rsidR="00934D76">
        <w:t xml:space="preserve"> los distintos tipos de riesgos de continuidad, según escenarios de disrupción que podrían afectar al Poder Judicial.</w:t>
      </w:r>
    </w:p>
    <w:p w14:paraId="34551007" w14:textId="171CCE11" w:rsidR="005D4059" w:rsidRDefault="005D4059" w:rsidP="009D09DC">
      <w:pPr>
        <w:spacing w:after="0" w:line="240" w:lineRule="auto"/>
        <w:ind w:left="-5" w:right="94"/>
      </w:pPr>
    </w:p>
    <w:p w14:paraId="471A0FA8" w14:textId="3055FE89" w:rsidR="007D4DD9" w:rsidRDefault="007C3205" w:rsidP="009D09DC">
      <w:pPr>
        <w:spacing w:after="0" w:line="240" w:lineRule="auto"/>
        <w:ind w:left="-5" w:right="94"/>
      </w:pPr>
      <w:r>
        <w:t>Entre los principales resultados, se tienen:</w:t>
      </w:r>
    </w:p>
    <w:p w14:paraId="6E129579" w14:textId="59FD3CA4" w:rsidR="007C3205" w:rsidRDefault="007C3205" w:rsidP="009D09DC">
      <w:pPr>
        <w:spacing w:after="0" w:line="240" w:lineRule="auto"/>
        <w:ind w:left="-5" w:right="94"/>
      </w:pPr>
    </w:p>
    <w:p w14:paraId="630C38D1" w14:textId="60751DAC" w:rsidR="007C3205" w:rsidRDefault="0037542D" w:rsidP="00226479">
      <w:pPr>
        <w:pStyle w:val="Prrafodelista"/>
        <w:numPr>
          <w:ilvl w:val="0"/>
          <w:numId w:val="12"/>
        </w:numPr>
        <w:spacing w:after="0" w:line="240" w:lineRule="auto"/>
        <w:ind w:right="94"/>
      </w:pPr>
      <w:r>
        <w:t xml:space="preserve">Se cuantifican 530 </w:t>
      </w:r>
      <w:r w:rsidR="002C24D1">
        <w:t xml:space="preserve">recurrencias de </w:t>
      </w:r>
      <w:r>
        <w:t xml:space="preserve">factores </w:t>
      </w:r>
      <w:r w:rsidR="00C43CA6">
        <w:t xml:space="preserve">o fuentes </w:t>
      </w:r>
      <w:r>
        <w:t xml:space="preserve">de riesgo. Estos son, </w:t>
      </w:r>
      <w:r w:rsidR="00C43CA6" w:rsidRPr="006E2EC7">
        <w:rPr>
          <w:i/>
          <w:iCs/>
        </w:rPr>
        <w:t>elementos que solos o en combinación, tiene el potencial intrínseco para generar un riesgo</w:t>
      </w:r>
      <w:r w:rsidR="006E2EC7">
        <w:rPr>
          <w:i/>
          <w:iCs/>
        </w:rPr>
        <w:t xml:space="preserve"> </w:t>
      </w:r>
      <w:r w:rsidR="006E2EC7">
        <w:t>(ISO 31000)</w:t>
      </w:r>
      <w:r w:rsidR="00C43CA6">
        <w:t>.</w:t>
      </w:r>
    </w:p>
    <w:p w14:paraId="34D848F9" w14:textId="77777777" w:rsidR="00C43CA6" w:rsidRDefault="00C43CA6" w:rsidP="00C43CA6">
      <w:pPr>
        <w:pStyle w:val="Prrafodelista"/>
        <w:spacing w:after="0" w:line="240" w:lineRule="auto"/>
        <w:ind w:left="345" w:right="94" w:firstLine="0"/>
      </w:pPr>
    </w:p>
    <w:p w14:paraId="1E67D557" w14:textId="68743FC9" w:rsidR="00C43CA6" w:rsidRDefault="00C43CA6" w:rsidP="00226479">
      <w:pPr>
        <w:pStyle w:val="Prrafodelista"/>
        <w:numPr>
          <w:ilvl w:val="0"/>
          <w:numId w:val="12"/>
        </w:numPr>
        <w:spacing w:after="0" w:line="240" w:lineRule="auto"/>
        <w:ind w:right="94"/>
      </w:pPr>
      <w:r>
        <w:t xml:space="preserve">Los factores fueron agrupados, según su afectación, en cinco escenarios de riesgo: </w:t>
      </w:r>
      <w:r w:rsidRPr="00EA311F">
        <w:rPr>
          <w:b/>
          <w:bCs/>
        </w:rPr>
        <w:t>a)</w:t>
      </w:r>
      <w:r>
        <w:t xml:space="preserve"> Indisponibilidad del Recurso Humano, </w:t>
      </w:r>
      <w:r w:rsidRPr="00EA311F">
        <w:rPr>
          <w:b/>
          <w:bCs/>
        </w:rPr>
        <w:t>b)</w:t>
      </w:r>
      <w:r>
        <w:t xml:space="preserve"> Indisponibilidad de la infraestructura física, </w:t>
      </w:r>
      <w:r w:rsidRPr="00EA311F">
        <w:rPr>
          <w:b/>
          <w:bCs/>
        </w:rPr>
        <w:t>c)</w:t>
      </w:r>
      <w:r>
        <w:t xml:space="preserve"> Indisponibilidad tecnológica, </w:t>
      </w:r>
      <w:r w:rsidRPr="00EA311F">
        <w:rPr>
          <w:b/>
          <w:bCs/>
        </w:rPr>
        <w:t>d)</w:t>
      </w:r>
      <w:r>
        <w:t xml:space="preserve"> Dependencia de proveedores externos y </w:t>
      </w:r>
      <w:r w:rsidRPr="00EA311F">
        <w:rPr>
          <w:b/>
          <w:bCs/>
        </w:rPr>
        <w:t>e)</w:t>
      </w:r>
      <w:r>
        <w:t xml:space="preserve"> Carencia de insumos. </w:t>
      </w:r>
    </w:p>
    <w:p w14:paraId="36AF1B8E" w14:textId="77777777" w:rsidR="00C43CA6" w:rsidRDefault="00C43CA6" w:rsidP="00C43CA6">
      <w:pPr>
        <w:pStyle w:val="Prrafodelista"/>
      </w:pPr>
    </w:p>
    <w:p w14:paraId="43577AC2" w14:textId="4B0D3778" w:rsidR="00F977DA" w:rsidRDefault="006E2EC7" w:rsidP="00226479">
      <w:pPr>
        <w:pStyle w:val="Prrafodelista"/>
        <w:numPr>
          <w:ilvl w:val="0"/>
          <w:numId w:val="12"/>
        </w:numPr>
        <w:spacing w:after="0" w:line="240" w:lineRule="auto"/>
        <w:ind w:right="94"/>
      </w:pPr>
      <w:r>
        <w:t xml:space="preserve">El escenario de </w:t>
      </w:r>
      <w:r w:rsidR="00F977DA">
        <w:t>“</w:t>
      </w:r>
      <w:r>
        <w:t>Indisponibilidad de la infraestructura física</w:t>
      </w:r>
      <w:r w:rsidR="00F977DA">
        <w:t>”</w:t>
      </w:r>
      <w:r>
        <w:t xml:space="preserve"> recoge la mayor cantidad de recurrencias en diferentes factores, con un 44,3% del total de registros anotados. De este escenario, los daños por agua (8,5%) y desastres naturales (8,3%) son los factores de mayor recurrencia y </w:t>
      </w:r>
      <w:r w:rsidR="00F977DA">
        <w:t>cuenta</w:t>
      </w:r>
      <w:r w:rsidR="00EA311F">
        <w:t>n</w:t>
      </w:r>
      <w:r w:rsidR="00F977DA">
        <w:t xml:space="preserve"> con experiencias donde se </w:t>
      </w:r>
      <w:r>
        <w:t>han materializado. Les siguen en porcentaje de recurrencia las amenazas por ataques externos (8,1%), fuego (7,9%) y desastres industriales o en el espacio de trabajo (7,5%).</w:t>
      </w:r>
      <w:r w:rsidR="00A703D3">
        <w:t xml:space="preserve"> </w:t>
      </w:r>
    </w:p>
    <w:p w14:paraId="0E0D3FF8" w14:textId="77777777" w:rsidR="00F977DA" w:rsidRDefault="00F977DA" w:rsidP="00F977DA">
      <w:pPr>
        <w:pStyle w:val="Prrafodelista"/>
      </w:pPr>
    </w:p>
    <w:p w14:paraId="1FEE1D54" w14:textId="78909936" w:rsidR="00C43CA6" w:rsidRDefault="00A703D3" w:rsidP="00F977DA">
      <w:pPr>
        <w:pStyle w:val="Prrafodelista"/>
        <w:spacing w:after="0" w:line="240" w:lineRule="auto"/>
        <w:ind w:left="345" w:right="94" w:firstLine="0"/>
      </w:pPr>
      <w:r>
        <w:t xml:space="preserve">Según el análisis de riesgo inherente a nivel global para el escenario de Indisponibilidad de la infraestructura, </w:t>
      </w:r>
      <w:r w:rsidR="00F977DA">
        <w:t xml:space="preserve">este se clasifica como </w:t>
      </w:r>
      <w:r w:rsidR="00F977DA" w:rsidRPr="00F977DA">
        <w:rPr>
          <w:b/>
          <w:bCs/>
        </w:rPr>
        <w:t>Alto</w:t>
      </w:r>
      <w:r w:rsidR="00F977DA">
        <w:t xml:space="preserve">, debido a que su </w:t>
      </w:r>
      <w:r>
        <w:t xml:space="preserve">ocurrencia </w:t>
      </w:r>
      <w:r w:rsidR="00F977DA">
        <w:t xml:space="preserve">es </w:t>
      </w:r>
      <w:r>
        <w:t xml:space="preserve">muy </w:t>
      </w:r>
      <w:r w:rsidR="00F977DA">
        <w:t>probable</w:t>
      </w:r>
      <w:r>
        <w:t xml:space="preserve"> y su impacto es muy alto sobre la continuidad de los servicios institucionales</w:t>
      </w:r>
      <w:r w:rsidR="00F977DA">
        <w:t>.</w:t>
      </w:r>
      <w:r>
        <w:t xml:space="preserve"> </w:t>
      </w:r>
    </w:p>
    <w:p w14:paraId="5917F7E0" w14:textId="77777777" w:rsidR="006E2EC7" w:rsidRDefault="006E2EC7" w:rsidP="006E2EC7">
      <w:pPr>
        <w:pStyle w:val="Prrafodelista"/>
      </w:pPr>
    </w:p>
    <w:p w14:paraId="7A1D822D" w14:textId="7A1D6342" w:rsidR="006E2EC7" w:rsidRDefault="00F977DA" w:rsidP="00226479">
      <w:pPr>
        <w:pStyle w:val="Prrafodelista"/>
        <w:numPr>
          <w:ilvl w:val="0"/>
          <w:numId w:val="12"/>
        </w:numPr>
        <w:spacing w:after="0" w:line="240" w:lineRule="auto"/>
        <w:ind w:right="94"/>
      </w:pPr>
      <w:r>
        <w:t>En porcentaje de importancia relativa sigue el escenario de “</w:t>
      </w:r>
      <w:r w:rsidRPr="00F977DA">
        <w:t>Indisponibilidad tecnológica</w:t>
      </w:r>
      <w:r>
        <w:t>” con un 31,5% de la recurrencia total de factore</w:t>
      </w:r>
      <w:r w:rsidR="00C61119">
        <w:t>s</w:t>
      </w:r>
      <w:r>
        <w:t xml:space="preserve"> o fuentes de riesgos de disrupción</w:t>
      </w:r>
      <w:r w:rsidR="00EA311F">
        <w:t xml:space="preserve"> identificados</w:t>
      </w:r>
      <w:r>
        <w:t xml:space="preserve">. En este escenario </w:t>
      </w:r>
      <w:r w:rsidR="00C61119">
        <w:t>el corte de suministro eléctrico (8,1%), falla de servicios de comunicaciones (5,3%) y falla de sistemas o plataformas de operaciones (1,1%) se han materializado; pero también tienen una importancia muy significativa</w:t>
      </w:r>
      <w:r w:rsidR="00EA311F">
        <w:t>,</w:t>
      </w:r>
      <w:r w:rsidR="00C61119">
        <w:t xml:space="preserve"> por el riesgo que representan</w:t>
      </w:r>
      <w:r w:rsidR="00EA311F">
        <w:t>,</w:t>
      </w:r>
      <w:r w:rsidR="00C61119">
        <w:t xml:space="preserve"> las amenazas tecnológicas (7,5%) y el a</w:t>
      </w:r>
      <w:r w:rsidR="00C61119" w:rsidRPr="00C61119">
        <w:t>cceso no autorizado a la infraestructura tecnológica</w:t>
      </w:r>
      <w:r w:rsidR="00C61119">
        <w:t xml:space="preserve"> (6,8%).</w:t>
      </w:r>
    </w:p>
    <w:p w14:paraId="06AA9A74" w14:textId="59F40BBC" w:rsidR="00C61119" w:rsidRDefault="00C61119" w:rsidP="00C61119">
      <w:pPr>
        <w:pStyle w:val="Prrafodelista"/>
        <w:spacing w:after="0" w:line="240" w:lineRule="auto"/>
        <w:ind w:left="345" w:right="94" w:firstLine="0"/>
      </w:pPr>
    </w:p>
    <w:p w14:paraId="3EED74FD" w14:textId="52614493" w:rsidR="00C61119" w:rsidRDefault="00C61119" w:rsidP="00C61119">
      <w:pPr>
        <w:pStyle w:val="Prrafodelista"/>
        <w:spacing w:after="0" w:line="240" w:lineRule="auto"/>
        <w:ind w:left="345" w:right="94" w:firstLine="0"/>
      </w:pPr>
      <w:r>
        <w:lastRenderedPageBreak/>
        <w:t xml:space="preserve">Según el análisis de riesgo inherente a nivel global para el escenario de Indisponibilidad tecnológica, este se clasifica como </w:t>
      </w:r>
      <w:r w:rsidRPr="00F977DA">
        <w:rPr>
          <w:b/>
          <w:bCs/>
        </w:rPr>
        <w:t>Alto</w:t>
      </w:r>
      <w:r>
        <w:t xml:space="preserve">, debido a que su ocurrencia es muy probable y su impacto también es muy alto sobre la continuidad de los servicios institucionales. </w:t>
      </w:r>
    </w:p>
    <w:p w14:paraId="027322F6" w14:textId="77777777" w:rsidR="00C61119" w:rsidRDefault="00C61119" w:rsidP="00C61119">
      <w:pPr>
        <w:pStyle w:val="Prrafodelista"/>
        <w:spacing w:after="0" w:line="240" w:lineRule="auto"/>
        <w:ind w:left="345" w:right="94" w:firstLine="0"/>
      </w:pPr>
    </w:p>
    <w:p w14:paraId="77FEEC11" w14:textId="5245F00B" w:rsidR="00044AED" w:rsidRDefault="00C61119" w:rsidP="00226479">
      <w:pPr>
        <w:pStyle w:val="Prrafodelista"/>
        <w:numPr>
          <w:ilvl w:val="0"/>
          <w:numId w:val="12"/>
        </w:numPr>
        <w:spacing w:after="0" w:line="240" w:lineRule="auto"/>
        <w:ind w:right="94"/>
      </w:pPr>
      <w:r>
        <w:t>El escenario de “</w:t>
      </w:r>
      <w:r w:rsidRPr="00C61119">
        <w:t>Indisponibilidad del recurso humano</w:t>
      </w:r>
      <w:r>
        <w:t xml:space="preserve">” </w:t>
      </w:r>
      <w:r w:rsidR="00044AED">
        <w:t xml:space="preserve">agrupa el 14% de la recurrencia de los factores o fuentes de riesgo. En particular, la indisponibilidad o carencia del personal por sí solo concentra el 8,9% de las recurrencias y como bien es conocido a nivel institucional, es un riesgo materializado. A nivel de riesgo inherente se clasifica como </w:t>
      </w:r>
      <w:r w:rsidR="00044AED" w:rsidRPr="00044AED">
        <w:rPr>
          <w:b/>
          <w:bCs/>
        </w:rPr>
        <w:t>Alto</w:t>
      </w:r>
      <w:r w:rsidR="00044AED">
        <w:t xml:space="preserve"> en virtud de la </w:t>
      </w:r>
      <w:r w:rsidR="00EA311F">
        <w:t xml:space="preserve">vital </w:t>
      </w:r>
      <w:r w:rsidR="00044AED">
        <w:t>dependencia que los servicios institucionales tienen del factor y capital humano.</w:t>
      </w:r>
    </w:p>
    <w:p w14:paraId="01829A61" w14:textId="0A6923C7" w:rsidR="00044AED" w:rsidRDefault="00044AED" w:rsidP="00044AED">
      <w:pPr>
        <w:pStyle w:val="Prrafodelista"/>
        <w:spacing w:after="0" w:line="240" w:lineRule="auto"/>
        <w:ind w:left="345" w:right="94" w:firstLine="0"/>
      </w:pPr>
    </w:p>
    <w:p w14:paraId="7E8E4708" w14:textId="39B08B06" w:rsidR="00044AED" w:rsidRDefault="00044AED" w:rsidP="00044AED">
      <w:pPr>
        <w:pStyle w:val="Prrafodelista"/>
        <w:spacing w:after="0" w:line="240" w:lineRule="auto"/>
        <w:ind w:left="345" w:right="94" w:firstLine="0"/>
      </w:pPr>
      <w:r>
        <w:t>En este escenario también sobresalen la falta de personal capacitado o especializado y la indisponibilidad del personal informático</w:t>
      </w:r>
      <w:r w:rsidR="00ED261C">
        <w:t xml:space="preserve"> asociado a procesos o servicios críticos y a la labor de mantener operativa la plataforma tecnológica</w:t>
      </w:r>
      <w:r>
        <w:t>. Al agrupar estos dos factores con el anterior, suman un 12,1% de las recurrencias en total, lo cual vuelve a res</w:t>
      </w:r>
      <w:r w:rsidR="00ED261C">
        <w:t>a</w:t>
      </w:r>
      <w:r>
        <w:t xml:space="preserve">ltar la criticidad del personal a nivel institucional. </w:t>
      </w:r>
    </w:p>
    <w:p w14:paraId="6BC29BD4" w14:textId="77777777" w:rsidR="00044AED" w:rsidRDefault="00044AED" w:rsidP="00044AED">
      <w:pPr>
        <w:pStyle w:val="Prrafodelista"/>
        <w:spacing w:after="0" w:line="240" w:lineRule="auto"/>
        <w:ind w:left="345" w:right="94" w:firstLine="0"/>
      </w:pPr>
    </w:p>
    <w:p w14:paraId="29951590" w14:textId="44D24816" w:rsidR="00044AED" w:rsidRDefault="00A26423" w:rsidP="00226479">
      <w:pPr>
        <w:pStyle w:val="Prrafodelista"/>
        <w:numPr>
          <w:ilvl w:val="0"/>
          <w:numId w:val="12"/>
        </w:numPr>
        <w:spacing w:after="0" w:line="240" w:lineRule="auto"/>
        <w:ind w:right="94"/>
      </w:pPr>
      <w:r>
        <w:t>Con una participación menor, pero no despreciable</w:t>
      </w:r>
      <w:r w:rsidR="00044AED">
        <w:t>,</w:t>
      </w:r>
      <w:r>
        <w:t xml:space="preserve"> emergen en este análisis </w:t>
      </w:r>
      <w:r w:rsidR="00B86572">
        <w:t xml:space="preserve">(pues no se evidenciaron en el estudio realizado en el año 2020) los escenarios de riesgos de continuidad vinculados a la “Carencia de insumos” (6,2%) y la “Dependencia de proveedores externos” (4%). </w:t>
      </w:r>
    </w:p>
    <w:p w14:paraId="522444D7" w14:textId="77777777" w:rsidR="00ED261C" w:rsidRDefault="00ED261C" w:rsidP="00ED261C">
      <w:pPr>
        <w:pStyle w:val="Prrafodelista"/>
        <w:spacing w:after="0" w:line="240" w:lineRule="auto"/>
        <w:ind w:left="345" w:right="94" w:firstLine="0"/>
      </w:pPr>
    </w:p>
    <w:p w14:paraId="6633A31E" w14:textId="2CA85DA7" w:rsidR="00B86572" w:rsidRDefault="00B86572" w:rsidP="00B86572">
      <w:pPr>
        <w:pStyle w:val="Prrafodelista"/>
        <w:spacing w:after="0" w:line="240" w:lineRule="auto"/>
        <w:ind w:left="345" w:right="94" w:firstLine="0"/>
      </w:pPr>
      <w:r>
        <w:t xml:space="preserve">Debido a que a nivel global tienen una probabilidad de ocurrencia menor y un impacto </w:t>
      </w:r>
      <w:r w:rsidR="00824C7B">
        <w:t>medio</w:t>
      </w:r>
      <w:r>
        <w:t xml:space="preserve"> (pues </w:t>
      </w:r>
      <w:r w:rsidR="00ED261C">
        <w:t xml:space="preserve">algunos </w:t>
      </w:r>
      <w:r>
        <w:t xml:space="preserve">no afectan a todos los </w:t>
      </w:r>
      <w:r w:rsidR="00824C7B">
        <w:t xml:space="preserve">procesos o </w:t>
      </w:r>
      <w:r>
        <w:t>servicios</w:t>
      </w:r>
      <w:r w:rsidR="00824C7B">
        <w:t xml:space="preserve"> críticos</w:t>
      </w:r>
      <w:r>
        <w:t xml:space="preserve"> a nivel institucional)</w:t>
      </w:r>
      <w:r w:rsidR="00824C7B">
        <w:t xml:space="preserve"> su riesgo inherente se clasifica como </w:t>
      </w:r>
      <w:r w:rsidR="00824C7B" w:rsidRPr="00824C7B">
        <w:rPr>
          <w:b/>
          <w:bCs/>
        </w:rPr>
        <w:t>Medio</w:t>
      </w:r>
      <w:r w:rsidR="00824C7B">
        <w:t>.</w:t>
      </w:r>
    </w:p>
    <w:p w14:paraId="7706A9C7" w14:textId="55AC2A3B" w:rsidR="00824C7B" w:rsidRDefault="00824C7B" w:rsidP="00B86572">
      <w:pPr>
        <w:pStyle w:val="Prrafodelista"/>
        <w:spacing w:after="0" w:line="240" w:lineRule="auto"/>
        <w:ind w:left="345" w:right="94" w:firstLine="0"/>
      </w:pPr>
    </w:p>
    <w:p w14:paraId="48DD0BD9" w14:textId="2EB2E3E7" w:rsidR="00824C7B" w:rsidRDefault="00824C7B" w:rsidP="00B86572">
      <w:pPr>
        <w:pStyle w:val="Prrafodelista"/>
        <w:spacing w:after="0" w:line="240" w:lineRule="auto"/>
        <w:ind w:left="345" w:right="94" w:firstLine="0"/>
      </w:pPr>
      <w:r>
        <w:t>En estos escenarios se ubican factores como f</w:t>
      </w:r>
      <w:r w:rsidRPr="00824C7B">
        <w:t>alla de equipos base o soporte (</w:t>
      </w:r>
      <w:r w:rsidR="006A13C6" w:rsidRPr="00824C7B">
        <w:t>aires acondicionados</w:t>
      </w:r>
      <w:r w:rsidRPr="00824C7B">
        <w:t>, alarmas, control de acceso)</w:t>
      </w:r>
      <w:r>
        <w:t>, indisponibilidad de vehículos o transporte, carencia de equipos adecuado y necesario, falta de presupuesto, interrupción de servicios públicos básicos, incumplimiento de proveedores que incluye información o servicios provistos por otras instituciones públicas (Registro Nacional, Adaptación Social, Banco de Costa Rica, por ejemplo)</w:t>
      </w:r>
      <w:r w:rsidRPr="00824C7B">
        <w:t>.</w:t>
      </w:r>
    </w:p>
    <w:p w14:paraId="6E1E0889" w14:textId="4FB338C1" w:rsidR="00C61119" w:rsidRDefault="00044AED" w:rsidP="00044AED">
      <w:pPr>
        <w:spacing w:after="0" w:line="240" w:lineRule="auto"/>
        <w:ind w:left="0" w:right="94" w:firstLine="0"/>
      </w:pPr>
      <w:r>
        <w:t xml:space="preserve">  </w:t>
      </w:r>
    </w:p>
    <w:p w14:paraId="2D7E6797" w14:textId="65B65612" w:rsidR="00E62D30" w:rsidRPr="0070574C" w:rsidRDefault="00E62D30" w:rsidP="00226479">
      <w:pPr>
        <w:pStyle w:val="Prrafodelista"/>
        <w:numPr>
          <w:ilvl w:val="0"/>
          <w:numId w:val="12"/>
        </w:numPr>
        <w:spacing w:after="0" w:line="240" w:lineRule="auto"/>
        <w:ind w:right="94"/>
      </w:pPr>
      <w:r>
        <w:t xml:space="preserve">Según el apetito al riesgo, la institución </w:t>
      </w:r>
      <w:r w:rsidRPr="0070574C">
        <w:t>podría acepta</w:t>
      </w:r>
      <w:r>
        <w:t>r</w:t>
      </w:r>
      <w:r w:rsidRPr="0070574C">
        <w:t xml:space="preserve"> aquellos riesgos ubicados en los niveles “Muy bajo” y “Bajo”, sin necesidad de implementar controles adicionales, aunque se deben monitorear igualmente ante los cambios en el contexto externo e interno que puedan requerir la revisión del análisis realizado.</w:t>
      </w:r>
      <w:r>
        <w:t xml:space="preserve"> No obstante, </w:t>
      </w:r>
      <w:r w:rsidRPr="0070574C">
        <w:t xml:space="preserve">los riesgos que superan el criterio de aceptación de la </w:t>
      </w:r>
      <w:r>
        <w:t>i</w:t>
      </w:r>
      <w:r w:rsidRPr="0070574C">
        <w:t>nstitución se deben administrar</w:t>
      </w:r>
      <w:r>
        <w:t xml:space="preserve">; por lo que el análisis aplicado es un insumo vital para </w:t>
      </w:r>
      <w:r w:rsidRPr="0070574C">
        <w:t>la toma de decisiones</w:t>
      </w:r>
      <w:r>
        <w:t>; ya que c</w:t>
      </w:r>
      <w:r w:rsidRPr="0070574C">
        <w:t>on este conocimiento se pueden establecer los planes y estrategias para salvaguardar la vida de las personas y mitigar los impactos de un evento disruptivo en los procesos</w:t>
      </w:r>
      <w:r>
        <w:t xml:space="preserve"> o servicios</w:t>
      </w:r>
      <w:r w:rsidRPr="0070574C">
        <w:t xml:space="preserve"> críticos del Poder Judicial. </w:t>
      </w:r>
    </w:p>
    <w:p w14:paraId="6558E924" w14:textId="77777777" w:rsidR="00E62D30" w:rsidRDefault="00E62D30" w:rsidP="00E62D30">
      <w:pPr>
        <w:pStyle w:val="Prrafodelista"/>
        <w:spacing w:after="0" w:line="240" w:lineRule="auto"/>
        <w:ind w:left="345" w:right="94" w:firstLine="0"/>
      </w:pPr>
    </w:p>
    <w:p w14:paraId="4D5F27A9" w14:textId="1DCBEAD4" w:rsidR="00E62D30" w:rsidRDefault="00ED261C" w:rsidP="00893E1E">
      <w:pPr>
        <w:pStyle w:val="Prrafodelista"/>
        <w:numPr>
          <w:ilvl w:val="0"/>
          <w:numId w:val="12"/>
        </w:numPr>
        <w:spacing w:after="0" w:line="240" w:lineRule="auto"/>
      </w:pPr>
      <w:r>
        <w:rPr>
          <w:i/>
          <w:iCs/>
        </w:rPr>
        <w:t>“</w:t>
      </w:r>
      <w:r w:rsidR="00E62D30" w:rsidRPr="00E62D30">
        <w:rPr>
          <w:i/>
          <w:iCs/>
        </w:rPr>
        <w:t>El propósito de la norma no es necesariamente lograr la mitigación total del impacto de la interrupción, sino de ayudar a una organización a comprender la magnitud y el tipo de impacto que está dispuesta a aceptar después de un</w:t>
      </w:r>
      <w:r w:rsidR="00E62D30">
        <w:rPr>
          <w:i/>
          <w:iCs/>
        </w:rPr>
        <w:t>a interrupción</w:t>
      </w:r>
      <w:r>
        <w:rPr>
          <w:i/>
          <w:iCs/>
        </w:rPr>
        <w:t xml:space="preserve">” </w:t>
      </w:r>
      <w:r>
        <w:t>(</w:t>
      </w:r>
      <w:r w:rsidRPr="0070574C">
        <w:t>ISO 22301:2019</w:t>
      </w:r>
      <w:r>
        <w:t xml:space="preserve"> Guía de Implementación)</w:t>
      </w:r>
      <w:r w:rsidR="00E62D30">
        <w:rPr>
          <w:i/>
          <w:iCs/>
        </w:rPr>
        <w:t xml:space="preserve">. </w:t>
      </w:r>
      <w:r w:rsidR="00E62D30" w:rsidRPr="00ED261C">
        <w:t>Por</w:t>
      </w:r>
      <w:r w:rsidR="00E62D30">
        <w:t xml:space="preserve"> tanto, </w:t>
      </w:r>
      <w:r w:rsidR="00E62D30" w:rsidRPr="00414EE9">
        <w:t>en principio</w:t>
      </w:r>
      <w:r w:rsidR="00E62D30">
        <w:t>,</w:t>
      </w:r>
      <w:r w:rsidR="00E62D30" w:rsidRPr="00414EE9">
        <w:t xml:space="preserve"> no </w:t>
      </w:r>
      <w:r w:rsidR="00E62D30">
        <w:t xml:space="preserve">se </w:t>
      </w:r>
      <w:r w:rsidR="00E62D30" w:rsidRPr="00414EE9">
        <w:t xml:space="preserve">procura evitar los riesgos, pues la gestión de la continuidad parte de la base de la materialización de estos, y a partir de ello, determinar la manera de responder a un incidente disruptivo y definir cómo continuar o recuperar las </w:t>
      </w:r>
      <w:r w:rsidR="00E62D30" w:rsidRPr="00414EE9">
        <w:lastRenderedPageBreak/>
        <w:t>actividades dentro de un plazo predeterminado, a nivel aceptable.</w:t>
      </w:r>
      <w:r w:rsidR="00E62D30">
        <w:t xml:space="preserve"> Esto se logra a través de </w:t>
      </w:r>
      <w:r w:rsidR="00E62D30" w:rsidRPr="00E62D30">
        <w:rPr>
          <w:b/>
          <w:bCs/>
        </w:rPr>
        <w:t>estrategias de continuidad del servicio</w:t>
      </w:r>
      <w:r w:rsidR="00E62D30">
        <w:t xml:space="preserve"> que ayuden a prevenir los riesgos y reducir sus efectos (impacto) y los </w:t>
      </w:r>
      <w:r w:rsidR="00E62D30" w:rsidRPr="00E62D30">
        <w:rPr>
          <w:b/>
          <w:bCs/>
        </w:rPr>
        <w:t>planes de continuidad del servicio</w:t>
      </w:r>
      <w:r w:rsidR="00E62D30">
        <w:t xml:space="preserve"> que </w:t>
      </w:r>
      <w:r>
        <w:t>guían</w:t>
      </w:r>
      <w:r w:rsidR="00E62D30">
        <w:t xml:space="preserve"> </w:t>
      </w:r>
      <w:r>
        <w:t>en</w:t>
      </w:r>
      <w:r w:rsidR="00E62D30">
        <w:t xml:space="preserve"> </w:t>
      </w:r>
      <w:r>
        <w:t xml:space="preserve">cómo </w:t>
      </w:r>
      <w:r w:rsidR="00E62D30" w:rsidRPr="008D3048">
        <w:t xml:space="preserve">responder a un incidente disruptivo y </w:t>
      </w:r>
      <w:r w:rsidR="00E62D30">
        <w:t xml:space="preserve">en establecer </w:t>
      </w:r>
      <w:r w:rsidR="00E62D30" w:rsidRPr="008D3048">
        <w:t>cómo continuar o recuperar</w:t>
      </w:r>
      <w:r w:rsidR="00E62D30">
        <w:t xml:space="preserve"> las</w:t>
      </w:r>
      <w:r w:rsidR="00E62D30" w:rsidRPr="008D3048">
        <w:t xml:space="preserve"> actividades dentro de un plazo predeterminado</w:t>
      </w:r>
      <w:r w:rsidR="00E62D30">
        <w:t xml:space="preserve">, en función del tipo de amenaza o escenario disruptivo; de manera que su propósito es mitigar el riesgo para reducir su impacto. </w:t>
      </w:r>
    </w:p>
    <w:p w14:paraId="2E9BA608" w14:textId="77777777" w:rsidR="00E62D30" w:rsidRDefault="00E62D30" w:rsidP="00E62D30">
      <w:pPr>
        <w:pStyle w:val="Prrafodelista"/>
        <w:spacing w:after="0" w:line="240" w:lineRule="auto"/>
        <w:ind w:left="345" w:right="94" w:firstLine="0"/>
      </w:pPr>
    </w:p>
    <w:p w14:paraId="1D770B30" w14:textId="1C417672" w:rsidR="00E62D30" w:rsidRPr="0070574C" w:rsidRDefault="00E62D30" w:rsidP="00226479">
      <w:pPr>
        <w:pStyle w:val="Prrafodelista"/>
        <w:numPr>
          <w:ilvl w:val="0"/>
          <w:numId w:val="12"/>
        </w:numPr>
        <w:spacing w:after="0" w:line="240" w:lineRule="auto"/>
        <w:ind w:right="94"/>
      </w:pPr>
      <w:r>
        <w:t xml:space="preserve">La </w:t>
      </w:r>
      <w:r w:rsidR="00ED261C">
        <w:t>N</w:t>
      </w:r>
      <w:r>
        <w:t xml:space="preserve">orma establece que la organización debe </w:t>
      </w:r>
      <w:r w:rsidRPr="00E62D30">
        <w:rPr>
          <w:b/>
          <w:bCs/>
        </w:rPr>
        <w:t>implementar y mantener</w:t>
      </w:r>
      <w:r>
        <w:t xml:space="preserve"> un proceso de evaluación de riesgos y también establece que l</w:t>
      </w:r>
      <w:r w:rsidRPr="002527C7">
        <w:t>as evaluaciones de riesgos deben realizarse a periodos planificados o cuando se produzcan cambios significativos en la organización o en el contexto en el que opera</w:t>
      </w:r>
      <w:r>
        <w:t xml:space="preserve"> (INTE G130 2022_Cor 2023)</w:t>
      </w:r>
      <w:r w:rsidRPr="00247DDB">
        <w:t>.</w:t>
      </w:r>
      <w:r>
        <w:t xml:space="preserve"> A nivel del Poder Judicial, esta gestión permanente debe incorporarse a la labor ordinaria de la oficina rectora en el SEVRI, que es la Oficina de Control Interno del Poder Judicial, según acuerdo tomado por el Consejo Superior en la sesión 46-2023, celebrada el 1 de junio de 2023, artículo XLVI</w:t>
      </w:r>
    </w:p>
    <w:p w14:paraId="047958F4" w14:textId="77777777" w:rsidR="00E62D30" w:rsidRDefault="00E62D30" w:rsidP="00E62D30">
      <w:pPr>
        <w:pStyle w:val="Prrafodelista"/>
        <w:spacing w:after="0" w:line="240" w:lineRule="auto"/>
        <w:ind w:left="345" w:right="94" w:firstLine="0"/>
      </w:pPr>
    </w:p>
    <w:p w14:paraId="3E563BBE" w14:textId="46F1BA36" w:rsidR="00E62D30" w:rsidRDefault="00E62D30" w:rsidP="00226479">
      <w:pPr>
        <w:pStyle w:val="Prrafodelista"/>
        <w:numPr>
          <w:ilvl w:val="0"/>
          <w:numId w:val="12"/>
        </w:numPr>
        <w:spacing w:after="0" w:line="240" w:lineRule="auto"/>
        <w:ind w:right="94"/>
      </w:pPr>
      <w:r>
        <w:t xml:space="preserve">A su vez, cada oficina o despacho judicial y, de manera particular las que cuentan con procesos o servicios catalogados como críticos en el </w:t>
      </w:r>
      <w:r w:rsidRPr="00ED261C">
        <w:rPr>
          <w:i/>
          <w:iCs/>
        </w:rPr>
        <w:t>“Análisis de Impacto al Servicio Institucional”</w:t>
      </w:r>
      <w:r>
        <w:t xml:space="preserve">, debe incorporar el análisis de riesgos dentro de su propia gestión de la continuidad del servicio. </w:t>
      </w:r>
    </w:p>
    <w:p w14:paraId="6904746E" w14:textId="77777777" w:rsidR="00E62D30" w:rsidRDefault="00E62D30" w:rsidP="00E62D30">
      <w:pPr>
        <w:pStyle w:val="Prrafodelista"/>
      </w:pPr>
    </w:p>
    <w:p w14:paraId="604EB850" w14:textId="7C4400B1" w:rsidR="0053072C" w:rsidRDefault="00E62D30" w:rsidP="00226479">
      <w:pPr>
        <w:pStyle w:val="Prrafodelista"/>
        <w:numPr>
          <w:ilvl w:val="0"/>
          <w:numId w:val="12"/>
        </w:numPr>
        <w:spacing w:after="0" w:line="240" w:lineRule="auto"/>
        <w:ind w:right="94"/>
      </w:pPr>
      <w:r>
        <w:t xml:space="preserve">Finalmente, en este informe se aporta como ejemplo de aplicación para guiar a las oficinas y despachos judiciales en su gestión de la continuidad de procesos o servicios críticos, </w:t>
      </w:r>
      <w:r w:rsidR="0053072C" w:rsidRPr="00BA2056">
        <w:t xml:space="preserve">una matriz de </w:t>
      </w:r>
      <w:r w:rsidR="00ED261C" w:rsidRPr="00BA2056">
        <w:t>muestra</w:t>
      </w:r>
      <w:r w:rsidR="0053072C" w:rsidRPr="00BA2056">
        <w:t xml:space="preserve"> para orientar el tratamiento de riesgos de continuidad</w:t>
      </w:r>
      <w:r w:rsidR="0053072C">
        <w:t>. Sin embargo, se aclara que</w:t>
      </w:r>
      <w:r w:rsidR="0053072C" w:rsidRPr="00BA2056">
        <w:t xml:space="preserve"> </w:t>
      </w:r>
      <w:r w:rsidR="0053072C">
        <w:t>c</w:t>
      </w:r>
      <w:r w:rsidR="0053072C" w:rsidRPr="00BA2056">
        <w:t xml:space="preserve">ada oficina o despacho judicial con procesos críticos debe </w:t>
      </w:r>
      <w:r w:rsidR="0053072C">
        <w:t xml:space="preserve">realizar su análisis particular de riesgos de disrupción, según las amenazas que le sean particulares, en función de los procesos o servicios críticos a su cargo. </w:t>
      </w:r>
    </w:p>
    <w:p w14:paraId="05E9A4D7" w14:textId="77777777" w:rsidR="006E2EC7" w:rsidRDefault="006E2EC7" w:rsidP="006E2EC7">
      <w:pPr>
        <w:pStyle w:val="Prrafodelista"/>
        <w:spacing w:after="0" w:line="240" w:lineRule="auto"/>
        <w:ind w:left="345" w:right="94" w:firstLine="0"/>
      </w:pPr>
    </w:p>
    <w:p w14:paraId="0C355994" w14:textId="77777777" w:rsidR="007C3205" w:rsidRPr="0070574C" w:rsidRDefault="007C3205" w:rsidP="009D09DC">
      <w:pPr>
        <w:spacing w:after="0" w:line="240" w:lineRule="auto"/>
        <w:ind w:left="-5" w:right="94"/>
      </w:pPr>
    </w:p>
    <w:p w14:paraId="2B639C3E" w14:textId="3B4C1296" w:rsidR="005D4059" w:rsidRPr="00900DA4" w:rsidRDefault="005D4059" w:rsidP="009D09DC">
      <w:pPr>
        <w:pStyle w:val="Ttulo1"/>
        <w:spacing w:after="0" w:line="240" w:lineRule="auto"/>
        <w:jc w:val="both"/>
        <w:rPr>
          <w:b/>
          <w:bCs/>
          <w:color w:val="002060"/>
          <w:sz w:val="32"/>
          <w:szCs w:val="32"/>
        </w:rPr>
      </w:pPr>
      <w:bookmarkStart w:id="34" w:name="_Toc155778545"/>
      <w:r w:rsidRPr="00900DA4">
        <w:rPr>
          <w:b/>
          <w:bCs/>
          <w:color w:val="002060"/>
          <w:sz w:val="32"/>
          <w:szCs w:val="32"/>
        </w:rPr>
        <w:t>11.</w:t>
      </w:r>
      <w:r w:rsidRPr="00900DA4">
        <w:rPr>
          <w:b/>
          <w:bCs/>
          <w:color w:val="002060"/>
          <w:sz w:val="32"/>
          <w:szCs w:val="32"/>
        </w:rPr>
        <w:tab/>
        <w:t xml:space="preserve"> Recomendaciones</w:t>
      </w:r>
      <w:bookmarkEnd w:id="34"/>
      <w:r w:rsidRPr="00900DA4">
        <w:rPr>
          <w:b/>
          <w:bCs/>
          <w:color w:val="002060"/>
          <w:sz w:val="32"/>
          <w:szCs w:val="32"/>
        </w:rPr>
        <w:t xml:space="preserve"> </w:t>
      </w:r>
    </w:p>
    <w:p w14:paraId="4E8A5174" w14:textId="1D6E1D52" w:rsidR="005D4059" w:rsidRPr="0070574C" w:rsidRDefault="005D4059" w:rsidP="009D09DC">
      <w:pPr>
        <w:spacing w:after="0" w:line="240" w:lineRule="auto"/>
        <w:ind w:left="-5" w:right="94"/>
      </w:pPr>
    </w:p>
    <w:p w14:paraId="24678AEA" w14:textId="3348E85C" w:rsidR="009A1793" w:rsidRPr="0070574C" w:rsidRDefault="009A1793" w:rsidP="009D09DC">
      <w:pPr>
        <w:spacing w:after="0" w:line="240" w:lineRule="auto"/>
        <w:ind w:left="-5" w:right="94"/>
      </w:pPr>
    </w:p>
    <w:p w14:paraId="59F98078" w14:textId="03B4B031" w:rsidR="00D41C9A" w:rsidRPr="00525CAD" w:rsidRDefault="00D41C9A" w:rsidP="009D09DC">
      <w:pPr>
        <w:spacing w:after="0" w:line="240" w:lineRule="auto"/>
        <w:ind w:left="-5" w:right="94"/>
        <w:rPr>
          <w:b/>
          <w:bCs/>
        </w:rPr>
      </w:pPr>
      <w:r w:rsidRPr="00525CAD">
        <w:rPr>
          <w:b/>
          <w:bCs/>
        </w:rPr>
        <w:t>Al Consejo Superior del Poder Judicial</w:t>
      </w:r>
      <w:r w:rsidR="00525CAD">
        <w:rPr>
          <w:b/>
          <w:bCs/>
        </w:rPr>
        <w:t>:</w:t>
      </w:r>
    </w:p>
    <w:p w14:paraId="33057026" w14:textId="1563F043" w:rsidR="00D41C9A" w:rsidRDefault="00D41C9A" w:rsidP="009D09DC">
      <w:pPr>
        <w:spacing w:after="0" w:line="240" w:lineRule="auto"/>
        <w:ind w:left="-5" w:right="94"/>
      </w:pPr>
    </w:p>
    <w:p w14:paraId="3604F3D0" w14:textId="114EEEDB" w:rsidR="00D41C9A" w:rsidRDefault="00525CAD" w:rsidP="00226479">
      <w:pPr>
        <w:pStyle w:val="Prrafodelista"/>
        <w:numPr>
          <w:ilvl w:val="0"/>
          <w:numId w:val="12"/>
        </w:numPr>
        <w:spacing w:after="0" w:line="240" w:lineRule="auto"/>
        <w:ind w:right="94"/>
      </w:pPr>
      <w:r>
        <w:t xml:space="preserve">Aprobar el contenido del informe de </w:t>
      </w:r>
      <w:r w:rsidRPr="000371B5">
        <w:rPr>
          <w:i/>
          <w:iCs/>
        </w:rPr>
        <w:t>“Actualización de Análisis de Riesgos de Continuidad del Servicio del Poder Judicial”</w:t>
      </w:r>
      <w:r>
        <w:t xml:space="preserve">, elaborado por el Subproceso de Gestión de Continuidad del Servicio del Poder Judicial, oficina adscrita a la Dirección Ejecutiva. </w:t>
      </w:r>
    </w:p>
    <w:p w14:paraId="1C2E023B" w14:textId="77777777" w:rsidR="00525CAD" w:rsidRDefault="00525CAD" w:rsidP="00525CAD">
      <w:pPr>
        <w:pStyle w:val="Prrafodelista"/>
        <w:spacing w:after="0" w:line="240" w:lineRule="auto"/>
        <w:ind w:left="345" w:right="94" w:firstLine="0"/>
      </w:pPr>
    </w:p>
    <w:p w14:paraId="24675BB3" w14:textId="675FB93B" w:rsidR="00525CAD" w:rsidRDefault="00525CAD" w:rsidP="00226479">
      <w:pPr>
        <w:pStyle w:val="Prrafodelista"/>
        <w:numPr>
          <w:ilvl w:val="0"/>
          <w:numId w:val="12"/>
        </w:numPr>
        <w:spacing w:after="0" w:line="240" w:lineRule="auto"/>
        <w:ind w:right="94"/>
      </w:pPr>
      <w:r>
        <w:t xml:space="preserve">Ordenar a la Oficina de Control Interno </w:t>
      </w:r>
      <w:r w:rsidR="000371B5">
        <w:t xml:space="preserve">del Poder Judicial </w:t>
      </w:r>
      <w:r>
        <w:t xml:space="preserve">que incorpore los aspectos pertinentes contemplados en este informe </w:t>
      </w:r>
      <w:r w:rsidRPr="00525CAD">
        <w:t xml:space="preserve">dentro de su programación anual, </w:t>
      </w:r>
      <w:r>
        <w:t xml:space="preserve">según </w:t>
      </w:r>
      <w:r w:rsidRPr="00525CAD">
        <w:t>las labores asociadas a la Gestión de Continuidad del Servicio</w:t>
      </w:r>
      <w:r w:rsidR="006710BE">
        <w:t xml:space="preserve"> y la Gestión Institucional de Riesgos</w:t>
      </w:r>
      <w:r w:rsidRPr="00525CAD">
        <w:t>, en cuanto a la identificación de riesgos asociados a procesos críticos y las gestiones que se deben desarrollar y llevar a cabo junto a las oficinas a cargo de esos procesos críticos</w:t>
      </w:r>
      <w:r>
        <w:t>.</w:t>
      </w:r>
    </w:p>
    <w:p w14:paraId="075AB8D6" w14:textId="77777777" w:rsidR="00022127" w:rsidRPr="00B8516D" w:rsidRDefault="00022127" w:rsidP="00022127">
      <w:pPr>
        <w:pStyle w:val="Prrafodelista"/>
        <w:rPr>
          <w:color w:val="auto"/>
        </w:rPr>
      </w:pPr>
    </w:p>
    <w:p w14:paraId="31C14661" w14:textId="62DBB59C" w:rsidR="00022127" w:rsidRPr="00B8516D" w:rsidRDefault="00022127" w:rsidP="00022127">
      <w:pPr>
        <w:pStyle w:val="Prrafodelista"/>
        <w:spacing w:after="0" w:line="240" w:lineRule="auto"/>
        <w:ind w:left="345" w:right="94" w:firstLine="0"/>
        <w:rPr>
          <w:color w:val="auto"/>
        </w:rPr>
      </w:pPr>
      <w:r w:rsidRPr="00B8516D">
        <w:rPr>
          <w:color w:val="auto"/>
        </w:rPr>
        <w:t>En ese mismo sentido, es</w:t>
      </w:r>
      <w:r w:rsidR="00554A1C" w:rsidRPr="00B8516D">
        <w:rPr>
          <w:color w:val="auto"/>
        </w:rPr>
        <w:t>a</w:t>
      </w:r>
      <w:r w:rsidRPr="00B8516D">
        <w:rPr>
          <w:color w:val="auto"/>
        </w:rPr>
        <w:t xml:space="preserve"> Oficina </w:t>
      </w:r>
      <w:r w:rsidR="00554A1C" w:rsidRPr="00B8516D">
        <w:rPr>
          <w:color w:val="auto"/>
        </w:rPr>
        <w:t xml:space="preserve">podría </w:t>
      </w:r>
      <w:r w:rsidRPr="00B8516D">
        <w:rPr>
          <w:color w:val="auto"/>
        </w:rPr>
        <w:t>contemplar dentro de su labor, según lo que establece la Norma de continuidad de servicios y análisis de riesgos de continuidad</w:t>
      </w:r>
      <w:r w:rsidR="00554A1C" w:rsidRPr="00B8516D">
        <w:rPr>
          <w:color w:val="auto"/>
        </w:rPr>
        <w:t>, aspectos como</w:t>
      </w:r>
      <w:r w:rsidRPr="00B8516D">
        <w:rPr>
          <w:color w:val="auto"/>
        </w:rPr>
        <w:t xml:space="preserve">: </w:t>
      </w:r>
    </w:p>
    <w:p w14:paraId="5EB5BCD9" w14:textId="77777777" w:rsidR="00022127" w:rsidRPr="00B8516D" w:rsidRDefault="00022127" w:rsidP="00022127">
      <w:pPr>
        <w:pStyle w:val="Prrafodelista"/>
        <w:spacing w:after="0" w:line="240" w:lineRule="auto"/>
        <w:ind w:left="345" w:right="94" w:firstLine="0"/>
        <w:rPr>
          <w:color w:val="auto"/>
        </w:rPr>
      </w:pPr>
    </w:p>
    <w:p w14:paraId="7D1AB7DB" w14:textId="499BDB0E" w:rsidR="00022127" w:rsidRPr="00B8516D" w:rsidRDefault="00554A1C" w:rsidP="00022127">
      <w:pPr>
        <w:pStyle w:val="Prrafodelista"/>
        <w:numPr>
          <w:ilvl w:val="0"/>
          <w:numId w:val="14"/>
        </w:numPr>
        <w:spacing w:after="0" w:line="240" w:lineRule="auto"/>
        <w:ind w:left="851" w:right="94" w:hanging="284"/>
        <w:rPr>
          <w:color w:val="auto"/>
        </w:rPr>
      </w:pPr>
      <w:r w:rsidRPr="00B8516D">
        <w:rPr>
          <w:color w:val="auto"/>
        </w:rPr>
        <w:lastRenderedPageBreak/>
        <w:t xml:space="preserve">Definición de lineamientos para el establecimiento de </w:t>
      </w:r>
      <w:r w:rsidR="00022127" w:rsidRPr="00B8516D">
        <w:rPr>
          <w:color w:val="auto"/>
        </w:rPr>
        <w:t xml:space="preserve">controles y medidas para reducir la probabilidad de que ocurran los riesgos </w:t>
      </w:r>
      <w:r w:rsidR="00B8516D" w:rsidRPr="00B8516D">
        <w:rPr>
          <w:color w:val="auto"/>
        </w:rPr>
        <w:t xml:space="preserve">de continuidad </w:t>
      </w:r>
      <w:r w:rsidR="00022127" w:rsidRPr="00B8516D">
        <w:rPr>
          <w:color w:val="auto"/>
        </w:rPr>
        <w:t>y minimizar su impacto.</w:t>
      </w:r>
    </w:p>
    <w:p w14:paraId="236D8863" w14:textId="77777777" w:rsidR="00022127" w:rsidRPr="00B8516D" w:rsidRDefault="00022127" w:rsidP="00022127">
      <w:pPr>
        <w:pStyle w:val="Prrafodelista"/>
        <w:spacing w:after="0" w:line="240" w:lineRule="auto"/>
        <w:ind w:left="851" w:right="94" w:firstLine="0"/>
        <w:rPr>
          <w:color w:val="auto"/>
        </w:rPr>
      </w:pPr>
    </w:p>
    <w:p w14:paraId="428256D4" w14:textId="4F38C722" w:rsidR="00022127" w:rsidRPr="00B8516D" w:rsidRDefault="00022127" w:rsidP="00022127">
      <w:pPr>
        <w:pStyle w:val="Prrafodelista"/>
        <w:numPr>
          <w:ilvl w:val="0"/>
          <w:numId w:val="14"/>
        </w:numPr>
        <w:spacing w:after="0" w:line="240" w:lineRule="auto"/>
        <w:ind w:left="851" w:right="94" w:hanging="284"/>
        <w:rPr>
          <w:color w:val="auto"/>
        </w:rPr>
      </w:pPr>
      <w:r w:rsidRPr="00B8516D">
        <w:rPr>
          <w:color w:val="auto"/>
        </w:rPr>
        <w:t>Monitorear y revisar continuamente las estrategias de tratamiento del riesgo</w:t>
      </w:r>
      <w:r w:rsidR="00B8516D" w:rsidRPr="00B8516D">
        <w:rPr>
          <w:color w:val="auto"/>
        </w:rPr>
        <w:t xml:space="preserve"> de continuidad,</w:t>
      </w:r>
      <w:r w:rsidRPr="00B8516D">
        <w:rPr>
          <w:color w:val="auto"/>
        </w:rPr>
        <w:t xml:space="preserve"> para asegurar su efectividad.</w:t>
      </w:r>
    </w:p>
    <w:p w14:paraId="34D5DFF1" w14:textId="77777777" w:rsidR="00022127" w:rsidRPr="00B8516D" w:rsidRDefault="00022127" w:rsidP="00022127">
      <w:pPr>
        <w:pStyle w:val="Prrafodelista"/>
        <w:spacing w:after="0" w:line="240" w:lineRule="auto"/>
        <w:ind w:left="851" w:right="94" w:firstLine="0"/>
        <w:rPr>
          <w:color w:val="auto"/>
        </w:rPr>
      </w:pPr>
    </w:p>
    <w:p w14:paraId="1D49D464" w14:textId="4536B9C9" w:rsidR="00022127" w:rsidRPr="00B8516D" w:rsidRDefault="00022127" w:rsidP="00022127">
      <w:pPr>
        <w:pStyle w:val="Prrafodelista"/>
        <w:numPr>
          <w:ilvl w:val="0"/>
          <w:numId w:val="14"/>
        </w:numPr>
        <w:spacing w:after="0" w:line="240" w:lineRule="auto"/>
        <w:ind w:left="851" w:right="94" w:hanging="284"/>
        <w:rPr>
          <w:color w:val="auto"/>
        </w:rPr>
      </w:pPr>
      <w:r w:rsidRPr="00B8516D">
        <w:rPr>
          <w:color w:val="auto"/>
        </w:rPr>
        <w:t>Establecer un proceso de seguimiento continuo para supervisar la implementación de las estrategias de gestión de riesgos</w:t>
      </w:r>
      <w:r w:rsidR="00B8516D" w:rsidRPr="00B8516D">
        <w:rPr>
          <w:color w:val="auto"/>
        </w:rPr>
        <w:t xml:space="preserve"> de continuidad</w:t>
      </w:r>
      <w:r w:rsidRPr="00B8516D">
        <w:rPr>
          <w:color w:val="auto"/>
        </w:rPr>
        <w:t>.</w:t>
      </w:r>
    </w:p>
    <w:p w14:paraId="56326490" w14:textId="77777777" w:rsidR="00525CAD" w:rsidRDefault="00525CAD" w:rsidP="00525CAD">
      <w:pPr>
        <w:spacing w:after="0" w:line="240" w:lineRule="auto"/>
        <w:ind w:right="94"/>
      </w:pPr>
    </w:p>
    <w:p w14:paraId="529AA23D" w14:textId="1BF345C3" w:rsidR="00525CAD" w:rsidRDefault="006710BE" w:rsidP="00226479">
      <w:pPr>
        <w:pStyle w:val="Prrafodelista"/>
        <w:numPr>
          <w:ilvl w:val="0"/>
          <w:numId w:val="12"/>
        </w:numPr>
        <w:spacing w:after="0" w:line="240" w:lineRule="auto"/>
        <w:ind w:right="94"/>
      </w:pPr>
      <w:r>
        <w:t>Ordenar a</w:t>
      </w:r>
      <w:r w:rsidRPr="006710BE">
        <w:t xml:space="preserve"> todas las oficinas y despachos judiciales</w:t>
      </w:r>
      <w:r>
        <w:t>, con especial énfasis en las que son dueñas de procesos o servicios críticos, que incorporen dentro de su revisión periódica del SEVRI</w:t>
      </w:r>
      <w:r w:rsidR="000371B5">
        <w:t>-PJ</w:t>
      </w:r>
      <w:r>
        <w:t xml:space="preserve"> el análisis de los factores y fuentes de riesgo contemplados en el presente informe, además de cualquier otro que sea particular a la oficina o despacho o que surjan como nuevas amenazas.</w:t>
      </w:r>
    </w:p>
    <w:p w14:paraId="5D36AA39" w14:textId="77777777" w:rsidR="00D41C9A" w:rsidRDefault="00D41C9A" w:rsidP="009D09DC">
      <w:pPr>
        <w:spacing w:after="0" w:line="240" w:lineRule="auto"/>
        <w:ind w:left="-5" w:right="94"/>
      </w:pPr>
    </w:p>
    <w:p w14:paraId="7AC0FD75" w14:textId="1D40239E" w:rsidR="006710BE" w:rsidRPr="006710BE" w:rsidRDefault="00D41C9A" w:rsidP="006710BE">
      <w:pPr>
        <w:spacing w:after="0" w:line="240" w:lineRule="auto"/>
        <w:ind w:right="94"/>
        <w:rPr>
          <w:b/>
          <w:bCs/>
        </w:rPr>
      </w:pPr>
      <w:r w:rsidRPr="006710BE">
        <w:rPr>
          <w:b/>
          <w:bCs/>
        </w:rPr>
        <w:t>A la Oficina de Control Interno</w:t>
      </w:r>
      <w:r w:rsidR="006710BE" w:rsidRPr="006710BE">
        <w:rPr>
          <w:b/>
          <w:bCs/>
        </w:rPr>
        <w:t>:</w:t>
      </w:r>
    </w:p>
    <w:p w14:paraId="58C85FB9" w14:textId="77777777" w:rsidR="006710BE" w:rsidRDefault="006710BE" w:rsidP="006710BE">
      <w:pPr>
        <w:pStyle w:val="Prrafodelista"/>
      </w:pPr>
    </w:p>
    <w:p w14:paraId="01DF5300" w14:textId="640C0E54" w:rsidR="006710BE" w:rsidRDefault="006710BE" w:rsidP="00226479">
      <w:pPr>
        <w:pStyle w:val="Prrafodelista"/>
        <w:numPr>
          <w:ilvl w:val="0"/>
          <w:numId w:val="12"/>
        </w:numPr>
        <w:spacing w:after="0" w:line="240" w:lineRule="auto"/>
        <w:ind w:right="94"/>
      </w:pPr>
      <w:r>
        <w:t>Incorporar los aspectos contemplados en el presente informe en el</w:t>
      </w:r>
      <w:r w:rsidRPr="00022127">
        <w:t xml:space="preserve"> </w:t>
      </w:r>
      <w:r w:rsidRPr="00022127">
        <w:rPr>
          <w:i/>
          <w:iCs/>
        </w:rPr>
        <w:t>“</w:t>
      </w:r>
      <w:r w:rsidRPr="00022127">
        <w:rPr>
          <w:i/>
          <w:iCs/>
          <w:lang w:val="es-ES"/>
        </w:rPr>
        <w:t>Portafolio y Estructura de Riesgos Institucional</w:t>
      </w:r>
      <w:r w:rsidRPr="00022127">
        <w:rPr>
          <w:i/>
          <w:iCs/>
        </w:rPr>
        <w:t>”</w:t>
      </w:r>
      <w:r w:rsidRPr="00022127">
        <w:t>, cuya última</w:t>
      </w:r>
      <w:r>
        <w:t xml:space="preserve"> versión fue publicada en la Circular 264-2023 de la Secretaría General de la Corte, según lo aprobado por la</w:t>
      </w:r>
      <w:r w:rsidRPr="006710BE">
        <w:t xml:space="preserve"> Corte Plena en sesión 42-2023, celebrada el 11 de setiembre de 2023, artículo XXI</w:t>
      </w:r>
      <w:r>
        <w:t xml:space="preserve">. </w:t>
      </w:r>
    </w:p>
    <w:p w14:paraId="3D8EAA8C" w14:textId="77777777" w:rsidR="00022127" w:rsidRDefault="00022127" w:rsidP="00022127">
      <w:pPr>
        <w:pStyle w:val="Prrafodelista"/>
        <w:spacing w:after="0" w:line="240" w:lineRule="auto"/>
        <w:ind w:left="345" w:right="94" w:firstLine="0"/>
      </w:pPr>
    </w:p>
    <w:p w14:paraId="3E97F5CF" w14:textId="77777777" w:rsidR="00022127" w:rsidRPr="00022127" w:rsidRDefault="00022127" w:rsidP="00022127">
      <w:pPr>
        <w:ind w:left="0" w:right="94" w:firstLine="0"/>
      </w:pPr>
    </w:p>
    <w:p w14:paraId="54CF36BC" w14:textId="6F7FE7E3" w:rsidR="00D41C9A" w:rsidRDefault="00D41C9A" w:rsidP="00D41C9A">
      <w:pPr>
        <w:spacing w:after="0" w:line="240" w:lineRule="auto"/>
        <w:ind w:left="-5" w:right="94" w:firstLine="713"/>
      </w:pPr>
    </w:p>
    <w:sectPr w:rsidR="00D41C9A" w:rsidSect="0053018E">
      <w:headerReference w:type="even" r:id="rId18"/>
      <w:headerReference w:type="default" r:id="rId19"/>
      <w:footerReference w:type="even" r:id="rId20"/>
      <w:footerReference w:type="default" r:id="rId21"/>
      <w:headerReference w:type="first" r:id="rId22"/>
      <w:footerReference w:type="first" r:id="rId23"/>
      <w:pgSz w:w="12240" w:h="15840" w:code="1"/>
      <w:pgMar w:top="505" w:right="1418" w:bottom="1418" w:left="1418"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98B5" w14:textId="77777777" w:rsidR="0053018E" w:rsidRDefault="0053018E">
      <w:pPr>
        <w:spacing w:after="0" w:line="240" w:lineRule="auto"/>
      </w:pPr>
      <w:r>
        <w:separator/>
      </w:r>
    </w:p>
  </w:endnote>
  <w:endnote w:type="continuationSeparator" w:id="0">
    <w:p w14:paraId="6824BAF4" w14:textId="77777777" w:rsidR="0053018E" w:rsidRDefault="0053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9E51" w14:textId="77777777" w:rsidR="00B23A65" w:rsidRDefault="00000000">
    <w:pPr>
      <w:spacing w:after="105" w:line="259" w:lineRule="auto"/>
      <w:ind w:left="0" w:right="0" w:firstLine="0"/>
      <w:jc w:val="left"/>
    </w:pPr>
    <w:r>
      <w:rPr>
        <w:color w:val="FFFFFF"/>
        <w:sz w:val="18"/>
      </w:rPr>
      <w:t xml:space="preserve"> </w:t>
    </w:r>
  </w:p>
  <w:p w14:paraId="7E1873F8" w14:textId="77777777" w:rsidR="00B23A65" w:rsidRDefault="00000000">
    <w:pPr>
      <w:tabs>
        <w:tab w:val="center" w:pos="3244"/>
      </w:tabs>
      <w:spacing w:after="210" w:line="259" w:lineRule="auto"/>
      <w:ind w:left="0" w:right="0" w:firstLine="0"/>
      <w:jc w:val="left"/>
    </w:pPr>
    <w:r>
      <w:rPr>
        <w:b/>
        <w:sz w:val="18"/>
      </w:rPr>
      <w:t xml:space="preserve">Teléfono: </w:t>
    </w:r>
    <w:r>
      <w:rPr>
        <w:b/>
        <w:sz w:val="18"/>
      </w:rPr>
      <w:tab/>
      <w:t xml:space="preserve">Dirección </w:t>
    </w:r>
  </w:p>
  <w:p w14:paraId="0B25FC8A" w14:textId="77777777" w:rsidR="00B23A65" w:rsidRDefault="00000000">
    <w:pPr>
      <w:tabs>
        <w:tab w:val="center" w:pos="5254"/>
      </w:tabs>
      <w:spacing w:after="109" w:line="259" w:lineRule="auto"/>
      <w:ind w:left="0" w:right="0" w:firstLine="0"/>
      <w:jc w:val="left"/>
    </w:pPr>
    <w:r>
      <w:rPr>
        <w:sz w:val="18"/>
      </w:rPr>
      <w:t xml:space="preserve">2295-3000 </w:t>
    </w:r>
    <w:r>
      <w:rPr>
        <w:sz w:val="18"/>
      </w:rPr>
      <w:tab/>
      <w:t xml:space="preserve">San José, Barrio González Lahmann Avenida 6 y 8, Calle 19 </w:t>
    </w:r>
  </w:p>
  <w:p w14:paraId="4B55EEF5" w14:textId="77777777" w:rsidR="00B23A65" w:rsidRDefault="00000000">
    <w:pPr>
      <w:spacing w:after="0" w:line="259" w:lineRule="auto"/>
      <w:ind w:left="0" w:right="0" w:firstLine="0"/>
      <w:jc w:val="left"/>
    </w:pPr>
    <w:r>
      <w:rPr>
        <w:color w:val="FFFFFF"/>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34896"/>
      <w:docPartObj>
        <w:docPartGallery w:val="Page Numbers (Bottom of Page)"/>
        <w:docPartUnique/>
      </w:docPartObj>
    </w:sdtPr>
    <w:sdtContent>
      <w:p w14:paraId="77B07E4D" w14:textId="1DBDAF48" w:rsidR="00B019BE" w:rsidRDefault="00B019BE">
        <w:pPr>
          <w:pStyle w:val="Piedepgina"/>
          <w:jc w:val="right"/>
        </w:pPr>
        <w:r>
          <w:fldChar w:fldCharType="begin"/>
        </w:r>
        <w:r>
          <w:instrText>PAGE   \* MERGEFORMAT</w:instrText>
        </w:r>
        <w:r>
          <w:fldChar w:fldCharType="separate"/>
        </w:r>
        <w:r>
          <w:rPr>
            <w:lang w:val="es-ES"/>
          </w:rPr>
          <w:t>2</w:t>
        </w:r>
        <w:r>
          <w:fldChar w:fldCharType="end"/>
        </w:r>
      </w:p>
    </w:sdtContent>
  </w:sdt>
  <w:p w14:paraId="69A03E34" w14:textId="719EE47D" w:rsidR="00B23A65" w:rsidRDefault="00B23A65">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0260" w14:textId="77777777" w:rsidR="00B23A65" w:rsidRDefault="00000000">
    <w:pPr>
      <w:spacing w:after="105" w:line="259" w:lineRule="auto"/>
      <w:ind w:left="0" w:right="0" w:firstLine="0"/>
      <w:jc w:val="left"/>
    </w:pPr>
    <w:r>
      <w:rPr>
        <w:color w:val="FFFFFF"/>
        <w:sz w:val="18"/>
      </w:rPr>
      <w:t xml:space="preserve"> </w:t>
    </w:r>
  </w:p>
  <w:p w14:paraId="47AAEDF3" w14:textId="77777777" w:rsidR="00B23A65" w:rsidRDefault="00000000">
    <w:pPr>
      <w:tabs>
        <w:tab w:val="center" w:pos="3244"/>
      </w:tabs>
      <w:spacing w:after="210" w:line="259" w:lineRule="auto"/>
      <w:ind w:left="0" w:right="0" w:firstLine="0"/>
      <w:jc w:val="left"/>
    </w:pPr>
    <w:r>
      <w:rPr>
        <w:b/>
        <w:sz w:val="18"/>
      </w:rPr>
      <w:t xml:space="preserve">Teléfono: </w:t>
    </w:r>
    <w:r>
      <w:rPr>
        <w:b/>
        <w:sz w:val="18"/>
      </w:rPr>
      <w:tab/>
      <w:t xml:space="preserve">Dirección </w:t>
    </w:r>
  </w:p>
  <w:p w14:paraId="03774B4A" w14:textId="77777777" w:rsidR="00B23A65" w:rsidRDefault="00000000">
    <w:pPr>
      <w:tabs>
        <w:tab w:val="center" w:pos="5254"/>
      </w:tabs>
      <w:spacing w:after="109" w:line="259" w:lineRule="auto"/>
      <w:ind w:left="0" w:right="0" w:firstLine="0"/>
      <w:jc w:val="left"/>
    </w:pPr>
    <w:r>
      <w:rPr>
        <w:sz w:val="18"/>
      </w:rPr>
      <w:t xml:space="preserve">2295-3000 </w:t>
    </w:r>
    <w:r>
      <w:rPr>
        <w:sz w:val="18"/>
      </w:rPr>
      <w:tab/>
      <w:t xml:space="preserve">San José, Barrio González Lahmann Avenida 6 y 8, Calle 19 </w:t>
    </w:r>
  </w:p>
  <w:p w14:paraId="128FF85A" w14:textId="77777777" w:rsidR="00B23A65" w:rsidRDefault="00000000">
    <w:pPr>
      <w:spacing w:after="0" w:line="259" w:lineRule="auto"/>
      <w:ind w:left="0" w:right="0" w:firstLine="0"/>
      <w:jc w:val="left"/>
    </w:pPr>
    <w:r>
      <w:rPr>
        <w:color w:val="FFFFF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3789" w14:textId="77777777" w:rsidR="0053018E" w:rsidRDefault="0053018E">
      <w:pPr>
        <w:spacing w:after="0" w:line="240" w:lineRule="auto"/>
      </w:pPr>
      <w:r>
        <w:separator/>
      </w:r>
    </w:p>
  </w:footnote>
  <w:footnote w:type="continuationSeparator" w:id="0">
    <w:p w14:paraId="4FCE2103" w14:textId="77777777" w:rsidR="0053018E" w:rsidRDefault="0053018E">
      <w:pPr>
        <w:spacing w:after="0" w:line="240" w:lineRule="auto"/>
      </w:pPr>
      <w:r>
        <w:continuationSeparator/>
      </w:r>
    </w:p>
  </w:footnote>
  <w:footnote w:id="1">
    <w:p w14:paraId="1F791953" w14:textId="0B251CF1" w:rsidR="00C41658" w:rsidRDefault="00C41658">
      <w:pPr>
        <w:pStyle w:val="Textonotapie"/>
      </w:pPr>
      <w:r>
        <w:rPr>
          <w:rStyle w:val="Refdenotaalpie"/>
        </w:rPr>
        <w:footnoteRef/>
      </w:r>
      <w:r>
        <w:t xml:space="preserve"> Por definición,</w:t>
      </w:r>
      <w:r w:rsidRPr="00C41658">
        <w:rPr>
          <w:rFonts w:eastAsiaTheme="minorEastAsia" w:cstheme="minorBidi"/>
          <w:i/>
          <w:iCs/>
          <w:color w:val="002060"/>
          <w:kern w:val="24"/>
          <w:sz w:val="48"/>
          <w:szCs w:val="48"/>
          <w:lang w:val="es-ES"/>
        </w:rPr>
        <w:t xml:space="preserve"> </w:t>
      </w:r>
      <w:r w:rsidRPr="00C41658">
        <w:rPr>
          <w:i/>
          <w:iCs/>
          <w:lang w:val="es-ES"/>
        </w:rPr>
        <w:t xml:space="preserve">“La continuidad del servicio es la capacidad de la organización para seguir suministrando productos o servicios </w:t>
      </w:r>
      <w:r w:rsidRPr="00C41658">
        <w:rPr>
          <w:b/>
          <w:bCs/>
          <w:i/>
          <w:iCs/>
          <w:lang w:val="es-ES"/>
        </w:rPr>
        <w:t>a niveles predefinidos y aceptables</w:t>
      </w:r>
      <w:r w:rsidRPr="00C41658">
        <w:rPr>
          <w:i/>
          <w:iCs/>
          <w:lang w:val="es-ES"/>
        </w:rPr>
        <w:t>, después de un incidente disruptivo</w:t>
      </w:r>
      <w:r>
        <w:rPr>
          <w:i/>
          <w:iCs/>
          <w:lang w:val="es-ES"/>
        </w:rPr>
        <w:t xml:space="preserve">” </w:t>
      </w:r>
      <w:r w:rsidRPr="00C41658">
        <w:rPr>
          <w:i/>
          <w:iCs/>
          <w:lang w:val="es-ES"/>
        </w:rPr>
        <w:t>(INTE ISO 22313-2015-SGCN Orientaciones).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12" w:tblpY="319"/>
      <w:tblOverlap w:val="never"/>
      <w:tblW w:w="8819" w:type="dxa"/>
      <w:tblInd w:w="0" w:type="dxa"/>
      <w:tblCellMar>
        <w:top w:w="53" w:type="dxa"/>
        <w:left w:w="59" w:type="dxa"/>
        <w:bottom w:w="6" w:type="dxa"/>
      </w:tblCellMar>
      <w:tblLook w:val="04A0" w:firstRow="1" w:lastRow="0" w:firstColumn="1" w:lastColumn="0" w:noHBand="0" w:noVBand="1"/>
    </w:tblPr>
    <w:tblGrid>
      <w:gridCol w:w="1776"/>
      <w:gridCol w:w="7043"/>
    </w:tblGrid>
    <w:tr w:rsidR="00B23A65" w14:paraId="5ED5E36D" w14:textId="77777777">
      <w:trPr>
        <w:trHeight w:val="881"/>
      </w:trPr>
      <w:tc>
        <w:tcPr>
          <w:tcW w:w="1776" w:type="dxa"/>
          <w:vMerge w:val="restart"/>
          <w:tcBorders>
            <w:top w:val="single" w:sz="8" w:space="0" w:color="000000"/>
            <w:left w:val="single" w:sz="8" w:space="0" w:color="000000"/>
            <w:bottom w:val="single" w:sz="8" w:space="0" w:color="000000"/>
            <w:right w:val="single" w:sz="8" w:space="0" w:color="000000"/>
          </w:tcBorders>
          <w:vAlign w:val="bottom"/>
        </w:tcPr>
        <w:p w14:paraId="0A920179" w14:textId="77777777" w:rsidR="00B23A65" w:rsidRDefault="00000000">
          <w:pPr>
            <w:spacing w:after="0" w:line="259" w:lineRule="auto"/>
            <w:ind w:left="0" w:right="-1" w:firstLine="0"/>
            <w:jc w:val="right"/>
          </w:pPr>
          <w:r>
            <w:rPr>
              <w:noProof/>
            </w:rPr>
            <w:drawing>
              <wp:inline distT="0" distB="0" distL="0" distR="0" wp14:anchorId="600F36AE" wp14:editId="42B18940">
                <wp:extent cx="1051560" cy="1051560"/>
                <wp:effectExtent l="0" t="0" r="0" b="0"/>
                <wp:docPr id="5"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
                        <a:stretch>
                          <a:fillRect/>
                        </a:stretch>
                      </pic:blipFill>
                      <pic:spPr>
                        <a:xfrm>
                          <a:off x="0" y="0"/>
                          <a:ext cx="1051560" cy="1051560"/>
                        </a:xfrm>
                        <a:prstGeom prst="rect">
                          <a:avLst/>
                        </a:prstGeom>
                      </pic:spPr>
                    </pic:pic>
                  </a:graphicData>
                </a:graphic>
              </wp:inline>
            </w:drawing>
          </w:r>
          <w:r>
            <w:t xml:space="preserve"> </w:t>
          </w:r>
        </w:p>
      </w:tc>
      <w:tc>
        <w:tcPr>
          <w:tcW w:w="7043" w:type="dxa"/>
          <w:tcBorders>
            <w:top w:val="single" w:sz="8" w:space="0" w:color="000000"/>
            <w:left w:val="single" w:sz="8" w:space="0" w:color="000000"/>
            <w:bottom w:val="single" w:sz="8" w:space="0" w:color="000000"/>
            <w:right w:val="single" w:sz="8" w:space="0" w:color="000000"/>
          </w:tcBorders>
          <w:vAlign w:val="center"/>
        </w:tcPr>
        <w:p w14:paraId="1E4F2F4A" w14:textId="77777777" w:rsidR="00B23A65" w:rsidRDefault="00000000">
          <w:pPr>
            <w:spacing w:after="0" w:line="259" w:lineRule="auto"/>
            <w:ind w:left="0" w:right="63" w:firstLine="0"/>
            <w:jc w:val="center"/>
          </w:pPr>
          <w:r>
            <w:rPr>
              <w:b/>
              <w:sz w:val="24"/>
            </w:rPr>
            <w:t>PODER JUDICIAL</w:t>
          </w:r>
          <w:r>
            <w:t xml:space="preserve"> </w:t>
          </w:r>
        </w:p>
      </w:tc>
    </w:tr>
    <w:tr w:rsidR="00B23A65" w14:paraId="1343CED3" w14:textId="77777777">
      <w:trPr>
        <w:trHeight w:val="881"/>
      </w:trPr>
      <w:tc>
        <w:tcPr>
          <w:tcW w:w="0" w:type="auto"/>
          <w:vMerge/>
          <w:tcBorders>
            <w:top w:val="nil"/>
            <w:left w:val="single" w:sz="8" w:space="0" w:color="000000"/>
            <w:bottom w:val="single" w:sz="8" w:space="0" w:color="000000"/>
            <w:right w:val="single" w:sz="8" w:space="0" w:color="000000"/>
          </w:tcBorders>
        </w:tcPr>
        <w:p w14:paraId="4E82B99E" w14:textId="77777777" w:rsidR="00B23A65" w:rsidRDefault="00B23A65">
          <w:pPr>
            <w:spacing w:after="160" w:line="259" w:lineRule="auto"/>
            <w:ind w:left="0" w:right="0" w:firstLine="0"/>
            <w:jc w:val="left"/>
          </w:pPr>
        </w:p>
      </w:tc>
      <w:tc>
        <w:tcPr>
          <w:tcW w:w="7043" w:type="dxa"/>
          <w:tcBorders>
            <w:top w:val="single" w:sz="8" w:space="0" w:color="000000"/>
            <w:left w:val="single" w:sz="8" w:space="0" w:color="000000"/>
            <w:bottom w:val="single" w:sz="8" w:space="0" w:color="000000"/>
            <w:right w:val="single" w:sz="8" w:space="0" w:color="000000"/>
          </w:tcBorders>
        </w:tcPr>
        <w:p w14:paraId="0817C741" w14:textId="77777777" w:rsidR="00B23A65" w:rsidRDefault="00000000">
          <w:pPr>
            <w:spacing w:after="0" w:line="259" w:lineRule="auto"/>
            <w:ind w:left="0" w:right="0" w:firstLine="0"/>
            <w:jc w:val="center"/>
          </w:pPr>
          <w:r>
            <w:rPr>
              <w:b/>
              <w:sz w:val="32"/>
            </w:rPr>
            <w:t>Informe de Análisis de Riesgos de Continuidad del Servicio del Poder Judicial</w:t>
          </w:r>
          <w:r>
            <w:rPr>
              <w:sz w:val="32"/>
              <w:vertAlign w:val="subscript"/>
            </w:rPr>
            <w:t xml:space="preserve"> </w:t>
          </w:r>
        </w:p>
      </w:tc>
    </w:tr>
  </w:tbl>
  <w:p w14:paraId="2B622FB3" w14:textId="77777777" w:rsidR="00B23A65" w:rsidRDefault="00000000">
    <w:pPr>
      <w:spacing w:after="1740" w:line="259" w:lineRule="auto"/>
      <w:ind w:left="0" w:right="0" w:firstLine="0"/>
      <w:jc w:val="left"/>
    </w:pPr>
    <w:r>
      <w:t xml:space="preserve"> </w:t>
    </w:r>
  </w:p>
  <w:p w14:paraId="70CC9E98" w14:textId="77777777" w:rsidR="00B23A65" w:rsidRDefault="00000000">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F406" w14:textId="77777777" w:rsidR="00B23A65" w:rsidRDefault="00000000">
    <w:pPr>
      <w:spacing w:after="1740" w:line="259" w:lineRule="auto"/>
      <w:ind w:left="0" w:right="0" w:firstLine="0"/>
      <w:jc w:val="left"/>
    </w:pPr>
    <w:r>
      <w:t xml:space="preserve"> </w:t>
    </w:r>
  </w:p>
  <w:p w14:paraId="470B4AFE" w14:textId="77777777" w:rsidR="00B23A65" w:rsidRDefault="00000000">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12" w:tblpY="319"/>
      <w:tblOverlap w:val="never"/>
      <w:tblW w:w="8819" w:type="dxa"/>
      <w:tblInd w:w="0" w:type="dxa"/>
      <w:tblCellMar>
        <w:top w:w="53" w:type="dxa"/>
        <w:left w:w="59" w:type="dxa"/>
        <w:bottom w:w="6" w:type="dxa"/>
      </w:tblCellMar>
      <w:tblLook w:val="04A0" w:firstRow="1" w:lastRow="0" w:firstColumn="1" w:lastColumn="0" w:noHBand="0" w:noVBand="1"/>
    </w:tblPr>
    <w:tblGrid>
      <w:gridCol w:w="1776"/>
      <w:gridCol w:w="7043"/>
    </w:tblGrid>
    <w:tr w:rsidR="00B23A65" w14:paraId="1E7111DD" w14:textId="77777777">
      <w:trPr>
        <w:trHeight w:val="881"/>
      </w:trPr>
      <w:tc>
        <w:tcPr>
          <w:tcW w:w="1776" w:type="dxa"/>
          <w:vMerge w:val="restart"/>
          <w:tcBorders>
            <w:top w:val="single" w:sz="8" w:space="0" w:color="000000"/>
            <w:left w:val="single" w:sz="8" w:space="0" w:color="000000"/>
            <w:bottom w:val="single" w:sz="8" w:space="0" w:color="000000"/>
            <w:right w:val="single" w:sz="8" w:space="0" w:color="000000"/>
          </w:tcBorders>
          <w:vAlign w:val="bottom"/>
        </w:tcPr>
        <w:p w14:paraId="057F4118" w14:textId="77777777" w:rsidR="00B23A65" w:rsidRDefault="00000000">
          <w:pPr>
            <w:spacing w:after="0" w:line="259" w:lineRule="auto"/>
            <w:ind w:left="0" w:right="-1" w:firstLine="0"/>
            <w:jc w:val="right"/>
          </w:pPr>
          <w:r>
            <w:rPr>
              <w:noProof/>
            </w:rPr>
            <w:drawing>
              <wp:inline distT="0" distB="0" distL="0" distR="0" wp14:anchorId="40D695FD" wp14:editId="0344DE76">
                <wp:extent cx="1051560" cy="1051560"/>
                <wp:effectExtent l="0" t="0" r="0" b="0"/>
                <wp:docPr id="7"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
                        <a:stretch>
                          <a:fillRect/>
                        </a:stretch>
                      </pic:blipFill>
                      <pic:spPr>
                        <a:xfrm>
                          <a:off x="0" y="0"/>
                          <a:ext cx="1051560" cy="1051560"/>
                        </a:xfrm>
                        <a:prstGeom prst="rect">
                          <a:avLst/>
                        </a:prstGeom>
                      </pic:spPr>
                    </pic:pic>
                  </a:graphicData>
                </a:graphic>
              </wp:inline>
            </w:drawing>
          </w:r>
          <w:r>
            <w:t xml:space="preserve"> </w:t>
          </w:r>
        </w:p>
      </w:tc>
      <w:tc>
        <w:tcPr>
          <w:tcW w:w="7043" w:type="dxa"/>
          <w:tcBorders>
            <w:top w:val="single" w:sz="8" w:space="0" w:color="000000"/>
            <w:left w:val="single" w:sz="8" w:space="0" w:color="000000"/>
            <w:bottom w:val="single" w:sz="8" w:space="0" w:color="000000"/>
            <w:right w:val="single" w:sz="8" w:space="0" w:color="000000"/>
          </w:tcBorders>
          <w:vAlign w:val="center"/>
        </w:tcPr>
        <w:p w14:paraId="7DF0EAEA" w14:textId="77777777" w:rsidR="00B23A65" w:rsidRDefault="00000000">
          <w:pPr>
            <w:spacing w:after="0" w:line="259" w:lineRule="auto"/>
            <w:ind w:left="0" w:right="63" w:firstLine="0"/>
            <w:jc w:val="center"/>
          </w:pPr>
          <w:r>
            <w:rPr>
              <w:b/>
              <w:sz w:val="24"/>
            </w:rPr>
            <w:t>PODER JUDICIAL</w:t>
          </w:r>
          <w:r>
            <w:t xml:space="preserve"> </w:t>
          </w:r>
        </w:p>
      </w:tc>
    </w:tr>
    <w:tr w:rsidR="00B23A65" w14:paraId="55CF91E5" w14:textId="77777777">
      <w:trPr>
        <w:trHeight w:val="881"/>
      </w:trPr>
      <w:tc>
        <w:tcPr>
          <w:tcW w:w="0" w:type="auto"/>
          <w:vMerge/>
          <w:tcBorders>
            <w:top w:val="nil"/>
            <w:left w:val="single" w:sz="8" w:space="0" w:color="000000"/>
            <w:bottom w:val="single" w:sz="8" w:space="0" w:color="000000"/>
            <w:right w:val="single" w:sz="8" w:space="0" w:color="000000"/>
          </w:tcBorders>
        </w:tcPr>
        <w:p w14:paraId="72C712B0" w14:textId="77777777" w:rsidR="00B23A65" w:rsidRDefault="00B23A65">
          <w:pPr>
            <w:spacing w:after="160" w:line="259" w:lineRule="auto"/>
            <w:ind w:left="0" w:right="0" w:firstLine="0"/>
            <w:jc w:val="left"/>
          </w:pPr>
        </w:p>
      </w:tc>
      <w:tc>
        <w:tcPr>
          <w:tcW w:w="7043" w:type="dxa"/>
          <w:tcBorders>
            <w:top w:val="single" w:sz="8" w:space="0" w:color="000000"/>
            <w:left w:val="single" w:sz="8" w:space="0" w:color="000000"/>
            <w:bottom w:val="single" w:sz="8" w:space="0" w:color="000000"/>
            <w:right w:val="single" w:sz="8" w:space="0" w:color="000000"/>
          </w:tcBorders>
        </w:tcPr>
        <w:p w14:paraId="5A24EE1C" w14:textId="77777777" w:rsidR="00B23A65" w:rsidRDefault="00000000">
          <w:pPr>
            <w:spacing w:after="0" w:line="259" w:lineRule="auto"/>
            <w:ind w:left="0" w:right="0" w:firstLine="0"/>
            <w:jc w:val="center"/>
          </w:pPr>
          <w:r>
            <w:rPr>
              <w:b/>
              <w:sz w:val="32"/>
            </w:rPr>
            <w:t>Informe de Análisis de Riesgos de Continuidad del Servicio del Poder Judicial</w:t>
          </w:r>
          <w:r>
            <w:rPr>
              <w:sz w:val="32"/>
              <w:vertAlign w:val="subscript"/>
            </w:rPr>
            <w:t xml:space="preserve"> </w:t>
          </w:r>
        </w:p>
      </w:tc>
    </w:tr>
  </w:tbl>
  <w:p w14:paraId="171CE359" w14:textId="77777777" w:rsidR="00B23A65" w:rsidRDefault="00000000">
    <w:pPr>
      <w:spacing w:after="1740" w:line="259" w:lineRule="auto"/>
      <w:ind w:left="0" w:right="0" w:firstLine="0"/>
      <w:jc w:val="left"/>
    </w:pPr>
    <w:r>
      <w:t xml:space="preserve"> </w:t>
    </w:r>
  </w:p>
  <w:p w14:paraId="4A4A890D" w14:textId="77777777" w:rsidR="00B23A65" w:rsidRDefault="00000000">
    <w:pPr>
      <w:spacing w:after="0" w:line="259" w:lineRule="auto"/>
      <w:ind w:left="0" w:righ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BCA"/>
    <w:multiLevelType w:val="hybridMultilevel"/>
    <w:tmpl w:val="847858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7203E6"/>
    <w:multiLevelType w:val="hybridMultilevel"/>
    <w:tmpl w:val="8A1856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06B1C74"/>
    <w:multiLevelType w:val="hybridMultilevel"/>
    <w:tmpl w:val="B93A81B0"/>
    <w:lvl w:ilvl="0" w:tplc="140A0001">
      <w:start w:val="1"/>
      <w:numFmt w:val="bullet"/>
      <w:lvlText w:val=""/>
      <w:lvlJc w:val="left"/>
      <w:pPr>
        <w:ind w:left="3054" w:hanging="360"/>
      </w:pPr>
      <w:rPr>
        <w:rFonts w:ascii="Symbol" w:hAnsi="Symbol" w:hint="default"/>
      </w:rPr>
    </w:lvl>
    <w:lvl w:ilvl="1" w:tplc="140A0003" w:tentative="1">
      <w:start w:val="1"/>
      <w:numFmt w:val="bullet"/>
      <w:lvlText w:val="o"/>
      <w:lvlJc w:val="left"/>
      <w:pPr>
        <w:ind w:left="3774" w:hanging="360"/>
      </w:pPr>
      <w:rPr>
        <w:rFonts w:ascii="Courier New" w:hAnsi="Courier New" w:cs="Courier New" w:hint="default"/>
      </w:rPr>
    </w:lvl>
    <w:lvl w:ilvl="2" w:tplc="140A0005" w:tentative="1">
      <w:start w:val="1"/>
      <w:numFmt w:val="bullet"/>
      <w:lvlText w:val=""/>
      <w:lvlJc w:val="left"/>
      <w:pPr>
        <w:ind w:left="4494" w:hanging="360"/>
      </w:pPr>
      <w:rPr>
        <w:rFonts w:ascii="Wingdings" w:hAnsi="Wingdings" w:hint="default"/>
      </w:rPr>
    </w:lvl>
    <w:lvl w:ilvl="3" w:tplc="140A0001" w:tentative="1">
      <w:start w:val="1"/>
      <w:numFmt w:val="bullet"/>
      <w:lvlText w:val=""/>
      <w:lvlJc w:val="left"/>
      <w:pPr>
        <w:ind w:left="5214" w:hanging="360"/>
      </w:pPr>
      <w:rPr>
        <w:rFonts w:ascii="Symbol" w:hAnsi="Symbol" w:hint="default"/>
      </w:rPr>
    </w:lvl>
    <w:lvl w:ilvl="4" w:tplc="140A0003" w:tentative="1">
      <w:start w:val="1"/>
      <w:numFmt w:val="bullet"/>
      <w:lvlText w:val="o"/>
      <w:lvlJc w:val="left"/>
      <w:pPr>
        <w:ind w:left="5934" w:hanging="360"/>
      </w:pPr>
      <w:rPr>
        <w:rFonts w:ascii="Courier New" w:hAnsi="Courier New" w:cs="Courier New" w:hint="default"/>
      </w:rPr>
    </w:lvl>
    <w:lvl w:ilvl="5" w:tplc="140A0005" w:tentative="1">
      <w:start w:val="1"/>
      <w:numFmt w:val="bullet"/>
      <w:lvlText w:val=""/>
      <w:lvlJc w:val="left"/>
      <w:pPr>
        <w:ind w:left="6654" w:hanging="360"/>
      </w:pPr>
      <w:rPr>
        <w:rFonts w:ascii="Wingdings" w:hAnsi="Wingdings" w:hint="default"/>
      </w:rPr>
    </w:lvl>
    <w:lvl w:ilvl="6" w:tplc="140A0001" w:tentative="1">
      <w:start w:val="1"/>
      <w:numFmt w:val="bullet"/>
      <w:lvlText w:val=""/>
      <w:lvlJc w:val="left"/>
      <w:pPr>
        <w:ind w:left="7374" w:hanging="360"/>
      </w:pPr>
      <w:rPr>
        <w:rFonts w:ascii="Symbol" w:hAnsi="Symbol" w:hint="default"/>
      </w:rPr>
    </w:lvl>
    <w:lvl w:ilvl="7" w:tplc="140A0003" w:tentative="1">
      <w:start w:val="1"/>
      <w:numFmt w:val="bullet"/>
      <w:lvlText w:val="o"/>
      <w:lvlJc w:val="left"/>
      <w:pPr>
        <w:ind w:left="8094" w:hanging="360"/>
      </w:pPr>
      <w:rPr>
        <w:rFonts w:ascii="Courier New" w:hAnsi="Courier New" w:cs="Courier New" w:hint="default"/>
      </w:rPr>
    </w:lvl>
    <w:lvl w:ilvl="8" w:tplc="140A0005" w:tentative="1">
      <w:start w:val="1"/>
      <w:numFmt w:val="bullet"/>
      <w:lvlText w:val=""/>
      <w:lvlJc w:val="left"/>
      <w:pPr>
        <w:ind w:left="8814" w:hanging="360"/>
      </w:pPr>
      <w:rPr>
        <w:rFonts w:ascii="Wingdings" w:hAnsi="Wingdings" w:hint="default"/>
      </w:rPr>
    </w:lvl>
  </w:abstractNum>
  <w:abstractNum w:abstractNumId="3" w15:restartNumberingAfterBreak="0">
    <w:nsid w:val="11EE1954"/>
    <w:multiLevelType w:val="hybridMultilevel"/>
    <w:tmpl w:val="B7B093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407575F"/>
    <w:multiLevelType w:val="hybridMultilevel"/>
    <w:tmpl w:val="38FCA21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9BE0678"/>
    <w:multiLevelType w:val="hybridMultilevel"/>
    <w:tmpl w:val="A0DC983A"/>
    <w:lvl w:ilvl="0" w:tplc="38C8E402">
      <w:start w:val="6"/>
      <w:numFmt w:val="bullet"/>
      <w:lvlText w:val="-"/>
      <w:lvlJc w:val="left"/>
      <w:pPr>
        <w:ind w:left="345" w:hanging="360"/>
      </w:pPr>
      <w:rPr>
        <w:rFonts w:ascii="Arial" w:eastAsia="Arial" w:hAnsi="Arial" w:cs="Arial" w:hint="default"/>
      </w:rPr>
    </w:lvl>
    <w:lvl w:ilvl="1" w:tplc="140A0003" w:tentative="1">
      <w:start w:val="1"/>
      <w:numFmt w:val="bullet"/>
      <w:lvlText w:val="o"/>
      <w:lvlJc w:val="left"/>
      <w:pPr>
        <w:ind w:left="1065" w:hanging="360"/>
      </w:pPr>
      <w:rPr>
        <w:rFonts w:ascii="Courier New" w:hAnsi="Courier New" w:cs="Courier New" w:hint="default"/>
      </w:rPr>
    </w:lvl>
    <w:lvl w:ilvl="2" w:tplc="140A0005" w:tentative="1">
      <w:start w:val="1"/>
      <w:numFmt w:val="bullet"/>
      <w:lvlText w:val=""/>
      <w:lvlJc w:val="left"/>
      <w:pPr>
        <w:ind w:left="1785" w:hanging="360"/>
      </w:pPr>
      <w:rPr>
        <w:rFonts w:ascii="Wingdings" w:hAnsi="Wingdings" w:hint="default"/>
      </w:rPr>
    </w:lvl>
    <w:lvl w:ilvl="3" w:tplc="140A0001" w:tentative="1">
      <w:start w:val="1"/>
      <w:numFmt w:val="bullet"/>
      <w:lvlText w:val=""/>
      <w:lvlJc w:val="left"/>
      <w:pPr>
        <w:ind w:left="2505" w:hanging="360"/>
      </w:pPr>
      <w:rPr>
        <w:rFonts w:ascii="Symbol" w:hAnsi="Symbol" w:hint="default"/>
      </w:rPr>
    </w:lvl>
    <w:lvl w:ilvl="4" w:tplc="140A0003" w:tentative="1">
      <w:start w:val="1"/>
      <w:numFmt w:val="bullet"/>
      <w:lvlText w:val="o"/>
      <w:lvlJc w:val="left"/>
      <w:pPr>
        <w:ind w:left="3225" w:hanging="360"/>
      </w:pPr>
      <w:rPr>
        <w:rFonts w:ascii="Courier New" w:hAnsi="Courier New" w:cs="Courier New" w:hint="default"/>
      </w:rPr>
    </w:lvl>
    <w:lvl w:ilvl="5" w:tplc="140A0005" w:tentative="1">
      <w:start w:val="1"/>
      <w:numFmt w:val="bullet"/>
      <w:lvlText w:val=""/>
      <w:lvlJc w:val="left"/>
      <w:pPr>
        <w:ind w:left="3945" w:hanging="360"/>
      </w:pPr>
      <w:rPr>
        <w:rFonts w:ascii="Wingdings" w:hAnsi="Wingdings" w:hint="default"/>
      </w:rPr>
    </w:lvl>
    <w:lvl w:ilvl="6" w:tplc="140A0001" w:tentative="1">
      <w:start w:val="1"/>
      <w:numFmt w:val="bullet"/>
      <w:lvlText w:val=""/>
      <w:lvlJc w:val="left"/>
      <w:pPr>
        <w:ind w:left="4665" w:hanging="360"/>
      </w:pPr>
      <w:rPr>
        <w:rFonts w:ascii="Symbol" w:hAnsi="Symbol" w:hint="default"/>
      </w:rPr>
    </w:lvl>
    <w:lvl w:ilvl="7" w:tplc="140A0003" w:tentative="1">
      <w:start w:val="1"/>
      <w:numFmt w:val="bullet"/>
      <w:lvlText w:val="o"/>
      <w:lvlJc w:val="left"/>
      <w:pPr>
        <w:ind w:left="5385" w:hanging="360"/>
      </w:pPr>
      <w:rPr>
        <w:rFonts w:ascii="Courier New" w:hAnsi="Courier New" w:cs="Courier New" w:hint="default"/>
      </w:rPr>
    </w:lvl>
    <w:lvl w:ilvl="8" w:tplc="140A0005" w:tentative="1">
      <w:start w:val="1"/>
      <w:numFmt w:val="bullet"/>
      <w:lvlText w:val=""/>
      <w:lvlJc w:val="left"/>
      <w:pPr>
        <w:ind w:left="6105" w:hanging="360"/>
      </w:pPr>
      <w:rPr>
        <w:rFonts w:ascii="Wingdings" w:hAnsi="Wingdings" w:hint="default"/>
      </w:rPr>
    </w:lvl>
  </w:abstractNum>
  <w:abstractNum w:abstractNumId="6" w15:restartNumberingAfterBreak="0">
    <w:nsid w:val="36976E45"/>
    <w:multiLevelType w:val="hybridMultilevel"/>
    <w:tmpl w:val="474C9A18"/>
    <w:lvl w:ilvl="0" w:tplc="140A0001">
      <w:start w:val="1"/>
      <w:numFmt w:val="bullet"/>
      <w:lvlText w:val=""/>
      <w:lvlJc w:val="left"/>
      <w:pPr>
        <w:ind w:left="3054" w:hanging="360"/>
      </w:pPr>
      <w:rPr>
        <w:rFonts w:ascii="Symbol" w:hAnsi="Symbol" w:hint="default"/>
      </w:rPr>
    </w:lvl>
    <w:lvl w:ilvl="1" w:tplc="140A0003" w:tentative="1">
      <w:start w:val="1"/>
      <w:numFmt w:val="bullet"/>
      <w:lvlText w:val="o"/>
      <w:lvlJc w:val="left"/>
      <w:pPr>
        <w:ind w:left="3774" w:hanging="360"/>
      </w:pPr>
      <w:rPr>
        <w:rFonts w:ascii="Courier New" w:hAnsi="Courier New" w:cs="Courier New" w:hint="default"/>
      </w:rPr>
    </w:lvl>
    <w:lvl w:ilvl="2" w:tplc="140A0005" w:tentative="1">
      <w:start w:val="1"/>
      <w:numFmt w:val="bullet"/>
      <w:lvlText w:val=""/>
      <w:lvlJc w:val="left"/>
      <w:pPr>
        <w:ind w:left="4494" w:hanging="360"/>
      </w:pPr>
      <w:rPr>
        <w:rFonts w:ascii="Wingdings" w:hAnsi="Wingdings" w:hint="default"/>
      </w:rPr>
    </w:lvl>
    <w:lvl w:ilvl="3" w:tplc="140A0001" w:tentative="1">
      <w:start w:val="1"/>
      <w:numFmt w:val="bullet"/>
      <w:lvlText w:val=""/>
      <w:lvlJc w:val="left"/>
      <w:pPr>
        <w:ind w:left="5214" w:hanging="360"/>
      </w:pPr>
      <w:rPr>
        <w:rFonts w:ascii="Symbol" w:hAnsi="Symbol" w:hint="default"/>
      </w:rPr>
    </w:lvl>
    <w:lvl w:ilvl="4" w:tplc="140A0003" w:tentative="1">
      <w:start w:val="1"/>
      <w:numFmt w:val="bullet"/>
      <w:lvlText w:val="o"/>
      <w:lvlJc w:val="left"/>
      <w:pPr>
        <w:ind w:left="5934" w:hanging="360"/>
      </w:pPr>
      <w:rPr>
        <w:rFonts w:ascii="Courier New" w:hAnsi="Courier New" w:cs="Courier New" w:hint="default"/>
      </w:rPr>
    </w:lvl>
    <w:lvl w:ilvl="5" w:tplc="140A0005" w:tentative="1">
      <w:start w:val="1"/>
      <w:numFmt w:val="bullet"/>
      <w:lvlText w:val=""/>
      <w:lvlJc w:val="left"/>
      <w:pPr>
        <w:ind w:left="6654" w:hanging="360"/>
      </w:pPr>
      <w:rPr>
        <w:rFonts w:ascii="Wingdings" w:hAnsi="Wingdings" w:hint="default"/>
      </w:rPr>
    </w:lvl>
    <w:lvl w:ilvl="6" w:tplc="140A0001" w:tentative="1">
      <w:start w:val="1"/>
      <w:numFmt w:val="bullet"/>
      <w:lvlText w:val=""/>
      <w:lvlJc w:val="left"/>
      <w:pPr>
        <w:ind w:left="7374" w:hanging="360"/>
      </w:pPr>
      <w:rPr>
        <w:rFonts w:ascii="Symbol" w:hAnsi="Symbol" w:hint="default"/>
      </w:rPr>
    </w:lvl>
    <w:lvl w:ilvl="7" w:tplc="140A0003" w:tentative="1">
      <w:start w:val="1"/>
      <w:numFmt w:val="bullet"/>
      <w:lvlText w:val="o"/>
      <w:lvlJc w:val="left"/>
      <w:pPr>
        <w:ind w:left="8094" w:hanging="360"/>
      </w:pPr>
      <w:rPr>
        <w:rFonts w:ascii="Courier New" w:hAnsi="Courier New" w:cs="Courier New" w:hint="default"/>
      </w:rPr>
    </w:lvl>
    <w:lvl w:ilvl="8" w:tplc="140A0005" w:tentative="1">
      <w:start w:val="1"/>
      <w:numFmt w:val="bullet"/>
      <w:lvlText w:val=""/>
      <w:lvlJc w:val="left"/>
      <w:pPr>
        <w:ind w:left="8814" w:hanging="360"/>
      </w:pPr>
      <w:rPr>
        <w:rFonts w:ascii="Wingdings" w:hAnsi="Wingdings" w:hint="default"/>
      </w:rPr>
    </w:lvl>
  </w:abstractNum>
  <w:abstractNum w:abstractNumId="7" w15:restartNumberingAfterBreak="0">
    <w:nsid w:val="39A51E5C"/>
    <w:multiLevelType w:val="hybridMultilevel"/>
    <w:tmpl w:val="F10ABB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4D67B0F"/>
    <w:multiLevelType w:val="hybridMultilevel"/>
    <w:tmpl w:val="7526CA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2FE7B17"/>
    <w:multiLevelType w:val="hybridMultilevel"/>
    <w:tmpl w:val="BD70E76C"/>
    <w:lvl w:ilvl="0" w:tplc="140A0005">
      <w:start w:val="1"/>
      <w:numFmt w:val="bullet"/>
      <w:lvlText w:val=""/>
      <w:lvlJc w:val="left"/>
      <w:pPr>
        <w:ind w:left="345" w:hanging="360"/>
      </w:pPr>
      <w:rPr>
        <w:rFonts w:ascii="Wingdings" w:hAnsi="Wingdings" w:hint="default"/>
      </w:rPr>
    </w:lvl>
    <w:lvl w:ilvl="1" w:tplc="FFFFFFFF">
      <w:start w:val="1"/>
      <w:numFmt w:val="bullet"/>
      <w:lvlText w:val="o"/>
      <w:lvlJc w:val="left"/>
      <w:pPr>
        <w:ind w:left="1065" w:hanging="360"/>
      </w:pPr>
      <w:rPr>
        <w:rFonts w:ascii="Courier New" w:hAnsi="Courier New" w:cs="Courier New" w:hint="default"/>
      </w:rPr>
    </w:lvl>
    <w:lvl w:ilvl="2" w:tplc="FFFFFFFF" w:tentative="1">
      <w:start w:val="1"/>
      <w:numFmt w:val="bullet"/>
      <w:lvlText w:val=""/>
      <w:lvlJc w:val="left"/>
      <w:pPr>
        <w:ind w:left="1785" w:hanging="360"/>
      </w:pPr>
      <w:rPr>
        <w:rFonts w:ascii="Wingdings" w:hAnsi="Wingdings" w:hint="default"/>
      </w:rPr>
    </w:lvl>
    <w:lvl w:ilvl="3" w:tplc="FFFFFFFF" w:tentative="1">
      <w:start w:val="1"/>
      <w:numFmt w:val="bullet"/>
      <w:lvlText w:val=""/>
      <w:lvlJc w:val="left"/>
      <w:pPr>
        <w:ind w:left="2505" w:hanging="360"/>
      </w:pPr>
      <w:rPr>
        <w:rFonts w:ascii="Symbol" w:hAnsi="Symbol" w:hint="default"/>
      </w:rPr>
    </w:lvl>
    <w:lvl w:ilvl="4" w:tplc="FFFFFFFF" w:tentative="1">
      <w:start w:val="1"/>
      <w:numFmt w:val="bullet"/>
      <w:lvlText w:val="o"/>
      <w:lvlJc w:val="left"/>
      <w:pPr>
        <w:ind w:left="3225" w:hanging="360"/>
      </w:pPr>
      <w:rPr>
        <w:rFonts w:ascii="Courier New" w:hAnsi="Courier New" w:cs="Courier New" w:hint="default"/>
      </w:rPr>
    </w:lvl>
    <w:lvl w:ilvl="5" w:tplc="FFFFFFFF" w:tentative="1">
      <w:start w:val="1"/>
      <w:numFmt w:val="bullet"/>
      <w:lvlText w:val=""/>
      <w:lvlJc w:val="left"/>
      <w:pPr>
        <w:ind w:left="3945" w:hanging="360"/>
      </w:pPr>
      <w:rPr>
        <w:rFonts w:ascii="Wingdings" w:hAnsi="Wingdings" w:hint="default"/>
      </w:rPr>
    </w:lvl>
    <w:lvl w:ilvl="6" w:tplc="FFFFFFFF" w:tentative="1">
      <w:start w:val="1"/>
      <w:numFmt w:val="bullet"/>
      <w:lvlText w:val=""/>
      <w:lvlJc w:val="left"/>
      <w:pPr>
        <w:ind w:left="4665" w:hanging="360"/>
      </w:pPr>
      <w:rPr>
        <w:rFonts w:ascii="Symbol" w:hAnsi="Symbol" w:hint="default"/>
      </w:rPr>
    </w:lvl>
    <w:lvl w:ilvl="7" w:tplc="FFFFFFFF" w:tentative="1">
      <w:start w:val="1"/>
      <w:numFmt w:val="bullet"/>
      <w:lvlText w:val="o"/>
      <w:lvlJc w:val="left"/>
      <w:pPr>
        <w:ind w:left="5385" w:hanging="360"/>
      </w:pPr>
      <w:rPr>
        <w:rFonts w:ascii="Courier New" w:hAnsi="Courier New" w:cs="Courier New" w:hint="default"/>
      </w:rPr>
    </w:lvl>
    <w:lvl w:ilvl="8" w:tplc="FFFFFFFF" w:tentative="1">
      <w:start w:val="1"/>
      <w:numFmt w:val="bullet"/>
      <w:lvlText w:val=""/>
      <w:lvlJc w:val="left"/>
      <w:pPr>
        <w:ind w:left="6105" w:hanging="360"/>
      </w:pPr>
      <w:rPr>
        <w:rFonts w:ascii="Wingdings" w:hAnsi="Wingdings" w:hint="default"/>
      </w:rPr>
    </w:lvl>
  </w:abstractNum>
  <w:abstractNum w:abstractNumId="10" w15:restartNumberingAfterBreak="0">
    <w:nsid w:val="64C40DA0"/>
    <w:multiLevelType w:val="hybridMultilevel"/>
    <w:tmpl w:val="B0369932"/>
    <w:lvl w:ilvl="0" w:tplc="881AE18E">
      <w:start w:val="10"/>
      <w:numFmt w:val="bullet"/>
      <w:lvlText w:val="-"/>
      <w:lvlJc w:val="left"/>
      <w:pPr>
        <w:ind w:left="345" w:hanging="360"/>
      </w:pPr>
      <w:rPr>
        <w:rFonts w:ascii="Arial" w:eastAsia="Arial" w:hAnsi="Arial" w:cs="Arial" w:hint="default"/>
      </w:rPr>
    </w:lvl>
    <w:lvl w:ilvl="1" w:tplc="140A0003">
      <w:start w:val="1"/>
      <w:numFmt w:val="bullet"/>
      <w:lvlText w:val="o"/>
      <w:lvlJc w:val="left"/>
      <w:pPr>
        <w:ind w:left="1065" w:hanging="360"/>
      </w:pPr>
      <w:rPr>
        <w:rFonts w:ascii="Courier New" w:hAnsi="Courier New" w:cs="Courier New" w:hint="default"/>
      </w:rPr>
    </w:lvl>
    <w:lvl w:ilvl="2" w:tplc="140A0005" w:tentative="1">
      <w:start w:val="1"/>
      <w:numFmt w:val="bullet"/>
      <w:lvlText w:val=""/>
      <w:lvlJc w:val="left"/>
      <w:pPr>
        <w:ind w:left="1785" w:hanging="360"/>
      </w:pPr>
      <w:rPr>
        <w:rFonts w:ascii="Wingdings" w:hAnsi="Wingdings" w:hint="default"/>
      </w:rPr>
    </w:lvl>
    <w:lvl w:ilvl="3" w:tplc="140A0001" w:tentative="1">
      <w:start w:val="1"/>
      <w:numFmt w:val="bullet"/>
      <w:lvlText w:val=""/>
      <w:lvlJc w:val="left"/>
      <w:pPr>
        <w:ind w:left="2505" w:hanging="360"/>
      </w:pPr>
      <w:rPr>
        <w:rFonts w:ascii="Symbol" w:hAnsi="Symbol" w:hint="default"/>
      </w:rPr>
    </w:lvl>
    <w:lvl w:ilvl="4" w:tplc="140A0003" w:tentative="1">
      <w:start w:val="1"/>
      <w:numFmt w:val="bullet"/>
      <w:lvlText w:val="o"/>
      <w:lvlJc w:val="left"/>
      <w:pPr>
        <w:ind w:left="3225" w:hanging="360"/>
      </w:pPr>
      <w:rPr>
        <w:rFonts w:ascii="Courier New" w:hAnsi="Courier New" w:cs="Courier New" w:hint="default"/>
      </w:rPr>
    </w:lvl>
    <w:lvl w:ilvl="5" w:tplc="140A0005" w:tentative="1">
      <w:start w:val="1"/>
      <w:numFmt w:val="bullet"/>
      <w:lvlText w:val=""/>
      <w:lvlJc w:val="left"/>
      <w:pPr>
        <w:ind w:left="3945" w:hanging="360"/>
      </w:pPr>
      <w:rPr>
        <w:rFonts w:ascii="Wingdings" w:hAnsi="Wingdings" w:hint="default"/>
      </w:rPr>
    </w:lvl>
    <w:lvl w:ilvl="6" w:tplc="140A0001" w:tentative="1">
      <w:start w:val="1"/>
      <w:numFmt w:val="bullet"/>
      <w:lvlText w:val=""/>
      <w:lvlJc w:val="left"/>
      <w:pPr>
        <w:ind w:left="4665" w:hanging="360"/>
      </w:pPr>
      <w:rPr>
        <w:rFonts w:ascii="Symbol" w:hAnsi="Symbol" w:hint="default"/>
      </w:rPr>
    </w:lvl>
    <w:lvl w:ilvl="7" w:tplc="140A0003" w:tentative="1">
      <w:start w:val="1"/>
      <w:numFmt w:val="bullet"/>
      <w:lvlText w:val="o"/>
      <w:lvlJc w:val="left"/>
      <w:pPr>
        <w:ind w:left="5385" w:hanging="360"/>
      </w:pPr>
      <w:rPr>
        <w:rFonts w:ascii="Courier New" w:hAnsi="Courier New" w:cs="Courier New" w:hint="default"/>
      </w:rPr>
    </w:lvl>
    <w:lvl w:ilvl="8" w:tplc="140A0005" w:tentative="1">
      <w:start w:val="1"/>
      <w:numFmt w:val="bullet"/>
      <w:lvlText w:val=""/>
      <w:lvlJc w:val="left"/>
      <w:pPr>
        <w:ind w:left="6105" w:hanging="360"/>
      </w:pPr>
      <w:rPr>
        <w:rFonts w:ascii="Wingdings" w:hAnsi="Wingdings" w:hint="default"/>
      </w:rPr>
    </w:lvl>
  </w:abstractNum>
  <w:abstractNum w:abstractNumId="11" w15:restartNumberingAfterBreak="0">
    <w:nsid w:val="67BC58D9"/>
    <w:multiLevelType w:val="hybridMultilevel"/>
    <w:tmpl w:val="8ED60924"/>
    <w:lvl w:ilvl="0" w:tplc="6936A91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F280E73"/>
    <w:multiLevelType w:val="hybridMultilevel"/>
    <w:tmpl w:val="0AA6C2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3AC6F5F"/>
    <w:multiLevelType w:val="hybridMultilevel"/>
    <w:tmpl w:val="DF045B04"/>
    <w:lvl w:ilvl="0" w:tplc="6936A9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6EAD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888C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F045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C8B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0C8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A9C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B423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3223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E034A6"/>
    <w:multiLevelType w:val="hybridMultilevel"/>
    <w:tmpl w:val="FC9EF056"/>
    <w:lvl w:ilvl="0" w:tplc="140A0001">
      <w:start w:val="1"/>
      <w:numFmt w:val="bullet"/>
      <w:lvlText w:val=""/>
      <w:lvlJc w:val="left"/>
      <w:pPr>
        <w:ind w:left="350" w:hanging="360"/>
      </w:pPr>
      <w:rPr>
        <w:rFonts w:ascii="Symbol" w:hAnsi="Symbol" w:hint="default"/>
      </w:rPr>
    </w:lvl>
    <w:lvl w:ilvl="1" w:tplc="140A0003" w:tentative="1">
      <w:start w:val="1"/>
      <w:numFmt w:val="bullet"/>
      <w:lvlText w:val="o"/>
      <w:lvlJc w:val="left"/>
      <w:pPr>
        <w:ind w:left="1070" w:hanging="360"/>
      </w:pPr>
      <w:rPr>
        <w:rFonts w:ascii="Courier New" w:hAnsi="Courier New" w:cs="Courier New" w:hint="default"/>
      </w:rPr>
    </w:lvl>
    <w:lvl w:ilvl="2" w:tplc="140A0005" w:tentative="1">
      <w:start w:val="1"/>
      <w:numFmt w:val="bullet"/>
      <w:lvlText w:val=""/>
      <w:lvlJc w:val="left"/>
      <w:pPr>
        <w:ind w:left="1790" w:hanging="360"/>
      </w:pPr>
      <w:rPr>
        <w:rFonts w:ascii="Wingdings" w:hAnsi="Wingdings" w:hint="default"/>
      </w:rPr>
    </w:lvl>
    <w:lvl w:ilvl="3" w:tplc="140A0001" w:tentative="1">
      <w:start w:val="1"/>
      <w:numFmt w:val="bullet"/>
      <w:lvlText w:val=""/>
      <w:lvlJc w:val="left"/>
      <w:pPr>
        <w:ind w:left="2510" w:hanging="360"/>
      </w:pPr>
      <w:rPr>
        <w:rFonts w:ascii="Symbol" w:hAnsi="Symbol" w:hint="default"/>
      </w:rPr>
    </w:lvl>
    <w:lvl w:ilvl="4" w:tplc="140A0003" w:tentative="1">
      <w:start w:val="1"/>
      <w:numFmt w:val="bullet"/>
      <w:lvlText w:val="o"/>
      <w:lvlJc w:val="left"/>
      <w:pPr>
        <w:ind w:left="3230" w:hanging="360"/>
      </w:pPr>
      <w:rPr>
        <w:rFonts w:ascii="Courier New" w:hAnsi="Courier New" w:cs="Courier New" w:hint="default"/>
      </w:rPr>
    </w:lvl>
    <w:lvl w:ilvl="5" w:tplc="140A0005" w:tentative="1">
      <w:start w:val="1"/>
      <w:numFmt w:val="bullet"/>
      <w:lvlText w:val=""/>
      <w:lvlJc w:val="left"/>
      <w:pPr>
        <w:ind w:left="3950" w:hanging="360"/>
      </w:pPr>
      <w:rPr>
        <w:rFonts w:ascii="Wingdings" w:hAnsi="Wingdings" w:hint="default"/>
      </w:rPr>
    </w:lvl>
    <w:lvl w:ilvl="6" w:tplc="140A0001" w:tentative="1">
      <w:start w:val="1"/>
      <w:numFmt w:val="bullet"/>
      <w:lvlText w:val=""/>
      <w:lvlJc w:val="left"/>
      <w:pPr>
        <w:ind w:left="4670" w:hanging="360"/>
      </w:pPr>
      <w:rPr>
        <w:rFonts w:ascii="Symbol" w:hAnsi="Symbol" w:hint="default"/>
      </w:rPr>
    </w:lvl>
    <w:lvl w:ilvl="7" w:tplc="140A0003" w:tentative="1">
      <w:start w:val="1"/>
      <w:numFmt w:val="bullet"/>
      <w:lvlText w:val="o"/>
      <w:lvlJc w:val="left"/>
      <w:pPr>
        <w:ind w:left="5390" w:hanging="360"/>
      </w:pPr>
      <w:rPr>
        <w:rFonts w:ascii="Courier New" w:hAnsi="Courier New" w:cs="Courier New" w:hint="default"/>
      </w:rPr>
    </w:lvl>
    <w:lvl w:ilvl="8" w:tplc="140A0005" w:tentative="1">
      <w:start w:val="1"/>
      <w:numFmt w:val="bullet"/>
      <w:lvlText w:val=""/>
      <w:lvlJc w:val="left"/>
      <w:pPr>
        <w:ind w:left="6110" w:hanging="360"/>
      </w:pPr>
      <w:rPr>
        <w:rFonts w:ascii="Wingdings" w:hAnsi="Wingdings" w:hint="default"/>
      </w:rPr>
    </w:lvl>
  </w:abstractNum>
  <w:num w:numId="1" w16cid:durableId="58292714">
    <w:abstractNumId w:val="13"/>
  </w:num>
  <w:num w:numId="2" w16cid:durableId="1796674817">
    <w:abstractNumId w:val="0"/>
  </w:num>
  <w:num w:numId="3" w16cid:durableId="545683816">
    <w:abstractNumId w:val="11"/>
  </w:num>
  <w:num w:numId="4" w16cid:durableId="1875193715">
    <w:abstractNumId w:val="2"/>
  </w:num>
  <w:num w:numId="5" w16cid:durableId="1545483214">
    <w:abstractNumId w:val="3"/>
  </w:num>
  <w:num w:numId="6" w16cid:durableId="1348671945">
    <w:abstractNumId w:val="12"/>
  </w:num>
  <w:num w:numId="7" w16cid:durableId="69235906">
    <w:abstractNumId w:val="1"/>
  </w:num>
  <w:num w:numId="8" w16cid:durableId="149488244">
    <w:abstractNumId w:val="8"/>
  </w:num>
  <w:num w:numId="9" w16cid:durableId="930315485">
    <w:abstractNumId w:val="14"/>
  </w:num>
  <w:num w:numId="10" w16cid:durableId="103429147">
    <w:abstractNumId w:val="7"/>
  </w:num>
  <w:num w:numId="11" w16cid:durableId="2002613444">
    <w:abstractNumId w:val="6"/>
  </w:num>
  <w:num w:numId="12" w16cid:durableId="1241525248">
    <w:abstractNumId w:val="10"/>
  </w:num>
  <w:num w:numId="13" w16cid:durableId="580914317">
    <w:abstractNumId w:val="4"/>
  </w:num>
  <w:num w:numId="14" w16cid:durableId="1705787111">
    <w:abstractNumId w:val="9"/>
  </w:num>
  <w:num w:numId="15" w16cid:durableId="40345296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65"/>
    <w:rsid w:val="00013206"/>
    <w:rsid w:val="00020F55"/>
    <w:rsid w:val="00022127"/>
    <w:rsid w:val="00022681"/>
    <w:rsid w:val="00036873"/>
    <w:rsid w:val="000371B5"/>
    <w:rsid w:val="00044AED"/>
    <w:rsid w:val="00045A33"/>
    <w:rsid w:val="00057612"/>
    <w:rsid w:val="00063281"/>
    <w:rsid w:val="000655BB"/>
    <w:rsid w:val="00070A9D"/>
    <w:rsid w:val="00086C27"/>
    <w:rsid w:val="000926AF"/>
    <w:rsid w:val="000A277B"/>
    <w:rsid w:val="000A2B7B"/>
    <w:rsid w:val="000A7626"/>
    <w:rsid w:val="000B14EF"/>
    <w:rsid w:val="000B3907"/>
    <w:rsid w:val="000C78BB"/>
    <w:rsid w:val="000E12A8"/>
    <w:rsid w:val="000E1EFF"/>
    <w:rsid w:val="000E3E30"/>
    <w:rsid w:val="000E408E"/>
    <w:rsid w:val="000E777C"/>
    <w:rsid w:val="000F0EB6"/>
    <w:rsid w:val="000F1DD5"/>
    <w:rsid w:val="000F3951"/>
    <w:rsid w:val="000F5E38"/>
    <w:rsid w:val="00106C5B"/>
    <w:rsid w:val="00117494"/>
    <w:rsid w:val="00127FB7"/>
    <w:rsid w:val="0013551F"/>
    <w:rsid w:val="0013591B"/>
    <w:rsid w:val="0014310D"/>
    <w:rsid w:val="00143394"/>
    <w:rsid w:val="00150499"/>
    <w:rsid w:val="00155301"/>
    <w:rsid w:val="0017170D"/>
    <w:rsid w:val="00171737"/>
    <w:rsid w:val="00172B3B"/>
    <w:rsid w:val="00173C45"/>
    <w:rsid w:val="0017748A"/>
    <w:rsid w:val="00177BDF"/>
    <w:rsid w:val="001B06B6"/>
    <w:rsid w:val="001B2C93"/>
    <w:rsid w:val="001D2A64"/>
    <w:rsid w:val="001E502D"/>
    <w:rsid w:val="001E5F06"/>
    <w:rsid w:val="001E7895"/>
    <w:rsid w:val="001E7A53"/>
    <w:rsid w:val="00200706"/>
    <w:rsid w:val="0020405F"/>
    <w:rsid w:val="00207FDA"/>
    <w:rsid w:val="00210B65"/>
    <w:rsid w:val="00226479"/>
    <w:rsid w:val="0022719D"/>
    <w:rsid w:val="00230774"/>
    <w:rsid w:val="002327A7"/>
    <w:rsid w:val="002347BB"/>
    <w:rsid w:val="002376A6"/>
    <w:rsid w:val="00237B50"/>
    <w:rsid w:val="00244710"/>
    <w:rsid w:val="0024592B"/>
    <w:rsid w:val="00247DDB"/>
    <w:rsid w:val="00252035"/>
    <w:rsid w:val="002527C7"/>
    <w:rsid w:val="00254F35"/>
    <w:rsid w:val="00257014"/>
    <w:rsid w:val="002642F3"/>
    <w:rsid w:val="00265CCD"/>
    <w:rsid w:val="00275C89"/>
    <w:rsid w:val="002801D0"/>
    <w:rsid w:val="002A541F"/>
    <w:rsid w:val="002A7E7A"/>
    <w:rsid w:val="002B5523"/>
    <w:rsid w:val="002B7C07"/>
    <w:rsid w:val="002C24D1"/>
    <w:rsid w:val="002E1587"/>
    <w:rsid w:val="002F23EC"/>
    <w:rsid w:val="002F397B"/>
    <w:rsid w:val="00312137"/>
    <w:rsid w:val="00313A7D"/>
    <w:rsid w:val="00321143"/>
    <w:rsid w:val="0032343B"/>
    <w:rsid w:val="0035163A"/>
    <w:rsid w:val="00351ACF"/>
    <w:rsid w:val="00360B32"/>
    <w:rsid w:val="003719D8"/>
    <w:rsid w:val="00374EFF"/>
    <w:rsid w:val="0037542D"/>
    <w:rsid w:val="00382F59"/>
    <w:rsid w:val="00387C0D"/>
    <w:rsid w:val="003B26DF"/>
    <w:rsid w:val="003B32D7"/>
    <w:rsid w:val="003C4F76"/>
    <w:rsid w:val="003D7CAC"/>
    <w:rsid w:val="003E7268"/>
    <w:rsid w:val="003E7273"/>
    <w:rsid w:val="003F2D4D"/>
    <w:rsid w:val="003F4953"/>
    <w:rsid w:val="004010A9"/>
    <w:rsid w:val="00402009"/>
    <w:rsid w:val="0040338C"/>
    <w:rsid w:val="00404C73"/>
    <w:rsid w:val="0041499E"/>
    <w:rsid w:val="00414EE9"/>
    <w:rsid w:val="00420E20"/>
    <w:rsid w:val="00430388"/>
    <w:rsid w:val="00440F06"/>
    <w:rsid w:val="00442284"/>
    <w:rsid w:val="00450126"/>
    <w:rsid w:val="004504F4"/>
    <w:rsid w:val="00451E0B"/>
    <w:rsid w:val="0046254A"/>
    <w:rsid w:val="00462E9B"/>
    <w:rsid w:val="00462EFD"/>
    <w:rsid w:val="00475AEC"/>
    <w:rsid w:val="004803F4"/>
    <w:rsid w:val="00485640"/>
    <w:rsid w:val="004907BE"/>
    <w:rsid w:val="0049477E"/>
    <w:rsid w:val="00496021"/>
    <w:rsid w:val="0049679D"/>
    <w:rsid w:val="004A064E"/>
    <w:rsid w:val="004B6B7F"/>
    <w:rsid w:val="004C379C"/>
    <w:rsid w:val="004D263E"/>
    <w:rsid w:val="004D3F73"/>
    <w:rsid w:val="004D7063"/>
    <w:rsid w:val="004E1FD6"/>
    <w:rsid w:val="004E20A2"/>
    <w:rsid w:val="004E529E"/>
    <w:rsid w:val="004E5858"/>
    <w:rsid w:val="004F58FA"/>
    <w:rsid w:val="004F6F31"/>
    <w:rsid w:val="005022B8"/>
    <w:rsid w:val="0050253F"/>
    <w:rsid w:val="005059E8"/>
    <w:rsid w:val="00505D1A"/>
    <w:rsid w:val="005104B3"/>
    <w:rsid w:val="005124E2"/>
    <w:rsid w:val="0051537C"/>
    <w:rsid w:val="00521FFF"/>
    <w:rsid w:val="005240F8"/>
    <w:rsid w:val="00525CAD"/>
    <w:rsid w:val="0053018E"/>
    <w:rsid w:val="0053072C"/>
    <w:rsid w:val="00532185"/>
    <w:rsid w:val="00532C4C"/>
    <w:rsid w:val="00533798"/>
    <w:rsid w:val="00535D9A"/>
    <w:rsid w:val="0054330B"/>
    <w:rsid w:val="00551053"/>
    <w:rsid w:val="00552902"/>
    <w:rsid w:val="00554A1C"/>
    <w:rsid w:val="00572D53"/>
    <w:rsid w:val="00572EFA"/>
    <w:rsid w:val="005743A6"/>
    <w:rsid w:val="005760B8"/>
    <w:rsid w:val="005771FD"/>
    <w:rsid w:val="005912F0"/>
    <w:rsid w:val="00593EAF"/>
    <w:rsid w:val="005A4791"/>
    <w:rsid w:val="005A54DB"/>
    <w:rsid w:val="005A764E"/>
    <w:rsid w:val="005B5723"/>
    <w:rsid w:val="005C3303"/>
    <w:rsid w:val="005C415A"/>
    <w:rsid w:val="005D4059"/>
    <w:rsid w:val="00603DA6"/>
    <w:rsid w:val="0062484D"/>
    <w:rsid w:val="006358A7"/>
    <w:rsid w:val="00637540"/>
    <w:rsid w:val="00645336"/>
    <w:rsid w:val="006502A7"/>
    <w:rsid w:val="00650601"/>
    <w:rsid w:val="006558A0"/>
    <w:rsid w:val="00656C9E"/>
    <w:rsid w:val="00662255"/>
    <w:rsid w:val="00663702"/>
    <w:rsid w:val="0066722B"/>
    <w:rsid w:val="00667A80"/>
    <w:rsid w:val="006710BE"/>
    <w:rsid w:val="0069705F"/>
    <w:rsid w:val="006A13C6"/>
    <w:rsid w:val="006A2F07"/>
    <w:rsid w:val="006A7487"/>
    <w:rsid w:val="006B1ADC"/>
    <w:rsid w:val="006B5738"/>
    <w:rsid w:val="006B5882"/>
    <w:rsid w:val="006E2802"/>
    <w:rsid w:val="006E2A3A"/>
    <w:rsid w:val="006E2EC7"/>
    <w:rsid w:val="006F0C1F"/>
    <w:rsid w:val="006F2A3C"/>
    <w:rsid w:val="006F608E"/>
    <w:rsid w:val="00702209"/>
    <w:rsid w:val="0070574C"/>
    <w:rsid w:val="0070687B"/>
    <w:rsid w:val="00710913"/>
    <w:rsid w:val="007252F3"/>
    <w:rsid w:val="00725871"/>
    <w:rsid w:val="007263E1"/>
    <w:rsid w:val="007301CF"/>
    <w:rsid w:val="0075275E"/>
    <w:rsid w:val="00767197"/>
    <w:rsid w:val="00776073"/>
    <w:rsid w:val="007911FD"/>
    <w:rsid w:val="007923FB"/>
    <w:rsid w:val="007A09BD"/>
    <w:rsid w:val="007A0E51"/>
    <w:rsid w:val="007B5853"/>
    <w:rsid w:val="007B781C"/>
    <w:rsid w:val="007C3205"/>
    <w:rsid w:val="007D4DD9"/>
    <w:rsid w:val="007E104B"/>
    <w:rsid w:val="007E3A9A"/>
    <w:rsid w:val="007F1A53"/>
    <w:rsid w:val="00817BB5"/>
    <w:rsid w:val="00824765"/>
    <w:rsid w:val="00824C7B"/>
    <w:rsid w:val="00826225"/>
    <w:rsid w:val="00837DA0"/>
    <w:rsid w:val="00851DDA"/>
    <w:rsid w:val="0085733A"/>
    <w:rsid w:val="00873F48"/>
    <w:rsid w:val="00880DD9"/>
    <w:rsid w:val="008850C6"/>
    <w:rsid w:val="00890FCC"/>
    <w:rsid w:val="00893E1E"/>
    <w:rsid w:val="008A18C0"/>
    <w:rsid w:val="008A2707"/>
    <w:rsid w:val="008B18C2"/>
    <w:rsid w:val="008C261E"/>
    <w:rsid w:val="008C59DE"/>
    <w:rsid w:val="008D0726"/>
    <w:rsid w:val="008D3048"/>
    <w:rsid w:val="008D5CC9"/>
    <w:rsid w:val="008D76FB"/>
    <w:rsid w:val="008E2729"/>
    <w:rsid w:val="008E4658"/>
    <w:rsid w:val="008E6947"/>
    <w:rsid w:val="009009C8"/>
    <w:rsid w:val="00900DA4"/>
    <w:rsid w:val="00901AA7"/>
    <w:rsid w:val="00916D1E"/>
    <w:rsid w:val="00920130"/>
    <w:rsid w:val="009214CC"/>
    <w:rsid w:val="00926373"/>
    <w:rsid w:val="00934025"/>
    <w:rsid w:val="00934D76"/>
    <w:rsid w:val="009377F7"/>
    <w:rsid w:val="0094049D"/>
    <w:rsid w:val="00942B9F"/>
    <w:rsid w:val="00944BD5"/>
    <w:rsid w:val="00951F7E"/>
    <w:rsid w:val="009520F4"/>
    <w:rsid w:val="00952E95"/>
    <w:rsid w:val="00957769"/>
    <w:rsid w:val="00961580"/>
    <w:rsid w:val="00962961"/>
    <w:rsid w:val="00963A67"/>
    <w:rsid w:val="009677B9"/>
    <w:rsid w:val="00973B6B"/>
    <w:rsid w:val="00973F53"/>
    <w:rsid w:val="00981E34"/>
    <w:rsid w:val="00982C84"/>
    <w:rsid w:val="009869BA"/>
    <w:rsid w:val="00990439"/>
    <w:rsid w:val="009930C7"/>
    <w:rsid w:val="009932CD"/>
    <w:rsid w:val="00994004"/>
    <w:rsid w:val="0099777D"/>
    <w:rsid w:val="009A1793"/>
    <w:rsid w:val="009B22F9"/>
    <w:rsid w:val="009C187B"/>
    <w:rsid w:val="009C4BB3"/>
    <w:rsid w:val="009D09DC"/>
    <w:rsid w:val="009D4031"/>
    <w:rsid w:val="009D7F46"/>
    <w:rsid w:val="009E02CB"/>
    <w:rsid w:val="009E22C7"/>
    <w:rsid w:val="009E65AA"/>
    <w:rsid w:val="009F4975"/>
    <w:rsid w:val="009F545E"/>
    <w:rsid w:val="00A131D9"/>
    <w:rsid w:val="00A1748D"/>
    <w:rsid w:val="00A21C63"/>
    <w:rsid w:val="00A22008"/>
    <w:rsid w:val="00A22DDC"/>
    <w:rsid w:val="00A22E3C"/>
    <w:rsid w:val="00A26423"/>
    <w:rsid w:val="00A272AA"/>
    <w:rsid w:val="00A27C54"/>
    <w:rsid w:val="00A3069A"/>
    <w:rsid w:val="00A33F13"/>
    <w:rsid w:val="00A342BA"/>
    <w:rsid w:val="00A40892"/>
    <w:rsid w:val="00A41A3B"/>
    <w:rsid w:val="00A42025"/>
    <w:rsid w:val="00A52E3F"/>
    <w:rsid w:val="00A6159B"/>
    <w:rsid w:val="00A63D2D"/>
    <w:rsid w:val="00A67316"/>
    <w:rsid w:val="00A703D3"/>
    <w:rsid w:val="00A7733F"/>
    <w:rsid w:val="00A8307A"/>
    <w:rsid w:val="00A86341"/>
    <w:rsid w:val="00A9202A"/>
    <w:rsid w:val="00A92575"/>
    <w:rsid w:val="00A92B9F"/>
    <w:rsid w:val="00A955C7"/>
    <w:rsid w:val="00AA7BE9"/>
    <w:rsid w:val="00AB4D51"/>
    <w:rsid w:val="00AC2BC0"/>
    <w:rsid w:val="00AD260B"/>
    <w:rsid w:val="00AE005A"/>
    <w:rsid w:val="00B010B0"/>
    <w:rsid w:val="00B019BE"/>
    <w:rsid w:val="00B03090"/>
    <w:rsid w:val="00B0331E"/>
    <w:rsid w:val="00B06940"/>
    <w:rsid w:val="00B116AA"/>
    <w:rsid w:val="00B120A5"/>
    <w:rsid w:val="00B14504"/>
    <w:rsid w:val="00B14538"/>
    <w:rsid w:val="00B15310"/>
    <w:rsid w:val="00B23A65"/>
    <w:rsid w:val="00B3353B"/>
    <w:rsid w:val="00B33A49"/>
    <w:rsid w:val="00B34DF4"/>
    <w:rsid w:val="00B4441F"/>
    <w:rsid w:val="00B4566A"/>
    <w:rsid w:val="00B46551"/>
    <w:rsid w:val="00B46A94"/>
    <w:rsid w:val="00B50313"/>
    <w:rsid w:val="00B57736"/>
    <w:rsid w:val="00B604BA"/>
    <w:rsid w:val="00B70245"/>
    <w:rsid w:val="00B822C8"/>
    <w:rsid w:val="00B82A33"/>
    <w:rsid w:val="00B8516D"/>
    <w:rsid w:val="00B86572"/>
    <w:rsid w:val="00BA2056"/>
    <w:rsid w:val="00BC7AE0"/>
    <w:rsid w:val="00BD255B"/>
    <w:rsid w:val="00BD6EFE"/>
    <w:rsid w:val="00BE1215"/>
    <w:rsid w:val="00BF11B4"/>
    <w:rsid w:val="00BF4E36"/>
    <w:rsid w:val="00C10614"/>
    <w:rsid w:val="00C11513"/>
    <w:rsid w:val="00C15A05"/>
    <w:rsid w:val="00C207E1"/>
    <w:rsid w:val="00C2090F"/>
    <w:rsid w:val="00C22498"/>
    <w:rsid w:val="00C22515"/>
    <w:rsid w:val="00C245B8"/>
    <w:rsid w:val="00C35195"/>
    <w:rsid w:val="00C41658"/>
    <w:rsid w:val="00C43CA6"/>
    <w:rsid w:val="00C46477"/>
    <w:rsid w:val="00C51ADD"/>
    <w:rsid w:val="00C61119"/>
    <w:rsid w:val="00C6289F"/>
    <w:rsid w:val="00C65BAC"/>
    <w:rsid w:val="00C719CC"/>
    <w:rsid w:val="00C72744"/>
    <w:rsid w:val="00C8432C"/>
    <w:rsid w:val="00CA04EC"/>
    <w:rsid w:val="00CE0CB9"/>
    <w:rsid w:val="00CE1500"/>
    <w:rsid w:val="00CE5581"/>
    <w:rsid w:val="00CE7293"/>
    <w:rsid w:val="00CF187A"/>
    <w:rsid w:val="00D1536B"/>
    <w:rsid w:val="00D155D3"/>
    <w:rsid w:val="00D164D5"/>
    <w:rsid w:val="00D221D4"/>
    <w:rsid w:val="00D27427"/>
    <w:rsid w:val="00D30904"/>
    <w:rsid w:val="00D3109C"/>
    <w:rsid w:val="00D36AD2"/>
    <w:rsid w:val="00D41C9A"/>
    <w:rsid w:val="00D44EF1"/>
    <w:rsid w:val="00D569CB"/>
    <w:rsid w:val="00D62BC1"/>
    <w:rsid w:val="00D67677"/>
    <w:rsid w:val="00D70321"/>
    <w:rsid w:val="00D71405"/>
    <w:rsid w:val="00D73BD3"/>
    <w:rsid w:val="00D76ED5"/>
    <w:rsid w:val="00D81200"/>
    <w:rsid w:val="00D84EBC"/>
    <w:rsid w:val="00DA1601"/>
    <w:rsid w:val="00DA1FEC"/>
    <w:rsid w:val="00DB6169"/>
    <w:rsid w:val="00DC6EDE"/>
    <w:rsid w:val="00DD288F"/>
    <w:rsid w:val="00DE07E8"/>
    <w:rsid w:val="00DE492E"/>
    <w:rsid w:val="00DF48A0"/>
    <w:rsid w:val="00E0279F"/>
    <w:rsid w:val="00E056A6"/>
    <w:rsid w:val="00E07B6D"/>
    <w:rsid w:val="00E1357A"/>
    <w:rsid w:val="00E25167"/>
    <w:rsid w:val="00E261F1"/>
    <w:rsid w:val="00E313DF"/>
    <w:rsid w:val="00E34357"/>
    <w:rsid w:val="00E40935"/>
    <w:rsid w:val="00E43E1F"/>
    <w:rsid w:val="00E51A90"/>
    <w:rsid w:val="00E51EB7"/>
    <w:rsid w:val="00E521F0"/>
    <w:rsid w:val="00E626BF"/>
    <w:rsid w:val="00E62D30"/>
    <w:rsid w:val="00E664B0"/>
    <w:rsid w:val="00E7082B"/>
    <w:rsid w:val="00E71921"/>
    <w:rsid w:val="00E739AF"/>
    <w:rsid w:val="00E743FD"/>
    <w:rsid w:val="00E8138F"/>
    <w:rsid w:val="00E81BCE"/>
    <w:rsid w:val="00E94AAF"/>
    <w:rsid w:val="00EA311F"/>
    <w:rsid w:val="00EA55E8"/>
    <w:rsid w:val="00EC544C"/>
    <w:rsid w:val="00ED261C"/>
    <w:rsid w:val="00EE271E"/>
    <w:rsid w:val="00EF0288"/>
    <w:rsid w:val="00EF6504"/>
    <w:rsid w:val="00EF6F1C"/>
    <w:rsid w:val="00F02738"/>
    <w:rsid w:val="00F05CBD"/>
    <w:rsid w:val="00F060FC"/>
    <w:rsid w:val="00F24AB0"/>
    <w:rsid w:val="00F26644"/>
    <w:rsid w:val="00F26A93"/>
    <w:rsid w:val="00F534C0"/>
    <w:rsid w:val="00F803B5"/>
    <w:rsid w:val="00F8646B"/>
    <w:rsid w:val="00F901D8"/>
    <w:rsid w:val="00F90B84"/>
    <w:rsid w:val="00F977DA"/>
    <w:rsid w:val="00FA005E"/>
    <w:rsid w:val="00FA3F6B"/>
    <w:rsid w:val="00FB01A9"/>
    <w:rsid w:val="00FB0D0B"/>
    <w:rsid w:val="00FB1EC5"/>
    <w:rsid w:val="00FB28FC"/>
    <w:rsid w:val="00FC1692"/>
    <w:rsid w:val="00FC214B"/>
    <w:rsid w:val="00FC5EFB"/>
    <w:rsid w:val="00FD79AD"/>
    <w:rsid w:val="00FE2D53"/>
    <w:rsid w:val="00FE4677"/>
    <w:rsid w:val="00FE66B1"/>
    <w:rsid w:val="00FF18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EAF1"/>
  <w15:docId w15:val="{B553FBB0-73D8-472B-B075-D5B7F699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BE"/>
    <w:pPr>
      <w:spacing w:after="83" w:line="263" w:lineRule="auto"/>
      <w:ind w:left="10" w:right="61" w:hanging="10"/>
      <w:jc w:val="both"/>
    </w:pPr>
    <w:rPr>
      <w:rFonts w:ascii="Arial" w:eastAsia="Arial" w:hAnsi="Arial" w:cs="Arial"/>
      <w:color w:val="000000"/>
    </w:rPr>
  </w:style>
  <w:style w:type="paragraph" w:styleId="Ttulo1">
    <w:name w:val="heading 1"/>
    <w:next w:val="Normal"/>
    <w:link w:val="Ttulo1Car"/>
    <w:uiPriority w:val="9"/>
    <w:qFormat/>
    <w:rsid w:val="00237B50"/>
    <w:pPr>
      <w:keepNext/>
      <w:keepLines/>
      <w:spacing w:after="54"/>
      <w:ind w:left="10" w:hanging="10"/>
      <w:outlineLvl w:val="0"/>
    </w:pPr>
    <w:rPr>
      <w:rFonts w:ascii="Arial" w:eastAsia="Arial" w:hAnsi="Arial" w:cs="Arial"/>
      <w:color w:val="2E74B5"/>
      <w:sz w:val="36"/>
    </w:rPr>
  </w:style>
  <w:style w:type="paragraph" w:styleId="Ttulo2">
    <w:name w:val="heading 2"/>
    <w:next w:val="Normal"/>
    <w:link w:val="Ttulo2Car"/>
    <w:uiPriority w:val="9"/>
    <w:unhideWhenUsed/>
    <w:qFormat/>
    <w:pPr>
      <w:keepNext/>
      <w:keepLines/>
      <w:spacing w:after="142"/>
      <w:ind w:left="10" w:hanging="10"/>
      <w:outlineLvl w:val="1"/>
    </w:pPr>
    <w:rPr>
      <w:rFonts w:ascii="Arial" w:eastAsia="Arial" w:hAnsi="Arial" w:cs="Arial"/>
      <w:b/>
      <w:color w:val="000000"/>
      <w:sz w:val="32"/>
    </w:rPr>
  </w:style>
  <w:style w:type="paragraph" w:styleId="Ttulo3">
    <w:name w:val="heading 3"/>
    <w:next w:val="Normal"/>
    <w:link w:val="Ttulo3Car"/>
    <w:uiPriority w:val="9"/>
    <w:unhideWhenUsed/>
    <w:qFormat/>
    <w:pPr>
      <w:keepNext/>
      <w:keepLines/>
      <w:spacing w:after="142"/>
      <w:ind w:left="10" w:hanging="10"/>
      <w:outlineLvl w:val="2"/>
    </w:pPr>
    <w:rPr>
      <w:rFonts w:ascii="Arial" w:eastAsia="Arial" w:hAnsi="Arial" w:cs="Arial"/>
      <w:b/>
      <w:color w:val="000000"/>
      <w:sz w:val="32"/>
    </w:rPr>
  </w:style>
  <w:style w:type="paragraph" w:styleId="Ttulo4">
    <w:name w:val="heading 4"/>
    <w:next w:val="Normal"/>
    <w:link w:val="Ttulo4Car"/>
    <w:uiPriority w:val="9"/>
    <w:unhideWhenUsed/>
    <w:qFormat/>
    <w:pPr>
      <w:keepNext/>
      <w:keepLines/>
      <w:spacing w:after="163"/>
      <w:ind w:left="10" w:hanging="10"/>
      <w:jc w:val="both"/>
      <w:outlineLvl w:val="3"/>
    </w:pPr>
    <w:rPr>
      <w:rFonts w:ascii="Arial" w:eastAsia="Arial" w:hAnsi="Arial" w:cs="Arial"/>
      <w:b/>
      <w:color w:val="000000"/>
      <w:sz w:val="28"/>
    </w:rPr>
  </w:style>
  <w:style w:type="paragraph" w:styleId="Ttulo5">
    <w:name w:val="heading 5"/>
    <w:next w:val="Normal"/>
    <w:link w:val="Ttulo5Car"/>
    <w:uiPriority w:val="9"/>
    <w:unhideWhenUsed/>
    <w:qFormat/>
    <w:pPr>
      <w:keepNext/>
      <w:keepLines/>
      <w:spacing w:after="179" w:line="249" w:lineRule="auto"/>
      <w:ind w:left="10" w:hanging="10"/>
      <w:outlineLvl w:val="4"/>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32"/>
    </w:rPr>
  </w:style>
  <w:style w:type="character" w:customStyle="1" w:styleId="Ttulo5Car">
    <w:name w:val="Título 5 Car"/>
    <w:link w:val="Ttulo5"/>
    <w:rPr>
      <w:rFonts w:ascii="Arial" w:eastAsia="Arial" w:hAnsi="Arial" w:cs="Arial"/>
      <w:b/>
      <w:color w:val="000000"/>
      <w:sz w:val="22"/>
    </w:rPr>
  </w:style>
  <w:style w:type="character" w:customStyle="1" w:styleId="Ttulo1Car">
    <w:name w:val="Título 1 Car"/>
    <w:link w:val="Ttulo1"/>
    <w:uiPriority w:val="9"/>
    <w:rsid w:val="00237B50"/>
    <w:rPr>
      <w:rFonts w:ascii="Arial" w:eastAsia="Arial" w:hAnsi="Arial" w:cs="Arial"/>
      <w:color w:val="2E74B5"/>
      <w:sz w:val="36"/>
    </w:rPr>
  </w:style>
  <w:style w:type="character" w:customStyle="1" w:styleId="Ttulo2Car">
    <w:name w:val="Título 2 Car"/>
    <w:link w:val="Ttulo2"/>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aliases w:val="Bullet 1,Use Case List Paragraph,Lista vistosa - Énfasis 11,Párrafo de lista Car Car Car,CGR Párrafo de lista"/>
    <w:basedOn w:val="Normal"/>
    <w:link w:val="PrrafodelistaCar"/>
    <w:uiPriority w:val="34"/>
    <w:qFormat/>
    <w:rsid w:val="009869BA"/>
    <w:pPr>
      <w:ind w:left="720"/>
      <w:contextualSpacing/>
    </w:pPr>
  </w:style>
  <w:style w:type="character" w:customStyle="1" w:styleId="PrrafodelistaCar">
    <w:name w:val="Párrafo de lista Car"/>
    <w:aliases w:val="Bullet 1 Car,Use Case List Paragraph Car,Lista vistosa - Énfasis 11 Car,Párrafo de lista Car Car Car Car,CGR Párrafo de lista Car"/>
    <w:link w:val="Prrafodelista"/>
    <w:uiPriority w:val="34"/>
    <w:locked/>
    <w:rsid w:val="000E408E"/>
    <w:rPr>
      <w:rFonts w:ascii="Arial" w:eastAsia="Arial" w:hAnsi="Arial" w:cs="Arial"/>
      <w:color w:val="000000"/>
    </w:rPr>
  </w:style>
  <w:style w:type="character" w:styleId="Hipervnculo">
    <w:name w:val="Hyperlink"/>
    <w:basedOn w:val="Fuentedeprrafopredeter"/>
    <w:uiPriority w:val="99"/>
    <w:unhideWhenUsed/>
    <w:rsid w:val="00237B50"/>
    <w:rPr>
      <w:color w:val="0000FF"/>
      <w:u w:val="single"/>
    </w:rPr>
  </w:style>
  <w:style w:type="paragraph" w:styleId="TtuloTDC">
    <w:name w:val="TOC Heading"/>
    <w:basedOn w:val="Ttulo1"/>
    <w:next w:val="Normal"/>
    <w:uiPriority w:val="39"/>
    <w:unhideWhenUsed/>
    <w:qFormat/>
    <w:rsid w:val="00237B50"/>
    <w:pPr>
      <w:spacing w:before="240" w:after="0"/>
      <w:ind w:left="0" w:firstLine="0"/>
      <w:outlineLvl w:val="9"/>
    </w:pPr>
    <w:rPr>
      <w:rFonts w:asciiTheme="majorHAnsi" w:eastAsiaTheme="majorEastAsia" w:hAnsiTheme="majorHAnsi" w:cstheme="majorBidi"/>
      <w:color w:val="2F5496" w:themeColor="accent1" w:themeShade="BF"/>
      <w:sz w:val="32"/>
      <w:szCs w:val="32"/>
    </w:rPr>
  </w:style>
  <w:style w:type="paragraph" w:styleId="TDC2">
    <w:name w:val="toc 2"/>
    <w:basedOn w:val="Normal"/>
    <w:next w:val="Normal"/>
    <w:autoRedefine/>
    <w:uiPriority w:val="39"/>
    <w:unhideWhenUsed/>
    <w:rsid w:val="00237B50"/>
    <w:pPr>
      <w:spacing w:after="100" w:line="259" w:lineRule="auto"/>
      <w:ind w:left="220" w:right="0" w:firstLine="0"/>
      <w:jc w:val="left"/>
    </w:pPr>
    <w:rPr>
      <w:rFonts w:asciiTheme="minorHAnsi" w:eastAsiaTheme="minorEastAsia" w:hAnsiTheme="minorHAnsi" w:cs="Times New Roman"/>
      <w:color w:val="auto"/>
    </w:rPr>
  </w:style>
  <w:style w:type="paragraph" w:styleId="TDC1">
    <w:name w:val="toc 1"/>
    <w:basedOn w:val="Normal"/>
    <w:next w:val="Normal"/>
    <w:autoRedefine/>
    <w:uiPriority w:val="39"/>
    <w:unhideWhenUsed/>
    <w:rsid w:val="0049477E"/>
    <w:pPr>
      <w:tabs>
        <w:tab w:val="right" w:leader="dot" w:pos="9394"/>
      </w:tabs>
      <w:spacing w:after="100" w:line="259" w:lineRule="auto"/>
      <w:ind w:left="0" w:right="0" w:firstLine="0"/>
      <w:jc w:val="left"/>
    </w:pPr>
    <w:rPr>
      <w:rFonts w:asciiTheme="minorHAnsi" w:eastAsiaTheme="minorEastAsia" w:hAnsiTheme="minorHAnsi" w:cs="Times New Roman"/>
      <w:color w:val="auto"/>
    </w:rPr>
  </w:style>
  <w:style w:type="paragraph" w:styleId="TDC3">
    <w:name w:val="toc 3"/>
    <w:basedOn w:val="Normal"/>
    <w:next w:val="Normal"/>
    <w:autoRedefine/>
    <w:uiPriority w:val="39"/>
    <w:unhideWhenUsed/>
    <w:rsid w:val="00237B50"/>
    <w:pPr>
      <w:spacing w:after="100" w:line="259" w:lineRule="auto"/>
      <w:ind w:left="440" w:right="0" w:firstLine="0"/>
      <w:jc w:val="left"/>
    </w:pPr>
    <w:rPr>
      <w:rFonts w:asciiTheme="minorHAnsi" w:eastAsiaTheme="minorEastAsia" w:hAnsiTheme="minorHAnsi" w:cs="Times New Roman"/>
      <w:color w:val="auto"/>
    </w:rPr>
  </w:style>
  <w:style w:type="table" w:styleId="Tablaconcuadrcula">
    <w:name w:val="Table Grid"/>
    <w:basedOn w:val="Tablanormal"/>
    <w:uiPriority w:val="39"/>
    <w:rsid w:val="0092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57612"/>
    <w:rPr>
      <w:color w:val="605E5C"/>
      <w:shd w:val="clear" w:color="auto" w:fill="E1DFDD"/>
    </w:rPr>
  </w:style>
  <w:style w:type="paragraph" w:styleId="Piedepgina">
    <w:name w:val="footer"/>
    <w:basedOn w:val="Normal"/>
    <w:link w:val="PiedepginaCar"/>
    <w:uiPriority w:val="99"/>
    <w:unhideWhenUsed/>
    <w:rsid w:val="00B019BE"/>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iedepginaCar">
    <w:name w:val="Pie de página Car"/>
    <w:basedOn w:val="Fuentedeprrafopredeter"/>
    <w:link w:val="Piedepgina"/>
    <w:uiPriority w:val="99"/>
    <w:rsid w:val="00B019BE"/>
    <w:rPr>
      <w:rFonts w:cs="Times New Roman"/>
    </w:rPr>
  </w:style>
  <w:style w:type="paragraph" w:customStyle="1" w:styleId="Default">
    <w:name w:val="Default"/>
    <w:rsid w:val="00E8138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Fuentedeprrafopredeter"/>
    <w:rsid w:val="00A40892"/>
  </w:style>
  <w:style w:type="character" w:styleId="Refdecomentario">
    <w:name w:val="annotation reference"/>
    <w:basedOn w:val="Fuentedeprrafopredeter"/>
    <w:uiPriority w:val="99"/>
    <w:semiHidden/>
    <w:unhideWhenUsed/>
    <w:rsid w:val="00535D9A"/>
    <w:rPr>
      <w:sz w:val="16"/>
      <w:szCs w:val="16"/>
    </w:rPr>
  </w:style>
  <w:style w:type="paragraph" w:styleId="Textocomentario">
    <w:name w:val="annotation text"/>
    <w:basedOn w:val="Normal"/>
    <w:link w:val="TextocomentarioCar"/>
    <w:uiPriority w:val="99"/>
    <w:unhideWhenUsed/>
    <w:rsid w:val="00535D9A"/>
    <w:pPr>
      <w:spacing w:line="240" w:lineRule="auto"/>
    </w:pPr>
    <w:rPr>
      <w:sz w:val="20"/>
      <w:szCs w:val="20"/>
    </w:rPr>
  </w:style>
  <w:style w:type="character" w:customStyle="1" w:styleId="TextocomentarioCar">
    <w:name w:val="Texto comentario Car"/>
    <w:basedOn w:val="Fuentedeprrafopredeter"/>
    <w:link w:val="Textocomentario"/>
    <w:uiPriority w:val="99"/>
    <w:rsid w:val="00535D9A"/>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535D9A"/>
    <w:rPr>
      <w:b/>
      <w:bCs/>
    </w:rPr>
  </w:style>
  <w:style w:type="character" w:customStyle="1" w:styleId="AsuntodelcomentarioCar">
    <w:name w:val="Asunto del comentario Car"/>
    <w:basedOn w:val="TextocomentarioCar"/>
    <w:link w:val="Asuntodelcomentario"/>
    <w:uiPriority w:val="99"/>
    <w:semiHidden/>
    <w:rsid w:val="00535D9A"/>
    <w:rPr>
      <w:rFonts w:ascii="Arial" w:eastAsia="Arial" w:hAnsi="Arial" w:cs="Arial"/>
      <w:b/>
      <w:bCs/>
      <w:color w:val="000000"/>
      <w:sz w:val="20"/>
      <w:szCs w:val="20"/>
    </w:rPr>
  </w:style>
  <w:style w:type="paragraph" w:styleId="Textonotapie">
    <w:name w:val="footnote text"/>
    <w:basedOn w:val="Normal"/>
    <w:link w:val="TextonotapieCar"/>
    <w:uiPriority w:val="99"/>
    <w:semiHidden/>
    <w:unhideWhenUsed/>
    <w:rsid w:val="00C416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1658"/>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C41658"/>
    <w:rPr>
      <w:vertAlign w:val="superscript"/>
    </w:rPr>
  </w:style>
  <w:style w:type="paragraph" w:styleId="NormalWeb">
    <w:name w:val="Normal (Web)"/>
    <w:basedOn w:val="Normal"/>
    <w:uiPriority w:val="99"/>
    <w:semiHidden/>
    <w:unhideWhenUsed/>
    <w:rsid w:val="00C4165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Revisin">
    <w:name w:val="Revision"/>
    <w:hidden/>
    <w:uiPriority w:val="99"/>
    <w:semiHidden/>
    <w:rsid w:val="007B781C"/>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92017143">
      <w:bodyDiv w:val="1"/>
      <w:marLeft w:val="0"/>
      <w:marRight w:val="0"/>
      <w:marTop w:val="0"/>
      <w:marBottom w:val="0"/>
      <w:divBdr>
        <w:top w:val="none" w:sz="0" w:space="0" w:color="auto"/>
        <w:left w:val="none" w:sz="0" w:space="0" w:color="auto"/>
        <w:bottom w:val="none" w:sz="0" w:space="0" w:color="auto"/>
        <w:right w:val="none" w:sz="0" w:space="0" w:color="auto"/>
      </w:divBdr>
    </w:div>
    <w:div w:id="176041858">
      <w:bodyDiv w:val="1"/>
      <w:marLeft w:val="0"/>
      <w:marRight w:val="0"/>
      <w:marTop w:val="0"/>
      <w:marBottom w:val="0"/>
      <w:divBdr>
        <w:top w:val="none" w:sz="0" w:space="0" w:color="auto"/>
        <w:left w:val="none" w:sz="0" w:space="0" w:color="auto"/>
        <w:bottom w:val="none" w:sz="0" w:space="0" w:color="auto"/>
        <w:right w:val="none" w:sz="0" w:space="0" w:color="auto"/>
      </w:divBdr>
    </w:div>
    <w:div w:id="331568559">
      <w:bodyDiv w:val="1"/>
      <w:marLeft w:val="0"/>
      <w:marRight w:val="0"/>
      <w:marTop w:val="0"/>
      <w:marBottom w:val="0"/>
      <w:divBdr>
        <w:top w:val="none" w:sz="0" w:space="0" w:color="auto"/>
        <w:left w:val="none" w:sz="0" w:space="0" w:color="auto"/>
        <w:bottom w:val="none" w:sz="0" w:space="0" w:color="auto"/>
        <w:right w:val="none" w:sz="0" w:space="0" w:color="auto"/>
      </w:divBdr>
    </w:div>
    <w:div w:id="563181941">
      <w:bodyDiv w:val="1"/>
      <w:marLeft w:val="0"/>
      <w:marRight w:val="0"/>
      <w:marTop w:val="0"/>
      <w:marBottom w:val="0"/>
      <w:divBdr>
        <w:top w:val="none" w:sz="0" w:space="0" w:color="auto"/>
        <w:left w:val="none" w:sz="0" w:space="0" w:color="auto"/>
        <w:bottom w:val="none" w:sz="0" w:space="0" w:color="auto"/>
        <w:right w:val="none" w:sz="0" w:space="0" w:color="auto"/>
      </w:divBdr>
    </w:div>
    <w:div w:id="591669617">
      <w:bodyDiv w:val="1"/>
      <w:marLeft w:val="0"/>
      <w:marRight w:val="0"/>
      <w:marTop w:val="0"/>
      <w:marBottom w:val="0"/>
      <w:divBdr>
        <w:top w:val="none" w:sz="0" w:space="0" w:color="auto"/>
        <w:left w:val="none" w:sz="0" w:space="0" w:color="auto"/>
        <w:bottom w:val="none" w:sz="0" w:space="0" w:color="auto"/>
        <w:right w:val="none" w:sz="0" w:space="0" w:color="auto"/>
      </w:divBdr>
    </w:div>
    <w:div w:id="713429668">
      <w:bodyDiv w:val="1"/>
      <w:marLeft w:val="0"/>
      <w:marRight w:val="0"/>
      <w:marTop w:val="0"/>
      <w:marBottom w:val="0"/>
      <w:divBdr>
        <w:top w:val="none" w:sz="0" w:space="0" w:color="auto"/>
        <w:left w:val="none" w:sz="0" w:space="0" w:color="auto"/>
        <w:bottom w:val="none" w:sz="0" w:space="0" w:color="auto"/>
        <w:right w:val="none" w:sz="0" w:space="0" w:color="auto"/>
      </w:divBdr>
    </w:div>
    <w:div w:id="716782511">
      <w:bodyDiv w:val="1"/>
      <w:marLeft w:val="0"/>
      <w:marRight w:val="0"/>
      <w:marTop w:val="0"/>
      <w:marBottom w:val="0"/>
      <w:divBdr>
        <w:top w:val="none" w:sz="0" w:space="0" w:color="auto"/>
        <w:left w:val="none" w:sz="0" w:space="0" w:color="auto"/>
        <w:bottom w:val="none" w:sz="0" w:space="0" w:color="auto"/>
        <w:right w:val="none" w:sz="0" w:space="0" w:color="auto"/>
      </w:divBdr>
    </w:div>
    <w:div w:id="835878483">
      <w:bodyDiv w:val="1"/>
      <w:marLeft w:val="0"/>
      <w:marRight w:val="0"/>
      <w:marTop w:val="0"/>
      <w:marBottom w:val="0"/>
      <w:divBdr>
        <w:top w:val="none" w:sz="0" w:space="0" w:color="auto"/>
        <w:left w:val="none" w:sz="0" w:space="0" w:color="auto"/>
        <w:bottom w:val="none" w:sz="0" w:space="0" w:color="auto"/>
        <w:right w:val="none" w:sz="0" w:space="0" w:color="auto"/>
      </w:divBdr>
    </w:div>
    <w:div w:id="903639912">
      <w:bodyDiv w:val="1"/>
      <w:marLeft w:val="0"/>
      <w:marRight w:val="0"/>
      <w:marTop w:val="0"/>
      <w:marBottom w:val="0"/>
      <w:divBdr>
        <w:top w:val="none" w:sz="0" w:space="0" w:color="auto"/>
        <w:left w:val="none" w:sz="0" w:space="0" w:color="auto"/>
        <w:bottom w:val="none" w:sz="0" w:space="0" w:color="auto"/>
        <w:right w:val="none" w:sz="0" w:space="0" w:color="auto"/>
      </w:divBdr>
    </w:div>
    <w:div w:id="1087313394">
      <w:bodyDiv w:val="1"/>
      <w:marLeft w:val="0"/>
      <w:marRight w:val="0"/>
      <w:marTop w:val="0"/>
      <w:marBottom w:val="0"/>
      <w:divBdr>
        <w:top w:val="none" w:sz="0" w:space="0" w:color="auto"/>
        <w:left w:val="none" w:sz="0" w:space="0" w:color="auto"/>
        <w:bottom w:val="none" w:sz="0" w:space="0" w:color="auto"/>
        <w:right w:val="none" w:sz="0" w:space="0" w:color="auto"/>
      </w:divBdr>
    </w:div>
    <w:div w:id="1193301856">
      <w:bodyDiv w:val="1"/>
      <w:marLeft w:val="0"/>
      <w:marRight w:val="0"/>
      <w:marTop w:val="0"/>
      <w:marBottom w:val="0"/>
      <w:divBdr>
        <w:top w:val="none" w:sz="0" w:space="0" w:color="auto"/>
        <w:left w:val="none" w:sz="0" w:space="0" w:color="auto"/>
        <w:bottom w:val="none" w:sz="0" w:space="0" w:color="auto"/>
        <w:right w:val="none" w:sz="0" w:space="0" w:color="auto"/>
      </w:divBdr>
    </w:div>
    <w:div w:id="1243300721">
      <w:bodyDiv w:val="1"/>
      <w:marLeft w:val="0"/>
      <w:marRight w:val="0"/>
      <w:marTop w:val="0"/>
      <w:marBottom w:val="0"/>
      <w:divBdr>
        <w:top w:val="none" w:sz="0" w:space="0" w:color="auto"/>
        <w:left w:val="none" w:sz="0" w:space="0" w:color="auto"/>
        <w:bottom w:val="none" w:sz="0" w:space="0" w:color="auto"/>
        <w:right w:val="none" w:sz="0" w:space="0" w:color="auto"/>
      </w:divBdr>
    </w:div>
    <w:div w:id="1245803575">
      <w:bodyDiv w:val="1"/>
      <w:marLeft w:val="0"/>
      <w:marRight w:val="0"/>
      <w:marTop w:val="0"/>
      <w:marBottom w:val="0"/>
      <w:divBdr>
        <w:top w:val="none" w:sz="0" w:space="0" w:color="auto"/>
        <w:left w:val="none" w:sz="0" w:space="0" w:color="auto"/>
        <w:bottom w:val="none" w:sz="0" w:space="0" w:color="auto"/>
        <w:right w:val="none" w:sz="0" w:space="0" w:color="auto"/>
      </w:divBdr>
    </w:div>
    <w:div w:id="1375614138">
      <w:bodyDiv w:val="1"/>
      <w:marLeft w:val="0"/>
      <w:marRight w:val="0"/>
      <w:marTop w:val="0"/>
      <w:marBottom w:val="0"/>
      <w:divBdr>
        <w:top w:val="none" w:sz="0" w:space="0" w:color="auto"/>
        <w:left w:val="none" w:sz="0" w:space="0" w:color="auto"/>
        <w:bottom w:val="none" w:sz="0" w:space="0" w:color="auto"/>
        <w:right w:val="none" w:sz="0" w:space="0" w:color="auto"/>
      </w:divBdr>
    </w:div>
    <w:div w:id="1388921009">
      <w:bodyDiv w:val="1"/>
      <w:marLeft w:val="0"/>
      <w:marRight w:val="0"/>
      <w:marTop w:val="0"/>
      <w:marBottom w:val="0"/>
      <w:divBdr>
        <w:top w:val="none" w:sz="0" w:space="0" w:color="auto"/>
        <w:left w:val="none" w:sz="0" w:space="0" w:color="auto"/>
        <w:bottom w:val="none" w:sz="0" w:space="0" w:color="auto"/>
        <w:right w:val="none" w:sz="0" w:space="0" w:color="auto"/>
      </w:divBdr>
    </w:div>
    <w:div w:id="1436974332">
      <w:bodyDiv w:val="1"/>
      <w:marLeft w:val="0"/>
      <w:marRight w:val="0"/>
      <w:marTop w:val="0"/>
      <w:marBottom w:val="0"/>
      <w:divBdr>
        <w:top w:val="none" w:sz="0" w:space="0" w:color="auto"/>
        <w:left w:val="none" w:sz="0" w:space="0" w:color="auto"/>
        <w:bottom w:val="none" w:sz="0" w:space="0" w:color="auto"/>
        <w:right w:val="none" w:sz="0" w:space="0" w:color="auto"/>
      </w:divBdr>
    </w:div>
    <w:div w:id="1496191904">
      <w:bodyDiv w:val="1"/>
      <w:marLeft w:val="0"/>
      <w:marRight w:val="0"/>
      <w:marTop w:val="0"/>
      <w:marBottom w:val="0"/>
      <w:divBdr>
        <w:top w:val="none" w:sz="0" w:space="0" w:color="auto"/>
        <w:left w:val="none" w:sz="0" w:space="0" w:color="auto"/>
        <w:bottom w:val="none" w:sz="0" w:space="0" w:color="auto"/>
        <w:right w:val="none" w:sz="0" w:space="0" w:color="auto"/>
      </w:divBdr>
    </w:div>
    <w:div w:id="1650355207">
      <w:bodyDiv w:val="1"/>
      <w:marLeft w:val="0"/>
      <w:marRight w:val="0"/>
      <w:marTop w:val="0"/>
      <w:marBottom w:val="0"/>
      <w:divBdr>
        <w:top w:val="none" w:sz="0" w:space="0" w:color="auto"/>
        <w:left w:val="none" w:sz="0" w:space="0" w:color="auto"/>
        <w:bottom w:val="none" w:sz="0" w:space="0" w:color="auto"/>
        <w:right w:val="none" w:sz="0" w:space="0" w:color="auto"/>
      </w:divBdr>
    </w:div>
    <w:div w:id="1839736005">
      <w:bodyDiv w:val="1"/>
      <w:marLeft w:val="0"/>
      <w:marRight w:val="0"/>
      <w:marTop w:val="0"/>
      <w:marBottom w:val="0"/>
      <w:divBdr>
        <w:top w:val="none" w:sz="0" w:space="0" w:color="auto"/>
        <w:left w:val="none" w:sz="0" w:space="0" w:color="auto"/>
        <w:bottom w:val="none" w:sz="0" w:space="0" w:color="auto"/>
        <w:right w:val="none" w:sz="0" w:space="0" w:color="auto"/>
      </w:divBdr>
    </w:div>
    <w:div w:id="196379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olinterno.poder-judicial.go.cr/index.php/glosario-de-termin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4337a8-48a6-424a-b109-1db7e22f8387">
      <Terms xmlns="http://schemas.microsoft.com/office/infopath/2007/PartnerControls"/>
    </lcf76f155ced4ddcb4097134ff3c332f>
    <TaxCatchAll xmlns="a3a7e55e-e075-4953-acbe-363891e653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6992D51ACD22C4D81B42D96E76EFE5D" ma:contentTypeVersion="14" ma:contentTypeDescription="Crear nuevo documento." ma:contentTypeScope="" ma:versionID="cd4bf902f1a1d867006ec9f79c412e1f">
  <xsd:schema xmlns:xsd="http://www.w3.org/2001/XMLSchema" xmlns:xs="http://www.w3.org/2001/XMLSchema" xmlns:p="http://schemas.microsoft.com/office/2006/metadata/properties" xmlns:ns2="f04337a8-48a6-424a-b109-1db7e22f8387" xmlns:ns3="a3a7e55e-e075-4953-acbe-363891e65396" targetNamespace="http://schemas.microsoft.com/office/2006/metadata/properties" ma:root="true" ma:fieldsID="b66742aeb870d9f2ccf7e0bdb2d9ce49" ns2:_="" ns3:_="">
    <xsd:import namespace="f04337a8-48a6-424a-b109-1db7e22f8387"/>
    <xsd:import namespace="a3a7e55e-e075-4953-acbe-363891e65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37a8-48a6-424a-b109-1db7e22f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7e55e-e075-4953-acbe-363891e65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372467-4007-4418-991d-1a4202dd906a}" ma:internalName="TaxCatchAll" ma:showField="CatchAllData" ma:web="a3a7e55e-e075-4953-acbe-363891e653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C2A6-3031-4098-8112-17DA19B77CB6}">
  <ds:schemaRefs>
    <ds:schemaRef ds:uri="http://schemas.microsoft.com/office/2006/metadata/properties"/>
    <ds:schemaRef ds:uri="http://schemas.microsoft.com/office/infopath/2007/PartnerControls"/>
    <ds:schemaRef ds:uri="f04337a8-48a6-424a-b109-1db7e22f8387"/>
    <ds:schemaRef ds:uri="a3a7e55e-e075-4953-acbe-363891e65396"/>
  </ds:schemaRefs>
</ds:datastoreItem>
</file>

<file path=customXml/itemProps2.xml><?xml version="1.0" encoding="utf-8"?>
<ds:datastoreItem xmlns:ds="http://schemas.openxmlformats.org/officeDocument/2006/customXml" ds:itemID="{F66E6E4B-28A2-43D5-8FFA-E38758C7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337a8-48a6-424a-b109-1db7e22f8387"/>
    <ds:schemaRef ds:uri="a3a7e55e-e075-4953-acbe-363891e65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50DB5-CE7E-4E5D-BF22-09F79548FB32}">
  <ds:schemaRefs>
    <ds:schemaRef ds:uri="http://schemas.microsoft.com/sharepoint/v3/contenttype/forms"/>
  </ds:schemaRefs>
</ds:datastoreItem>
</file>

<file path=customXml/itemProps4.xml><?xml version="1.0" encoding="utf-8"?>
<ds:datastoreItem xmlns:ds="http://schemas.openxmlformats.org/officeDocument/2006/customXml" ds:itemID="{FFDF6B83-2258-4A47-B2FE-7D26EAAA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38</Pages>
  <Words>12430</Words>
  <Characters>68367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Jiménez Ureña</dc:creator>
  <cp:keywords/>
  <cp:lastModifiedBy>Arlette Zúñiga Lizano</cp:lastModifiedBy>
  <cp:revision>18</cp:revision>
  <cp:lastPrinted>2024-02-22T17:02:00Z</cp:lastPrinted>
  <dcterms:created xsi:type="dcterms:W3CDTF">2024-01-10T14:51:00Z</dcterms:created>
  <dcterms:modified xsi:type="dcterms:W3CDTF">2024-03-05T20:58:00Z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0x01010036992D51ACD22C4D81B42D96E76EFE5D</vt:lpwstr>
  </property>
  <property fmtid="{D5CDD505-2E9C-101B-9397-08002B2CF9AE}" pid="3" name="MediaServiceImageTags">
    <vt:lpwstr/>
  </property>
</Properties>
</file>